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B1113"/>
          <w:sz w:val="26"/>
          <w:szCs w:val="26"/>
        </w:rPr>
        <w:t xml:space="preserve">TARBIYAT SOCIOTECH FOUNDATION</w:t>
      </w:r>
    </w:p>
    <w:p>
      <w:pPr>
        <w:pBdr>
          <w:bottom w:val="single" w:color="7B1113" w:sz="6" w:space="4"/>
        </w:pBdr>
        <w:spacing w:after="40"/>
        <w:jc w:val="center"/>
      </w:pPr>
      <w:r>
        <w:rPr>
          <w:rFonts w:ascii="Calibri" w:cs="Calibri" w:eastAsia="Calibri" w:hAnsi="Calibri"/>
          <w:color w:val="595959"/>
          <w:sz w:val="18"/>
          <w:szCs w:val="18"/>
        </w:rPr>
        <w:t xml:space="preserve">New Delhi, Republic of India  |  irme.in  |  legal.srworlds.in</w:t>
      </w:r>
    </w:p>
    <w:p>
      <w:pPr>
        <w:spacing w:after="60" w:before="220"/>
        <w:jc w:val="center"/>
      </w:pPr>
      <w:r>
        <w:rPr>
          <w:rFonts w:ascii="Calibri" w:cs="Calibri" w:eastAsia="Calibri" w:hAnsi="Calibri"/>
          <w:b/>
          <w:bCs/>
          <w:color w:val="222222"/>
          <w:sz w:val="30"/>
          <w:szCs w:val="30"/>
        </w:rPr>
        <w:t xml:space="preserve">CONCEPT NOTE</w:t>
      </w:r>
    </w:p>
    <w:p>
      <w:pPr>
        <w:spacing w:after="30"/>
        <w:jc w:val="center"/>
      </w:pPr>
      <w:r>
        <w:rPr>
          <w:rFonts w:ascii="Calibri" w:cs="Calibri" w:eastAsia="Calibri" w:hAnsi="Calibri"/>
          <w:b/>
          <w:bCs/>
          <w:color w:val="7B1113"/>
          <w:sz w:val="24"/>
          <w:szCs w:val="24"/>
        </w:rPr>
        <w:t xml:space="preserve">TARBIYAT NATIONAL YOUTH TECH MISSIONS SCHOOL &amp; COLLEGE</w:t>
      </w:r>
    </w:p>
    <w:p>
      <w:pPr>
        <w:spacing w:after="200"/>
        <w:jc w:val="center"/>
      </w:pPr>
      <w:r>
        <w:rPr>
          <w:rFonts w:ascii="Calibri" w:cs="Calibri" w:eastAsia="Calibri" w:hAnsi="Calibri"/>
          <w:i/>
          <w:iCs/>
          <w:color w:val="8A6D1D"/>
          <w:sz w:val="20"/>
          <w:szCs w:val="20"/>
        </w:rPr>
        <w:t xml:space="preserve">Nizwa, Al Dakhiliyah Governorate, Sultanate of Oman  —  A First-of-its-Kind Sovereign Institution for the Age of Intelligence</w:t>
      </w:r>
    </w:p>
    <w:p>
      <w:pPr>
        <w:pBdr>
          <w:bottom w:val="single" w:color="C9A227" w:sz="4" w:space="2"/>
        </w:pBdr>
        <w:spacing w:after="120" w:before="260"/>
      </w:pPr>
      <w:r>
        <w:rPr>
          <w:rFonts w:ascii="Calibri" w:cs="Calibri" w:eastAsia="Calibri" w:hAnsi="Calibri"/>
          <w:b/>
          <w:bCs/>
          <w:color w:val="7B1113"/>
          <w:sz w:val="23"/>
          <w:szCs w:val="23"/>
        </w:rPr>
        <w:t xml:space="preserve">1. The Idea: A School That Does Not Yet Exist Anywhere in the World</w:t>
      </w:r>
    </w:p>
    <w:p>
      <w:pPr>
        <w:spacing w:after="160" w:line="276"/>
        <w:jc w:val="both"/>
      </w:pPr>
      <w:r>
        <w:rPr>
          <w:rFonts w:ascii="Calibri" w:cs="Calibri" w:eastAsia="Calibri" w:hAnsi="Calibri"/>
          <w:b w:val="false"/>
          <w:bCs w:val="false"/>
          <w:i w:val="false"/>
          <w:iCs w:val="false"/>
          <w:color w:val="222222"/>
          <w:sz w:val="21"/>
          <w:szCs w:val="21"/>
        </w:rPr>
        <w:t xml:space="preserve">The Tarbiyat National Youth Tech Missions School &amp; College is not an upgraded school. It is a new category of institution — the world's first sovereign, mission-driven, 24-hour residential campus where 1,900 Omani students live, learn, research, invent, and file intellectual property from the age of school entry onward. Where conventional schools prepare children for examinations, this campus prepares a generation to build the technologies their nation will run on. No institution of this design currently exists in the GCC, in Asia, or anywhere in the world. Oman has the opportunity to be first.</w:t>
      </w:r>
    </w:p>
    <w:p>
      <w:pPr>
        <w:pBdr>
          <w:bottom w:val="single" w:color="C9A227" w:sz="4" w:space="2"/>
        </w:pBdr>
        <w:spacing w:after="120" w:before="260"/>
      </w:pPr>
      <w:r>
        <w:rPr>
          <w:rFonts w:ascii="Calibri" w:cs="Calibri" w:eastAsia="Calibri" w:hAnsi="Calibri"/>
          <w:b/>
          <w:bCs/>
          <w:color w:val="7B1113"/>
          <w:sz w:val="23"/>
          <w:szCs w:val="23"/>
        </w:rPr>
        <w:t xml:space="preserve">2. What Makes It Unprecedented</w:t>
      </w:r>
    </w:p>
    <w:p>
      <w:pPr>
        <w:pStyle w:val="ListParagraph"/>
        <w:numPr>
          <w:ilvl w:val="0"/>
          <w:numId w:val="2"/>
        </w:numPr>
        <w:spacing w:after="100" w:line="264"/>
        <w:jc w:val="both"/>
      </w:pPr>
      <w:r>
        <w:rPr>
          <w:rFonts w:ascii="Calibri" w:cs="Calibri" w:eastAsia="Calibri" w:hAnsi="Calibri"/>
          <w:b/>
          <w:bCs/>
          <w:color w:val="222222"/>
          <w:sz w:val="21"/>
          <w:szCs w:val="21"/>
        </w:rPr>
        <w:t xml:space="preserve">A campus of laboratories, not classrooms — </w:t>
      </w:r>
      <w:r>
        <w:rPr>
          <w:rFonts w:ascii="Calibri" w:cs="Calibri" w:eastAsia="Calibri" w:hAnsi="Calibri"/>
          <w:color w:val="222222"/>
          <w:sz w:val="21"/>
          <w:szCs w:val="21"/>
        </w:rPr>
        <w:t xml:space="preserve">Twelve professional-grade Mission Labs — industrial and research laboratories in AI, robotics, electric mobility, energy, and frontier technologies, built to ABET and Saudi Aramco engineering standards, not school-classroom standards.</w:t>
      </w:r>
    </w:p>
    <w:p>
      <w:pPr>
        <w:pStyle w:val="ListParagraph"/>
        <w:numPr>
          <w:ilvl w:val="0"/>
          <w:numId w:val="2"/>
        </w:numPr>
        <w:spacing w:after="100" w:line="264"/>
        <w:jc w:val="both"/>
      </w:pPr>
      <w:r>
        <w:rPr>
          <w:rFonts w:ascii="Calibri" w:cs="Calibri" w:eastAsia="Calibri" w:hAnsi="Calibri"/>
          <w:b/>
          <w:bCs/>
          <w:color w:val="222222"/>
          <w:sz w:val="21"/>
          <w:szCs w:val="21"/>
        </w:rPr>
        <w:t xml:space="preserve">Proof of capability, not certificates alone — </w:t>
      </w:r>
      <w:r>
        <w:rPr>
          <w:rFonts w:ascii="Calibri" w:cs="Calibri" w:eastAsia="Calibri" w:hAnsi="Calibri"/>
          <w:color w:val="222222"/>
          <w:sz w:val="21"/>
          <w:szCs w:val="21"/>
        </w:rPr>
        <w:t xml:space="preserve">Every student graduates with a Proof of Capability Profile and a record on the Sovereign Competency Graph — verified evidence of what they have built, not merely what they have memorised.</w:t>
      </w:r>
    </w:p>
    <w:p>
      <w:pPr>
        <w:pStyle w:val="ListParagraph"/>
        <w:numPr>
          <w:ilvl w:val="0"/>
          <w:numId w:val="2"/>
        </w:numPr>
        <w:spacing w:after="100" w:line="264"/>
        <w:jc w:val="both"/>
      </w:pPr>
      <w:r>
        <w:rPr>
          <w:rFonts w:ascii="Calibri" w:cs="Calibri" w:eastAsia="Calibri" w:hAnsi="Calibri"/>
          <w:b/>
          <w:bCs/>
          <w:color w:val="222222"/>
          <w:sz w:val="21"/>
          <w:szCs w:val="21"/>
        </w:rPr>
        <w:t xml:space="preserve">Absolute Omani data sovereignty — </w:t>
      </w:r>
      <w:r>
        <w:rPr>
          <w:rFonts w:ascii="Calibri" w:cs="Calibri" w:eastAsia="Calibri" w:hAnsi="Calibri"/>
          <w:color w:val="222222"/>
          <w:sz w:val="21"/>
          <w:szCs w:val="21"/>
        </w:rPr>
        <w:t xml:space="preserve">Student-generated IP, national project dossiers, and R&amp;D data remain 100% inside Oman in a government-owned on-campus Tier-2 data centre. Nothing leaves the Sultanate.</w:t>
      </w:r>
    </w:p>
    <w:p>
      <w:pPr>
        <w:pStyle w:val="ListParagraph"/>
        <w:numPr>
          <w:ilvl w:val="0"/>
          <w:numId w:val="2"/>
        </w:numPr>
        <w:spacing w:after="100" w:line="264"/>
        <w:jc w:val="both"/>
      </w:pPr>
      <w:r>
        <w:rPr>
          <w:rFonts w:ascii="Calibri" w:cs="Calibri" w:eastAsia="Calibri" w:hAnsi="Calibri"/>
          <w:b/>
          <w:bCs/>
          <w:color w:val="222222"/>
          <w:sz w:val="21"/>
          <w:szCs w:val="21"/>
        </w:rPr>
        <w:t xml:space="preserve">A national innovation pipeline — </w:t>
      </w:r>
      <w:r>
        <w:rPr>
          <w:rFonts w:ascii="Calibri" w:cs="Calibri" w:eastAsia="Calibri" w:hAnsi="Calibri"/>
          <w:color w:val="222222"/>
          <w:sz w:val="21"/>
          <w:szCs w:val="21"/>
        </w:rPr>
        <w:t xml:space="preserve">Structured R&amp;D and IP-commercialisation pathways with PDO, OQ, Omantel, Asyad, and national institutions — students work on real national missions.</w:t>
      </w:r>
    </w:p>
    <w:p>
      <w:pPr>
        <w:pStyle w:val="ListParagraph"/>
        <w:numPr>
          <w:ilvl w:val="0"/>
          <w:numId w:val="2"/>
        </w:numPr>
        <w:spacing w:after="100" w:line="264"/>
        <w:jc w:val="both"/>
      </w:pPr>
      <w:r>
        <w:rPr>
          <w:rFonts w:ascii="Calibri" w:cs="Calibri" w:eastAsia="Calibri" w:hAnsi="Calibri"/>
          <w:b/>
          <w:bCs/>
          <w:color w:val="222222"/>
          <w:sz w:val="21"/>
          <w:szCs w:val="21"/>
        </w:rPr>
        <w:t xml:space="preserve">Rooted in Omani Islamic values — </w:t>
      </w:r>
      <w:r>
        <w:rPr>
          <w:rFonts w:ascii="Calibri" w:cs="Calibri" w:eastAsia="Calibri" w:hAnsi="Calibri"/>
          <w:color w:val="222222"/>
          <w:sz w:val="21"/>
          <w:szCs w:val="21"/>
        </w:rPr>
        <w:t xml:space="preserve">A dual-credentialed academic spine and a resident Omani Tarbiyat Mentor Faculty ensure world-class technology education grounded firmly in Omani Islamic values and character formation.</w:t>
      </w:r>
    </w:p>
    <w:p>
      <w:pPr>
        <w:pStyle w:val="ListParagraph"/>
        <w:numPr>
          <w:ilvl w:val="0"/>
          <w:numId w:val="2"/>
        </w:numPr>
        <w:spacing w:after="100" w:line="264"/>
        <w:jc w:val="both"/>
      </w:pPr>
      <w:r>
        <w:rPr>
          <w:rFonts w:ascii="Calibri" w:cs="Calibri" w:eastAsia="Calibri" w:hAnsi="Calibri"/>
          <w:b/>
          <w:bCs/>
          <w:color w:val="222222"/>
          <w:sz w:val="21"/>
          <w:szCs w:val="21"/>
        </w:rPr>
        <w:t xml:space="preserve">Self-sustaining green infrastructure — </w:t>
      </w:r>
      <w:r>
        <w:rPr>
          <w:rFonts w:ascii="Calibri" w:cs="Calibri" w:eastAsia="Calibri" w:hAnsi="Calibri"/>
          <w:color w:val="222222"/>
          <w:sz w:val="21"/>
          <w:szCs w:val="21"/>
        </w:rPr>
        <w:t xml:space="preserve">500 kW solar array, 1 MWh battery storage, and green campus systems on a purpose-designed 60,000 sqm site.</w:t>
      </w:r>
    </w:p>
    <w:p>
      <w:pPr>
        <w:pBdr>
          <w:bottom w:val="single" w:color="C9A227" w:sz="4" w:space="2"/>
        </w:pBdr>
        <w:spacing w:after="120" w:before="260"/>
      </w:pPr>
      <w:r>
        <w:rPr>
          <w:rFonts w:ascii="Calibri" w:cs="Calibri" w:eastAsia="Calibri" w:hAnsi="Calibri"/>
          <w:b/>
          <w:bCs/>
          <w:color w:val="7B1113"/>
          <w:sz w:val="23"/>
          <w:szCs w:val="23"/>
        </w:rPr>
        <w:t xml:space="preserve">3. Alignment with Oman Vision 2040</w:t>
      </w:r>
    </w:p>
    <w:p>
      <w:pPr>
        <w:spacing w:after="160" w:line="276"/>
        <w:jc w:val="both"/>
      </w:pPr>
      <w:r>
        <w:rPr>
          <w:rFonts w:ascii="Calibri" w:cs="Calibri" w:eastAsia="Calibri" w:hAnsi="Calibri"/>
          <w:b w:val="false"/>
          <w:bCs w:val="false"/>
          <w:i w:val="false"/>
          <w:iCs w:val="false"/>
          <w:color w:val="222222"/>
          <w:sz w:val="21"/>
          <w:szCs w:val="21"/>
        </w:rPr>
        <w:t xml:space="preserve">The campus is conceived as a direct instrument of Oman Vision 2040: building a knowledge-based economy, developing national capabilities in future technologies, retaining sovereign control of data and intellectual property, and forming young Omanis who are globally competitive and culturally rooted. The first cohorts graduating from this campus will constitute a home-grown technology leadership class for the Sultanate — a game-changing asset for future generations of Oman.</w:t>
      </w:r>
    </w:p>
    <w:p>
      <w:pPr>
        <w:pBdr>
          <w:bottom w:val="single" w:color="C9A227" w:sz="4" w:space="2"/>
        </w:pBdr>
        <w:spacing w:after="120" w:before="260"/>
      </w:pPr>
      <w:r>
        <w:rPr>
          <w:rFonts w:ascii="Calibri" w:cs="Calibri" w:eastAsia="Calibri" w:hAnsi="Calibri"/>
          <w:b/>
          <w:bCs/>
          <w:color w:val="7B1113"/>
          <w:sz w:val="23"/>
          <w:szCs w:val="23"/>
        </w:rPr>
        <w:t xml:space="preserve">4. Key Facts</w:t>
      </w:r>
    </w:p>
    <w:tbl>
      <w:tblPr>
        <w:tblW w:type="dxa" w:w="10000"/>
        <w:tblBorders>
          <w:top w:val="single" w:color="D9CBA3" w:sz="4"/>
          <w:left w:val="single" w:color="D9CBA3" w:sz="4"/>
          <w:bottom w:val="single" w:color="D9CBA3" w:sz="4"/>
          <w:right w:val="single" w:color="D9CBA3" w:sz="4"/>
          <w:insideH w:val="single" w:color="D9CBA3" w:sz="4"/>
          <w:insideV w:val="single" w:color="D9CBA3" w:sz="4"/>
        </w:tblBorders>
      </w:tblPr>
      <w:tblGrid>
        <w:gridCol w:w="3200"/>
        <w:gridCol w:w="6800"/>
      </w:tblGrid>
      <w:tr>
        <w:tc>
          <w:tcPr>
            <w:tcW w:type="dxa" w:w="3200"/>
            <w:shd w:fill="F5EFE0" w:val="clear"/>
            <w:tcMar>
              <w:top w:type="dxa" w:w="60"/>
              <w:left w:type="dxa" w:w="120"/>
              <w:bottom w:type="dxa" w:w="60"/>
              <w:right w:type="dxa" w:w="120"/>
            </w:tcMar>
          </w:tcPr>
          <w:p>
            <w:r>
              <w:rPr>
                <w:rFonts w:ascii="Calibri" w:cs="Calibri" w:eastAsia="Calibri" w:hAnsi="Calibri"/>
                <w:b/>
                <w:bCs/>
                <w:color w:val="7B1113"/>
                <w:sz w:val="20"/>
                <w:szCs w:val="20"/>
              </w:rPr>
              <w:t xml:space="preserve">Institution</w:t>
            </w:r>
          </w:p>
        </w:tc>
        <w:tc>
          <w:tcPr>
            <w:tcW w:type="dxa" w:w="6800"/>
            <w:tcMar>
              <w:top w:type="dxa" w:w="60"/>
              <w:left w:type="dxa" w:w="120"/>
              <w:bottom w:type="dxa" w:w="60"/>
              <w:right w:type="dxa" w:w="120"/>
            </w:tcMar>
          </w:tcPr>
          <w:p>
            <w:r>
              <w:rPr>
                <w:rFonts w:ascii="Calibri" w:cs="Calibri" w:eastAsia="Calibri" w:hAnsi="Calibri"/>
                <w:color w:val="222222"/>
                <w:sz w:val="20"/>
                <w:szCs w:val="20"/>
              </w:rPr>
              <w:t xml:space="preserve">Tarbiyat National Youth Tech Missions School &amp; College — 24-hour, 365-day residential campus</w:t>
            </w:r>
          </w:p>
        </w:tc>
      </w:tr>
      <w:tr>
        <w:tc>
          <w:tcPr>
            <w:tcW w:type="dxa" w:w="3200"/>
            <w:shd w:fill="F5EFE0" w:val="clear"/>
            <w:tcMar>
              <w:top w:type="dxa" w:w="60"/>
              <w:left w:type="dxa" w:w="120"/>
              <w:bottom w:type="dxa" w:w="60"/>
              <w:right w:type="dxa" w:w="120"/>
            </w:tcMar>
          </w:tcPr>
          <w:p>
            <w:r>
              <w:rPr>
                <w:rFonts w:ascii="Calibri" w:cs="Calibri" w:eastAsia="Calibri" w:hAnsi="Calibri"/>
                <w:b/>
                <w:bCs/>
                <w:color w:val="7B1113"/>
                <w:sz w:val="20"/>
                <w:szCs w:val="20"/>
              </w:rPr>
              <w:t xml:space="preserve">Location</w:t>
            </w:r>
          </w:p>
        </w:tc>
        <w:tc>
          <w:tcPr>
            <w:tcW w:type="dxa" w:w="6800"/>
            <w:tcMar>
              <w:top w:type="dxa" w:w="60"/>
              <w:left w:type="dxa" w:w="120"/>
              <w:bottom w:type="dxa" w:w="60"/>
              <w:right w:type="dxa" w:w="120"/>
            </w:tcMar>
          </w:tcPr>
          <w:p>
            <w:r>
              <w:rPr>
                <w:rFonts w:ascii="Calibri" w:cs="Calibri" w:eastAsia="Calibri" w:hAnsi="Calibri"/>
                <w:color w:val="222222"/>
                <w:sz w:val="20"/>
                <w:szCs w:val="20"/>
              </w:rPr>
              <w:t xml:space="preserve">Nizwa, Al Dakhiliyah Governorate, Sultanate of Oman (60,000 sqm site)</w:t>
            </w:r>
          </w:p>
        </w:tc>
      </w:tr>
      <w:tr>
        <w:tc>
          <w:tcPr>
            <w:tcW w:type="dxa" w:w="3200"/>
            <w:shd w:fill="F5EFE0" w:val="clear"/>
            <w:tcMar>
              <w:top w:type="dxa" w:w="60"/>
              <w:left w:type="dxa" w:w="120"/>
              <w:bottom w:type="dxa" w:w="60"/>
              <w:right w:type="dxa" w:w="120"/>
            </w:tcMar>
          </w:tcPr>
          <w:p>
            <w:r>
              <w:rPr>
                <w:rFonts w:ascii="Calibri" w:cs="Calibri" w:eastAsia="Calibri" w:hAnsi="Calibri"/>
                <w:b/>
                <w:bCs/>
                <w:color w:val="7B1113"/>
                <w:sz w:val="20"/>
                <w:szCs w:val="20"/>
              </w:rPr>
              <w:t xml:space="preserve">Students</w:t>
            </w:r>
          </w:p>
        </w:tc>
        <w:tc>
          <w:tcPr>
            <w:tcW w:type="dxa" w:w="6800"/>
            <w:tcMar>
              <w:top w:type="dxa" w:w="60"/>
              <w:left w:type="dxa" w:w="120"/>
              <w:bottom w:type="dxa" w:w="60"/>
              <w:right w:type="dxa" w:w="120"/>
            </w:tcMar>
          </w:tcPr>
          <w:p>
            <w:r>
              <w:rPr>
                <w:rFonts w:ascii="Calibri" w:cs="Calibri" w:eastAsia="Calibri" w:hAnsi="Calibri"/>
                <w:color w:val="222222"/>
                <w:sz w:val="20"/>
                <w:szCs w:val="20"/>
              </w:rPr>
              <w:t xml:space="preserve">1,900 (school and college programmes), supported by 170+ permanent resident staff</w:t>
            </w:r>
          </w:p>
        </w:tc>
      </w:tr>
      <w:tr>
        <w:tc>
          <w:tcPr>
            <w:tcW w:type="dxa" w:w="3200"/>
            <w:shd w:fill="F5EFE0" w:val="clear"/>
            <w:tcMar>
              <w:top w:type="dxa" w:w="60"/>
              <w:left w:type="dxa" w:w="120"/>
              <w:bottom w:type="dxa" w:w="60"/>
              <w:right w:type="dxa" w:w="120"/>
            </w:tcMar>
          </w:tcPr>
          <w:p>
            <w:r>
              <w:rPr>
                <w:rFonts w:ascii="Calibri" w:cs="Calibri" w:eastAsia="Calibri" w:hAnsi="Calibri"/>
                <w:b/>
                <w:bCs/>
                <w:color w:val="7B1113"/>
                <w:sz w:val="20"/>
                <w:szCs w:val="20"/>
              </w:rPr>
              <w:t xml:space="preserve">Core facilities</w:t>
            </w:r>
          </w:p>
        </w:tc>
        <w:tc>
          <w:tcPr>
            <w:tcW w:type="dxa" w:w="6800"/>
            <w:tcMar>
              <w:top w:type="dxa" w:w="60"/>
              <w:left w:type="dxa" w:w="120"/>
              <w:bottom w:type="dxa" w:w="60"/>
              <w:right w:type="dxa" w:w="120"/>
            </w:tcMar>
          </w:tcPr>
          <w:p>
            <w:r>
              <w:rPr>
                <w:rFonts w:ascii="Calibri" w:cs="Calibri" w:eastAsia="Calibri" w:hAnsi="Calibri"/>
                <w:color w:val="222222"/>
                <w:sz w:val="20"/>
                <w:szCs w:val="20"/>
              </w:rPr>
              <w:t xml:space="preserve">12 Mission Labs, sovereign Tier-2 data centre, smart classrooms, sports complex, on-site medical facility</w:t>
            </w:r>
          </w:p>
        </w:tc>
      </w:tr>
      <w:tr>
        <w:tc>
          <w:tcPr>
            <w:tcW w:type="dxa" w:w="3200"/>
            <w:shd w:fill="F5EFE0" w:val="clear"/>
            <w:tcMar>
              <w:top w:type="dxa" w:w="60"/>
              <w:left w:type="dxa" w:w="120"/>
              <w:bottom w:type="dxa" w:w="60"/>
              <w:right w:type="dxa" w:w="120"/>
            </w:tcMar>
          </w:tcPr>
          <w:p>
            <w:r>
              <w:rPr>
                <w:rFonts w:ascii="Calibri" w:cs="Calibri" w:eastAsia="Calibri" w:hAnsi="Calibri"/>
                <w:b/>
                <w:bCs/>
                <w:color w:val="7B1113"/>
                <w:sz w:val="20"/>
                <w:szCs w:val="20"/>
              </w:rPr>
              <w:t xml:space="preserve">Indicative investment</w:t>
            </w:r>
          </w:p>
        </w:tc>
        <w:tc>
          <w:tcPr>
            <w:tcW w:type="dxa" w:w="6800"/>
            <w:tcMar>
              <w:top w:type="dxa" w:w="60"/>
              <w:left w:type="dxa" w:w="120"/>
              <w:bottom w:type="dxa" w:w="60"/>
              <w:right w:type="dxa" w:w="120"/>
            </w:tcMar>
          </w:tcPr>
          <w:p>
            <w:r>
              <w:rPr>
                <w:rFonts w:ascii="Calibri" w:cs="Calibri" w:eastAsia="Calibri" w:hAnsi="Calibri"/>
                <w:color w:val="222222"/>
                <w:sz w:val="20"/>
                <w:szCs w:val="20"/>
              </w:rPr>
              <w:t xml:space="preserve">OMR 39.25 million (base case; detailed phased framework available in the full proposal)</w:t>
            </w:r>
          </w:p>
        </w:tc>
      </w:tr>
      <w:tr>
        <w:tc>
          <w:tcPr>
            <w:tcW w:type="dxa" w:w="3200"/>
            <w:shd w:fill="F5EFE0" w:val="clear"/>
            <w:tcMar>
              <w:top w:type="dxa" w:w="60"/>
              <w:left w:type="dxa" w:w="120"/>
              <w:bottom w:type="dxa" w:w="60"/>
              <w:right w:type="dxa" w:w="120"/>
            </w:tcMar>
          </w:tcPr>
          <w:p>
            <w:r>
              <w:rPr>
                <w:rFonts w:ascii="Calibri" w:cs="Calibri" w:eastAsia="Calibri" w:hAnsi="Calibri"/>
                <w:b/>
                <w:bCs/>
                <w:color w:val="7B1113"/>
                <w:sz w:val="20"/>
                <w:szCs w:val="20"/>
              </w:rPr>
              <w:t xml:space="preserve">Proposed by</w:t>
            </w:r>
          </w:p>
        </w:tc>
        <w:tc>
          <w:tcPr>
            <w:tcW w:type="dxa" w:w="6800"/>
            <w:tcMar>
              <w:top w:type="dxa" w:w="60"/>
              <w:left w:type="dxa" w:w="120"/>
              <w:bottom w:type="dxa" w:w="60"/>
              <w:right w:type="dxa" w:w="120"/>
            </w:tcMar>
          </w:tcPr>
          <w:p>
            <w:r>
              <w:rPr>
                <w:rFonts w:ascii="Calibri" w:cs="Calibri" w:eastAsia="Calibri" w:hAnsi="Calibri"/>
                <w:color w:val="222222"/>
                <w:sz w:val="20"/>
                <w:szCs w:val="20"/>
              </w:rPr>
              <w:t xml:space="preserve">Tarbiyat Sociotech Foundation, New Delhi, India — led by Dr. Sudhir Pawar, CEO; Author &amp; Compliance Strategist; 20+ years in educational institutional development</w:t>
            </w:r>
          </w:p>
        </w:tc>
      </w:tr>
    </w:tbl>
    <w:p>
      <w:pPr>
        <w:pBdr>
          <w:bottom w:val="single" w:color="C9A227" w:sz="4" w:space="2"/>
        </w:pBdr>
        <w:spacing w:after="120" w:before="260"/>
      </w:pPr>
      <w:r>
        <w:rPr>
          <w:rFonts w:ascii="Calibri" w:cs="Calibri" w:eastAsia="Calibri" w:hAnsi="Calibri"/>
          <w:b/>
          <w:bCs/>
          <w:color w:val="7B1113"/>
          <w:sz w:val="23"/>
          <w:szCs w:val="23"/>
        </w:rPr>
        <w:t xml:space="preserve">5. Request to the Embassy of the Sultanate of Oman</w:t>
      </w:r>
    </w:p>
    <w:p>
      <w:pPr>
        <w:spacing w:after="160" w:line="276"/>
        <w:jc w:val="both"/>
      </w:pPr>
      <w:r>
        <w:rPr>
          <w:rFonts w:ascii="Calibri" w:cs="Calibri" w:eastAsia="Calibri" w:hAnsi="Calibri"/>
          <w:b w:val="false"/>
          <w:bCs w:val="false"/>
          <w:i w:val="false"/>
          <w:iCs w:val="false"/>
          <w:color w:val="222222"/>
          <w:sz w:val="21"/>
          <w:szCs w:val="21"/>
        </w:rPr>
        <w:t xml:space="preserve">The Foundation respectfully seeks a brief appointment (15–20 minutes) with His Excellency the Ambassador to present this concept and its comprehensive implementation framework (Version 5.0), and to seek His Excellency's guidance on the appropriate channel for formal submission to the concerned authorities in the Sultanate. The full proposal — covering governance, staffing, security, financial sustainability, and site engineering — is ready for presentation.</w:t>
      </w:r>
    </w:p>
    <w:p>
      <w:pPr>
        <w:spacing w:after="20" w:before="240"/>
      </w:pPr>
      <w:r>
        <w:rPr>
          <w:rFonts w:ascii="Calibri" w:cs="Calibri" w:eastAsia="Calibri" w:hAnsi="Calibri"/>
          <w:b/>
          <w:bCs/>
          <w:color w:val="222222"/>
          <w:sz w:val="21"/>
          <w:szCs w:val="21"/>
        </w:rPr>
        <w:t xml:space="preserve">Dr. Sudhir Pawar</w:t>
      </w:r>
    </w:p>
    <w:p>
      <w:pPr>
        <w:spacing w:after="20"/>
      </w:pPr>
      <w:r>
        <w:rPr>
          <w:rFonts w:ascii="Calibri" w:cs="Calibri" w:eastAsia="Calibri" w:hAnsi="Calibri"/>
          <w:color w:val="595959"/>
          <w:sz w:val="20"/>
          <w:szCs w:val="20"/>
        </w:rPr>
        <w:t xml:space="preserve">CEO, Tarbiyat Sociotech Foundation, New Delhi, India</w:t>
      </w:r>
    </w:p>
    <w:p>
      <w:pPr>
        <w:spacing w:after="20"/>
      </w:pPr>
      <w:r>
        <w:rPr>
          <w:rFonts w:ascii="Calibri" w:cs="Calibri" w:eastAsia="Calibri" w:hAnsi="Calibri"/>
          <w:color w:val="595959"/>
          <w:sz w:val="20"/>
          <w:szCs w:val="20"/>
        </w:rPr>
        <w:t xml:space="preserve">Author &amp; Compliance Strategist  |  Founder &amp; Concept Architect — Tarbiyat National Youth Tech Missions Campus</w:t>
      </w:r>
    </w:p>
    <w:p>
      <w:pPr>
        <w:spacing w:after="0"/>
      </w:pPr>
      <w:r>
        <w:rPr>
          <w:rFonts w:ascii="Calibri" w:cs="Calibri" w:eastAsia="Calibri" w:hAnsi="Calibri"/>
          <w:color w:val="595959"/>
          <w:sz w:val="20"/>
          <w:szCs w:val="20"/>
        </w:rPr>
        <w:t xml:space="preserve">Email: s7037444888@gmail.com  |  irme.in  |  legal.srworlds.in</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2026-07-14T05:12:24.527Z</dcterms:created>
  <dcterms:modified xsi:type="dcterms:W3CDTF">2026-07-14T05:12:24.527Z</dcterms:modified>
</cp:coreProperties>
</file>

<file path=docProps/custom.xml><?xml version="1.0" encoding="utf-8"?>
<Properties xmlns="http://schemas.openxmlformats.org/officeDocument/2006/custom-properties" xmlns:vt="http://schemas.openxmlformats.org/officeDocument/2006/docPropsVTypes"/>
</file>