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122E" w:rsidRPr="00D2122E" w:rsidRDefault="00D2122E" w:rsidP="00D2122E">
      <w:pPr>
        <w:rPr>
          <w:b/>
          <w:bCs/>
        </w:rPr>
      </w:pPr>
      <w:r w:rsidRPr="00D2122E">
        <w:rPr>
          <w:b/>
          <w:bCs/>
        </w:rPr>
        <w:t>Block-Wise Breakdown</w:t>
      </w:r>
    </w:p>
    <w:p w:rsidR="00D2122E" w:rsidRPr="00D2122E" w:rsidRDefault="00D2122E" w:rsidP="00D2122E">
      <w:r w:rsidRPr="00D2122E">
        <w:t>.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2328"/>
        <w:gridCol w:w="1337"/>
        <w:gridCol w:w="1897"/>
        <w:gridCol w:w="801"/>
        <w:gridCol w:w="2120"/>
        <w:gridCol w:w="1889"/>
        <w:gridCol w:w="883"/>
        <w:gridCol w:w="1695"/>
      </w:tblGrid>
      <w:tr w:rsidR="00D2122E" w:rsidRPr="00D2122E" w:rsidTr="00D21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</w:pPr>
            <w:r w:rsidRPr="00D2122E">
              <w:t>Block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Sq Ft (from FTLA)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Civil/Structural Cost (₹/sq ft)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Civil Total (₹ Cr)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Interiors/Fixtures (₹ Cr)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Equipment/Fit-Outs (₹ Cr)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Block Total (₹ Cr)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Notes</w:t>
            </w:r>
          </w:p>
        </w:tc>
      </w:tr>
      <w:tr w:rsidR="00D2122E" w:rsidRPr="00D2122E" w:rsidTr="00D21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</w:pPr>
            <w:r w:rsidRPr="00D2122E">
              <w:t>Admin Section (Offices, Reception, IT Support)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15,000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₹2,500-3,500 (mid-range office-like)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0.38-0.53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0.15-0.20 (furniture, AC)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0.10-0.15 (computers, security systems)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0.63-0.88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Basic; scalable with biometric access.</w:t>
            </w:r>
          </w:p>
        </w:tc>
      </w:tr>
      <w:tr w:rsidR="00D2122E" w:rsidRPr="00D2122E" w:rsidTr="00D21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</w:pPr>
            <w:r w:rsidRPr="00D2122E">
              <w:t>Classrooms (30 Smart Classrooms + Study Areas)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50,000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₹2,000-3,000 (standard school)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1.00-1.50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0.40-0.60 (desks, boards)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0.50-0.75 (interactive displays, projectors @ ₹1-2 lakh/room x 30)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1.90-2.85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Includes flexible seating; smart tech via govt broadband schemes.</w:t>
            </w:r>
          </w:p>
        </w:tc>
      </w:tr>
      <w:tr w:rsidR="00D2122E" w:rsidRPr="00D2122E" w:rsidTr="00D21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</w:pPr>
            <w:r w:rsidRPr="00D2122E">
              <w:t>Libraries &amp; Study Centers (Main Library, Digital Media)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20,000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₹2,500-3,500 (quiet zones)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0.50-0.70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0.20-0.30 (shelving, pods)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0.15-0.25 (digital resources, e-readers)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0.85-1.25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24/7 access with biometrics; books/digital at ₹50,000-1 lakh initial.</w:t>
            </w:r>
          </w:p>
        </w:tc>
      </w:tr>
      <w:tr w:rsidR="00D2122E" w:rsidRPr="00D2122E" w:rsidTr="00D21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</w:pPr>
            <w:r w:rsidRPr="00D2122E">
              <w:t xml:space="preserve">Labs (Tech + Science) (Coding, </w:t>
            </w:r>
            <w:r w:rsidRPr="00D2122E">
              <w:lastRenderedPageBreak/>
              <w:t>AI, Robotics, Physics/Chem/Bio)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lastRenderedPageBreak/>
              <w:t xml:space="preserve">330,000 (2.5L Tech </w:t>
            </w:r>
            <w:r w:rsidRPr="00D2122E">
              <w:lastRenderedPageBreak/>
              <w:t>+ 0.8L Science)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lastRenderedPageBreak/>
              <w:t xml:space="preserve">₹3,000-4,500 (specialized: </w:t>
            </w:r>
            <w:r w:rsidRPr="00D2122E">
              <w:lastRenderedPageBreak/>
              <w:t>ventilation, safety)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lastRenderedPageBreak/>
              <w:t>9.90-14.85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3.30-4.95 (benches, wiring)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 xml:space="preserve">5.00-7.50 (high-end: GPUs @ ₹50k/unit x 100, </w:t>
            </w:r>
            <w:r w:rsidRPr="00D2122E">
              <w:lastRenderedPageBreak/>
              <w:t>robots @ ₹5-15 lakh/lab x 10-15 labs; ATL grants offset ₹20 lakh/lab)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lastRenderedPageBreak/>
              <w:t>18.20-27.30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 xml:space="preserve">Core for KIRA; phased equipping </w:t>
            </w:r>
            <w:r w:rsidRPr="00D2122E">
              <w:lastRenderedPageBreak/>
              <w:t>(e.g., ₹5-8 lakh basic STEM lab, scaled up).</w:t>
            </w:r>
          </w:p>
        </w:tc>
      </w:tr>
      <w:tr w:rsidR="00D2122E" w:rsidRPr="00D2122E" w:rsidTr="00D21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</w:pPr>
            <w:r w:rsidRPr="00D2122E">
              <w:lastRenderedPageBreak/>
              <w:t>Auditoriums &amp; Event Spaces (Main 800-seat, Secondary Halls)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40,000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₹4,000-5,000 (acoustics, staging)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1.60-2.00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0.60-0.80 (seating, lighting)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0.80-1.20 (AV systems, 4K LEDs @ ₹10-20 lakh/setup)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3.00-4.00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For conferences; similar to 1000-seat projects at ₹5-10 Cr total.</w:t>
            </w:r>
          </w:p>
        </w:tc>
      </w:tr>
      <w:tr w:rsidR="00D2122E" w:rsidRPr="00D2122E" w:rsidTr="00D21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</w:pPr>
            <w:r w:rsidRPr="00D2122E">
              <w:t>Boys' Hostel (300 capacity, Junior/Senior)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150,000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₹2,800-3,500 (premium residential)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4.20-5.25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1.50-2.00 (beds, lockers)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0.80-1.20 (</w:t>
            </w:r>
            <w:proofErr w:type="spellStart"/>
            <w:r w:rsidRPr="00D2122E">
              <w:t>WiFi</w:t>
            </w:r>
            <w:proofErr w:type="spellEnd"/>
            <w:r w:rsidRPr="00D2122E">
              <w:t>, security, lounges with VR/gaming)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6.50-8.45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Includes makerspaces; per bed ₹2-3 lakh total fit-out.</w:t>
            </w:r>
          </w:p>
        </w:tc>
      </w:tr>
      <w:tr w:rsidR="00D2122E" w:rsidRPr="00D2122E" w:rsidTr="00D21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</w:pPr>
            <w:r w:rsidRPr="00D2122E">
              <w:t>Girls' Hostel (300 capacity, Junior/Senior)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150,000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₹2,800-3,500 (same as boys)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4.20-5.25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1.50-2.00 (beds, wellness centers)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0.80-1.20 (same as boys, plus women-in-tech suites)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6.50-8.45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Mirror design for equity; enhanced security.</w:t>
            </w:r>
          </w:p>
        </w:tc>
      </w:tr>
      <w:tr w:rsidR="00D2122E" w:rsidRPr="00D2122E" w:rsidTr="00D21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</w:pPr>
            <w:r w:rsidRPr="00D2122E">
              <w:t>Staff/Guest Residences (VIP Suites, Faculty Housing)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80,000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₹2,500-3,500 (residential)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2.00-2.80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0.80-1.00 (kitchens, furnishings)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0.40-0.60 (conference facilities, basic tech)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3.20-4.40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 xml:space="preserve">For 20-30 staff; attracts talent with </w:t>
            </w:r>
            <w:r w:rsidRPr="00D2122E">
              <w:lastRenderedPageBreak/>
              <w:t>premium amenities.</w:t>
            </w:r>
          </w:p>
        </w:tc>
      </w:tr>
      <w:tr w:rsidR="00D2122E" w:rsidRPr="00D2122E" w:rsidTr="00D212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</w:pPr>
            <w:r w:rsidRPr="00D2122E">
              <w:lastRenderedPageBreak/>
              <w:t>Other/Common Areas (Dining, Sports, Maintenance)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15,000 (estimated residual)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₹2,000-3,000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0.30-0.45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0.15-0.20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0.10-0.15 (kitchen equip, sports gear)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0.55-0.80</w:t>
            </w:r>
          </w:p>
        </w:tc>
        <w:tc>
          <w:tcPr>
            <w:tcW w:w="0" w:type="auto"/>
            <w:hideMark/>
          </w:tcPr>
          <w:p w:rsidR="00D2122E" w:rsidRPr="00D2122E" w:rsidRDefault="00D2122E" w:rsidP="00D2122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2122E">
              <w:t>Shared facilities; often 10% of total area.</w:t>
            </w:r>
          </w:p>
        </w:tc>
      </w:tr>
    </w:tbl>
    <w:p w:rsidR="00D2122E" w:rsidRDefault="00D2122E" w:rsidP="00D2122E">
      <w:pPr>
        <w:rPr>
          <w:b/>
          <w:bCs/>
        </w:rPr>
      </w:pPr>
    </w:p>
    <w:p w:rsidR="00D2122E" w:rsidRPr="00D2122E" w:rsidRDefault="00D2122E" w:rsidP="00D2122E">
      <w:r w:rsidRPr="00D2122E">
        <w:rPr>
          <w:b/>
          <w:bCs/>
        </w:rPr>
        <w:t>Grand Total (Before Add-Ons)</w:t>
      </w:r>
      <w:r w:rsidRPr="00D2122E">
        <w:t>: ₹41.33-58.38 Cr</w:t>
      </w:r>
    </w:p>
    <w:p w:rsidR="008D0397" w:rsidRDefault="008D0397"/>
    <w:sectPr w:rsidR="008D0397" w:rsidSect="00D2122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2E"/>
    <w:rsid w:val="0001639A"/>
    <w:rsid w:val="00047F7F"/>
    <w:rsid w:val="0080226F"/>
    <w:rsid w:val="008D0397"/>
    <w:rsid w:val="00D2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56782"/>
  <w15:chartTrackingRefBased/>
  <w15:docId w15:val="{8170EFB4-E929-49C5-BE6E-FDD165F6C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22E"/>
    <w:rPr>
      <w:b/>
      <w:bCs/>
      <w:smallCaps/>
      <w:color w:val="0F4761" w:themeColor="accent1" w:themeShade="BF"/>
      <w:spacing w:val="5"/>
    </w:rPr>
  </w:style>
  <w:style w:type="table" w:styleId="GridTable1Light-Accent6">
    <w:name w:val="Grid Table 1 Light Accent 6"/>
    <w:basedOn w:val="TableNormal"/>
    <w:uiPriority w:val="46"/>
    <w:rsid w:val="00D2122E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Salauddin Rahaman</dc:creator>
  <cp:keywords/>
  <dc:description/>
  <cp:lastModifiedBy>Salauddin Rahaman</cp:lastModifiedBy>
  <cp:revision>1</cp:revision>
  <dcterms:created xsi:type="dcterms:W3CDTF">2025-08-26T14:52:00Z</dcterms:created>
  <dcterms:modified xsi:type="dcterms:W3CDTF">2025-08-26T14:55:00Z</dcterms:modified>
</cp:coreProperties>
</file>