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4400" w:hRule="atLeast"/>
        </w:trPr>
        <w:tc>
          <w:tcPr>
            <w:tcW w:type="dxa" w:w="10800"/>
            <w:tcBorders>
              <w:top w:val="none" w:color="FFFFFF" w:sz="0"/>
              <w:left w:val="none" w:color="FFFFFF" w:sz="0"/>
              <w:bottom w:val="none" w:color="FFFFFF" w:sz="0"/>
              <w:right w:val="none" w:color="FFFFFF" w:sz="0"/>
            </w:tcBorders>
            <w:shd w:fill="0B1F3A" w:color="auto" w:val="clear"/>
            <w:vAlign w:val="center"/>
          </w:tcPr>
          <w:p>
            <w:pPr>
              <w:shd w:fill="0B1F3A" w:color="auto" w:val="clear"/>
              <w:spacing w:after="700"/>
            </w:pPr>
            <w:r>
              <w:t xml:space="preserve"/>
            </w:r>
          </w:p>
          <w:p>
            <w:pPr>
              <w:shd w:fill="0B1F3A" w:color="auto" w:val="clear"/>
              <w:spacing w:after="260"/>
              <w:jc w:val="center"/>
            </w:pPr>
            <w:r>
              <w:rPr>
                <w:rFonts w:ascii="Cambria" w:cs="Cambria" w:eastAsia="Cambria" w:hAnsi="Cambria"/>
                <w:color w:val="B8892B"/>
                <w:sz w:val="26"/>
                <w:szCs w:val="26"/>
              </w:rPr>
              <w:t xml:space="preserve">◆</w:t>
            </w:r>
          </w:p>
          <w:p>
            <w:pPr>
              <w:shd w:fill="0B1F3A" w:color="auto" w:val="clear"/>
              <w:spacing w:after="220"/>
              <w:jc w:val="center"/>
            </w:pPr>
            <w:r>
              <w:rPr>
                <w:rFonts w:ascii="Calibri" w:cs="Calibri" w:eastAsia="Calibri" w:hAnsi="Calibri"/>
                <w:b/>
                <w:bCs/>
                <w:color w:val="D8B96A"/>
                <w:sz w:val="17"/>
                <w:szCs w:val="17"/>
              </w:rPr>
              <w:t xml:space="preserve">C · O · N · C · E · P · T   N · O · T · E</w:t>
            </w:r>
          </w:p>
          <w:p>
            <w:pPr>
              <w:shd w:fill="0B1F3A" w:color="auto" w:val="clear"/>
              <w:spacing w:after="20" w:before="120"/>
              <w:jc w:val="center"/>
            </w:pPr>
            <w:r>
              <w:rPr>
                <w:rFonts w:ascii="Cambria" w:cs="Cambria" w:eastAsia="Cambria" w:hAnsi="Cambria"/>
                <w:b/>
                <w:bCs/>
                <w:color w:val="FFFFFF"/>
                <w:spacing w:val="24"/>
                <w:sz w:val="66"/>
                <w:szCs w:val="66"/>
              </w:rPr>
              <w:t xml:space="preserve">TARBIYAT</w:t>
            </w:r>
          </w:p>
          <w:p>
            <w:pPr>
              <w:shd w:fill="0B1F3A" w:color="auto" w:val="clear"/>
              <w:spacing w:after="300"/>
              <w:jc w:val="center"/>
            </w:pPr>
            <w:r>
              <w:rPr>
                <w:rFonts w:ascii="Cambria" w:cs="Cambria" w:eastAsia="Cambria" w:hAnsi="Cambria"/>
                <w:b/>
                <w:bCs/>
                <w:color w:val="B8892B"/>
                <w:spacing w:val="24"/>
                <w:sz w:val="66"/>
                <w:szCs w:val="66"/>
              </w:rPr>
              <w:t xml:space="preserve">MALAYSIA</w:t>
            </w:r>
          </w:p>
          <w:tbl>
            <w:tblPr>
              <w:tblW w:type="dxa" w:w="2600"/>
              <w:jc w:val="center"/>
              <w:tblBorders>
                <w:top w:val="single" w:color="B8892B" w:sz="8"/>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0B1F3A" w:color="auto" w:val="clear"/>
                  <w:tcMar>
                    <w:top w:type="dxa" w:w="0"/>
                    <w:left w:type="dxa" w:w="0"/>
                    <w:bottom w:type="dxa" w:w="0"/>
                    <w:right w:type="dxa" w:w="0"/>
                  </w:tcMar>
                </w:tcPr>
                <w:p>
                  <w:pPr>
                    <w:shd w:fill="0B1F3A" w:color="auto" w:val="clear"/>
                  </w:pPr>
                  <w:r>
                    <w:rPr>
                      <w:sz w:val="2"/>
                      <w:szCs w:val="2"/>
                    </w:rPr>
                    <w:t xml:space="preserve"/>
                  </w:r>
                </w:p>
              </w:tc>
            </w:tr>
          </w:tbl>
          <w:p>
            <w:pPr>
              <w:shd w:fill="0B1F3A" w:color="auto" w:val="clear"/>
              <w:spacing w:after="40" w:before="300"/>
              <w:jc w:val="center"/>
            </w:pPr>
            <w:r>
              <w:rPr>
                <w:rFonts w:ascii="Cambria" w:cs="Cambria" w:eastAsia="Cambria" w:hAnsi="Cambria"/>
                <w:b/>
                <w:bCs/>
                <w:color w:val="FFFFFF"/>
                <w:spacing w:val="8"/>
                <w:sz w:val="24"/>
                <w:szCs w:val="24"/>
              </w:rPr>
              <w:t xml:space="preserve">NATIONAL YOUTH TECH MISSIONS</w:t>
            </w:r>
          </w:p>
          <w:p>
            <w:pPr>
              <w:shd w:fill="0B1F3A" w:color="auto" w:val="clear"/>
              <w:spacing w:after="620"/>
              <w:jc w:val="center"/>
            </w:pPr>
            <w:r>
              <w:rPr>
                <w:rFonts w:ascii="Cambria" w:cs="Cambria" w:eastAsia="Cambria" w:hAnsi="Cambria"/>
                <w:b/>
                <w:bCs/>
                <w:color w:val="FFFFFF"/>
                <w:spacing w:val="8"/>
                <w:sz w:val="24"/>
                <w:szCs w:val="24"/>
              </w:rPr>
              <w:t xml:space="preserve">SCHOOL &amp; COLLEGE</w:t>
            </w:r>
          </w:p>
          <w:p>
            <w:pPr>
              <w:shd w:fill="0B1F3A" w:color="auto" w:val="clear"/>
              <w:spacing w:after="1300"/>
              <w:jc w:val="center"/>
            </w:pPr>
            <w:r>
              <w:rPr>
                <w:rFonts w:ascii="Calibri" w:cs="Calibri" w:eastAsia="Calibri" w:hAnsi="Calibri"/>
                <w:i/>
                <w:iCs/>
                <w:color w:val="F7F4EC"/>
                <w:sz w:val="22"/>
                <w:szCs w:val="22"/>
              </w:rPr>
              <w:t xml:space="preserve">A proposed Government-owned national youth R&amp;D campus</w:t>
            </w:r>
            <w:r>
              <w:rPr>
                <w:rFonts w:ascii="Calibri" w:cs="Calibri" w:eastAsia="Calibri" w:hAnsi="Calibri"/>
                <w:i/>
                <w:iCs/>
                <w:color w:val="F7F4EC"/>
                <w:sz w:val="22"/>
                <w:szCs w:val="22"/>
              </w:rPr>
              <w:br/>
              <w:t xml:space="preserve">for the technologies of the future</w:t>
            </w:r>
          </w:p>
          <w:p>
            <w:pPr>
              <w:shd w:fill="0B1F3A" w:color="auto" w:val="clear"/>
              <w:spacing w:after="60"/>
              <w:jc w:val="center"/>
            </w:pPr>
            <w:r>
              <w:rPr>
                <w:rFonts w:ascii="Calibri" w:cs="Calibri" w:eastAsia="Calibri" w:hAnsi="Calibri"/>
                <w:b/>
                <w:bCs/>
                <w:color w:val="D8B96A"/>
                <w:spacing w:val="4"/>
                <w:sz w:val="15"/>
                <w:szCs w:val="15"/>
              </w:rPr>
              <w:t xml:space="preserve">PREPARED FOR THE CONSIDERATION OF THE GOVERNMENT OF MALAYSIA</w:t>
            </w:r>
          </w:p>
          <w:p>
            <w:pPr>
              <w:shd w:fill="0B1F3A" w:color="auto" w:val="clear"/>
              <w:spacing w:after="900"/>
              <w:jc w:val="center"/>
            </w:pPr>
            <w:r>
              <w:rPr>
                <w:rFonts w:ascii="Calibri" w:cs="Calibri" w:eastAsia="Calibri" w:hAnsi="Calibri"/>
                <w:color w:val="F7F4EC"/>
                <w:sz w:val="20"/>
                <w:szCs w:val="20"/>
              </w:rPr>
              <w:t xml:space="preserve">by Tarbiyat Sociotech Foundation, New Delhi, India</w:t>
            </w:r>
          </w:p>
        </w:tc>
      </w:tr>
    </w:tbl>
    <w:p>
      <w:pPr>
        <w:sectPr>
          <w:pgSz w:w="12240" w:h="15840" w:orient="portrait"/>
          <w:pgMar w:top="720" w:right="720" w:bottom="720" w:left="720" w:header="708" w:footer="708" w:gutter="0"/>
          <w:pgNumType/>
          <w:docGrid w:linePitch="360"/>
        </w:sectPr>
      </w:pPr>
    </w:p>
    <w:p>
      <w:pPr>
        <w:spacing w:after="40"/>
      </w:pPr>
      <w:r>
        <w:rPr>
          <w:rFonts w:ascii="Cambria" w:cs="Cambria" w:eastAsia="Cambria" w:hAnsi="Cambria"/>
          <w:b/>
          <w:bCs/>
          <w:color w:val="0B1F3A"/>
          <w:sz w:val="34"/>
          <w:szCs w:val="34"/>
        </w:rPr>
        <w:t xml:space="preserve">TARBIYAT MALAYSIA</w:t>
      </w:r>
    </w:p>
    <w:p>
      <w:pPr>
        <w:pBdr>
          <w:bottom w:val="single" w:color="B8892B" w:sz="14" w:space="6"/>
        </w:pBdr>
        <w:spacing w:after="260"/>
      </w:pPr>
      <w:r>
        <w:rPr>
          <w:rFonts w:ascii="Cambria" w:cs="Cambria" w:eastAsia="Cambria" w:hAnsi="Cambria"/>
          <w:i/>
          <w:iCs/>
          <w:color w:val="5B6270"/>
          <w:sz w:val="21"/>
          <w:szCs w:val="21"/>
        </w:rPr>
        <w:t xml:space="preserve">National Youth Tech Missions School &amp; College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1250"/>
            <w:tcBorders>
              <w:top w:val="none" w:color="FFFFFF" w:sz="0"/>
              <w:left w:val="none" w:color="FFFFFF" w:sz="0"/>
              <w:bottom w:val="none" w:color="FFFFFF" w:sz="0"/>
              <w:right w:val="none" w:color="FFFFFF" w:sz="0"/>
            </w:tcBorders>
            <w:tcMar>
              <w:top w:type="dxa" w:w="40"/>
              <w:left w:type="dxa" w:w="0"/>
              <w:bottom w:type="dxa" w:w="40"/>
              <w:right w:type="dxa" w:w="120"/>
            </w:tcMar>
            <w:vAlign w:val="center"/>
          </w:tcPr>
          <w:p>
            <w:pPr>
              <w:jc w:val="left"/>
            </w:pPr>
            <w:r>
              <w:rPr>
                <w:rFonts w:ascii="Cambria" w:cs="Cambria" w:eastAsia="Cambria" w:hAnsi="Cambria"/>
                <w:b/>
                <w:bCs/>
                <w:color w:val="E6DFC9"/>
                <w:sz w:val="52"/>
                <w:szCs w:val="52"/>
              </w:rPr>
              <w:t xml:space="preserve">01</w:t>
            </w:r>
          </w:p>
        </w:tc>
        <w:tc>
          <w:tcPr>
            <w:tcW w:type="dxa" w:w="8110"/>
            <w:tcBorders>
              <w:top w:val="none" w:color="FFFFFF" w:sz="0"/>
              <w:left w:val="single" w:color="B8892B" w:sz="16" w:space="6"/>
              <w:bottom w:val="none" w:color="FFFFFF" w:sz="0"/>
              <w:right w:val="none" w:color="FFFFFF" w:sz="0"/>
            </w:tcBorders>
            <w:tcMar>
              <w:top w:type="dxa" w:w="40"/>
              <w:left w:type="dxa" w:w="120"/>
              <w:bottom w:type="dxa" w:w="40"/>
              <w:right w:type="dxa" w:w="0"/>
            </w:tcMar>
            <w:vAlign w:val="center"/>
          </w:tcPr>
          <w:p>
            <w:pPr>
              <w:spacing w:after="0" w:before="0"/>
            </w:pPr>
            <w:r>
              <w:rPr>
                <w:rFonts w:ascii="Cambria" w:cs="Cambria" w:eastAsia="Cambria" w:hAnsi="Cambria"/>
                <w:b/>
                <w:bCs/>
                <w:color w:val="0B1F3A"/>
                <w:sz w:val="30"/>
                <w:szCs w:val="30"/>
              </w:rPr>
              <w:t xml:space="preserve">The Proposal in One Sentence</w:t>
            </w:r>
          </w:p>
        </w:tc>
      </w:tr>
    </w:tbl>
    <w:p>
      <w:pPr>
        <w:spacing w:after="0" w:before="220"/>
      </w:pPr>
      <w:r>
        <w:t xml:space="preserve"/>
      </w:r>
    </w:p>
    <w:p>
      <w:pPr>
        <w:spacing w:after="180" w:line="300"/>
        <w:jc w:val="both"/>
      </w:pPr>
      <w:r>
        <w:rPr>
          <w:rFonts w:ascii="Calibri" w:cs="Calibri" w:eastAsia="Calibri" w:hAnsi="Calibri"/>
          <w:color w:val="26262A"/>
          <w:sz w:val="22"/>
          <w:szCs w:val="22"/>
        </w:rPr>
        <w:t xml:space="preserve">Malaysia already has schools, universities and technology institutions. This proposal is for something different: </w:t>
      </w:r>
      <w:r>
        <w:rPr>
          <w:rFonts w:ascii="Calibri" w:cs="Calibri" w:eastAsia="Calibri" w:hAnsi="Calibri"/>
          <w:b/>
          <w:bCs/>
          <w:color w:val="0B1F3A"/>
          <w:sz w:val="22"/>
          <w:szCs w:val="22"/>
        </w:rPr>
        <w:t xml:space="preserve">a school-age-to-college innovation system where young Malaysians do not merely learn to use technology — they are trained to build, test, protect and commercialise it for Malaysia.</w:t>
      </w:r>
    </w:p>
    <w:p>
      <w:pPr>
        <w:spacing w:after="180" w:line="300"/>
        <w:jc w:val="both"/>
      </w:pPr>
      <w:r>
        <w:rPr>
          <w:rFonts w:ascii="Calibri" w:cs="Calibri" w:eastAsia="Calibri" w:hAnsi="Calibri"/>
          <w:color w:val="26262A"/>
          <w:sz w:val="22"/>
          <w:szCs w:val="22"/>
        </w:rPr>
        <w:t xml:space="preserve">The Tarbiyat model is designed as a full residential, mission-driven campus that also functions as a youth R&amp;D institution, an innovation laboratory and an IP-commercialisation pathway. The aim is simple: a student should leave with recognised academic credentials, but also with verified evidence of systems, prototypes and solutions actually built over the years.</w:t>
      </w:r>
    </w:p>
    <w:p>
      <w:pPr>
        <w:spacing w:after="120" w:before="120"/>
      </w:pPr>
      <w:r>
        <w:t xml:space="preserve"/>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single" w:color="B8892B" w:sz="20" w:space="14"/>
              <w:bottom w:val="none" w:color="FFFFFF" w:sz="0"/>
              <w:right w:val="none" w:color="FFFFFF" w:sz="0"/>
            </w:tcBorders>
            <w:shd w:fill="F7F4EC" w:color="auto" w:val="clear"/>
            <w:tcMar>
              <w:top w:type="dxa" w:w="260"/>
              <w:left w:type="dxa" w:w="420"/>
              <w:bottom w:type="dxa" w:w="260"/>
              <w:right w:type="dxa" w:w="420"/>
            </w:tcMar>
            <w:vAlign w:val="top"/>
          </w:tcPr>
          <w:p>
            <w:pPr>
              <w:spacing w:line="300"/>
              <w:jc w:val="left"/>
            </w:pPr>
            <w:r>
              <w:rPr>
                <w:rFonts w:ascii="Cambria" w:cs="Cambria" w:eastAsia="Cambria" w:hAnsi="Cambria"/>
                <w:b/>
                <w:bCs/>
                <w:i/>
                <w:iCs/>
                <w:color w:val="0B1F3A"/>
                <w:sz w:val="24"/>
                <w:szCs w:val="24"/>
              </w:rPr>
              <w:t xml:space="preserve">The proposal is not to bring a foreign school into Malaysia. It is to help Malaysia create and own a new Malaysian institution.</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1250"/>
            <w:tcBorders>
              <w:top w:val="none" w:color="FFFFFF" w:sz="0"/>
              <w:left w:val="none" w:color="FFFFFF" w:sz="0"/>
              <w:bottom w:val="none" w:color="FFFFFF" w:sz="0"/>
              <w:right w:val="none" w:color="FFFFFF" w:sz="0"/>
            </w:tcBorders>
            <w:tcMar>
              <w:top w:type="dxa" w:w="40"/>
              <w:left w:type="dxa" w:w="0"/>
              <w:bottom w:type="dxa" w:w="40"/>
              <w:right w:type="dxa" w:w="120"/>
            </w:tcMar>
            <w:vAlign w:val="center"/>
          </w:tcPr>
          <w:p>
            <w:pPr>
              <w:jc w:val="left"/>
            </w:pPr>
            <w:r>
              <w:rPr>
                <w:rFonts w:ascii="Cambria" w:cs="Cambria" w:eastAsia="Cambria" w:hAnsi="Cambria"/>
                <w:b/>
                <w:bCs/>
                <w:color w:val="E6DFC9"/>
                <w:sz w:val="52"/>
                <w:szCs w:val="52"/>
              </w:rPr>
              <w:t xml:space="preserve">02</w:t>
            </w:r>
          </w:p>
        </w:tc>
        <w:tc>
          <w:tcPr>
            <w:tcW w:type="dxa" w:w="8110"/>
            <w:tcBorders>
              <w:top w:val="none" w:color="FFFFFF" w:sz="0"/>
              <w:left w:val="single" w:color="B8892B" w:sz="16" w:space="6"/>
              <w:bottom w:val="none" w:color="FFFFFF" w:sz="0"/>
              <w:right w:val="none" w:color="FFFFFF" w:sz="0"/>
            </w:tcBorders>
            <w:tcMar>
              <w:top w:type="dxa" w:w="40"/>
              <w:left w:type="dxa" w:w="120"/>
              <w:bottom w:type="dxa" w:w="40"/>
              <w:right w:type="dxa" w:w="0"/>
            </w:tcMar>
            <w:vAlign w:val="center"/>
          </w:tcPr>
          <w:p>
            <w:pPr>
              <w:spacing w:after="0" w:before="0"/>
            </w:pPr>
            <w:r>
              <w:rPr>
                <w:rFonts w:ascii="Cambria" w:cs="Cambria" w:eastAsia="Cambria" w:hAnsi="Cambria"/>
                <w:b/>
                <w:bCs/>
                <w:color w:val="0B1F3A"/>
                <w:sz w:val="30"/>
                <w:szCs w:val="30"/>
              </w:rPr>
              <w:t xml:space="preserve">What Makes This School Fundamentally Different</w:t>
            </w:r>
          </w:p>
        </w:tc>
      </w:tr>
    </w:tbl>
    <w:p>
      <w:pPr>
        <w:spacing w:after="0" w:before="220"/>
      </w:pPr>
      <w:r>
        <w:t xml:space="preserve"/>
      </w:r>
    </w:p>
    <w:p>
      <w:pPr>
        <w:pStyle w:val="ListParagraph"/>
        <w:numPr>
          <w:ilvl w:val="0"/>
          <w:numId w:val="2"/>
        </w:numPr>
        <w:spacing w:after="200" w:line="300"/>
        <w:jc w:val="both"/>
      </w:pPr>
      <w:r>
        <w:rPr>
          <w:rFonts w:ascii="Calibri" w:cs="Calibri" w:eastAsia="Calibri" w:hAnsi="Calibri"/>
          <w:b/>
          <w:bCs/>
          <w:color w:val="0B1F3A"/>
          <w:sz w:val="22"/>
          <w:szCs w:val="22"/>
        </w:rPr>
        <w:t xml:space="preserve">Mission Labs instead of ordinary school laboratories — </w:t>
      </w:r>
      <w:r>
        <w:rPr>
          <w:rFonts w:ascii="Calibri" w:cs="Calibri" w:eastAsia="Calibri" w:hAnsi="Calibri"/>
          <w:color w:val="26262A"/>
          <w:sz w:val="22"/>
          <w:szCs w:val="22"/>
        </w:rPr>
        <w:t xml:space="preserve">professional-grade environments for AI and machine learning, robotics, cybersecurity, electric mobility, energy systems, digital fabrication, drones and other frontier technologies.</w:t>
      </w:r>
    </w:p>
    <w:p>
      <w:pPr>
        <w:pStyle w:val="ListParagraph"/>
        <w:numPr>
          <w:ilvl w:val="0"/>
          <w:numId w:val="2"/>
        </w:numPr>
        <w:spacing w:after="200" w:line="300"/>
        <w:jc w:val="both"/>
      </w:pPr>
      <w:r>
        <w:rPr>
          <w:rFonts w:ascii="Calibri" w:cs="Calibri" w:eastAsia="Calibri" w:hAnsi="Calibri"/>
          <w:b/>
          <w:bCs/>
          <w:color w:val="0B1F3A"/>
          <w:sz w:val="22"/>
          <w:szCs w:val="22"/>
        </w:rPr>
        <w:t xml:space="preserve">Real national missions — </w:t>
      </w:r>
      <w:r>
        <w:rPr>
          <w:rFonts w:ascii="Calibri" w:cs="Calibri" w:eastAsia="Calibri" w:hAnsi="Calibri"/>
          <w:color w:val="26262A"/>
          <w:sz w:val="22"/>
          <w:szCs w:val="22"/>
        </w:rPr>
        <w:t xml:space="preserve">students work on carefully selected problems brought by government agencies, universities, government-linked companies and industry partners, under secure and supervised conditions.</w:t>
      </w:r>
    </w:p>
    <w:p>
      <w:pPr>
        <w:pStyle w:val="ListParagraph"/>
        <w:numPr>
          <w:ilvl w:val="0"/>
          <w:numId w:val="2"/>
        </w:numPr>
        <w:spacing w:after="200" w:line="300"/>
        <w:jc w:val="both"/>
      </w:pPr>
      <w:r>
        <w:rPr>
          <w:rFonts w:ascii="Calibri" w:cs="Calibri" w:eastAsia="Calibri" w:hAnsi="Calibri"/>
          <w:b/>
          <w:bCs/>
          <w:color w:val="0B1F3A"/>
          <w:sz w:val="22"/>
          <w:szCs w:val="22"/>
        </w:rPr>
        <w:t xml:space="preserve">Proof of capability, not marks alone — </w:t>
      </w:r>
      <w:r>
        <w:rPr>
          <w:rFonts w:ascii="Calibri" w:cs="Calibri" w:eastAsia="Calibri" w:hAnsi="Calibri"/>
          <w:color w:val="26262A"/>
          <w:sz w:val="22"/>
          <w:szCs w:val="22"/>
        </w:rPr>
        <w:t xml:space="preserve">national examinations remain the formal academic safety net, while a digital Proof of Capability Profile records what each student can actually design, build and solve.</w:t>
      </w:r>
    </w:p>
    <w:p>
      <w:pPr>
        <w:pStyle w:val="ListParagraph"/>
        <w:numPr>
          <w:ilvl w:val="0"/>
          <w:numId w:val="2"/>
        </w:numPr>
        <w:spacing w:after="200" w:line="300"/>
        <w:jc w:val="both"/>
      </w:pPr>
      <w:r>
        <w:rPr>
          <w:rFonts w:ascii="Calibri" w:cs="Calibri" w:eastAsia="Calibri" w:hAnsi="Calibri"/>
          <w:b/>
          <w:bCs/>
          <w:color w:val="0B1F3A"/>
          <w:sz w:val="22"/>
          <w:szCs w:val="22"/>
        </w:rPr>
        <w:t xml:space="preserve">A youth IP and micro-venture pathway — </w:t>
      </w:r>
      <w:r>
        <w:rPr>
          <w:rFonts w:ascii="Calibri" w:cs="Calibri" w:eastAsia="Calibri" w:hAnsi="Calibri"/>
          <w:color w:val="26262A"/>
          <w:sz w:val="22"/>
          <w:szCs w:val="22"/>
        </w:rPr>
        <w:t xml:space="preserve">promising student work can move from prototype to patent, licensing, startup or government deployment under Malaysian law and a Government-approved IP policy.</w:t>
      </w:r>
    </w:p>
    <w:p>
      <w:pPr>
        <w:pStyle w:val="ListParagraph"/>
        <w:numPr>
          <w:ilvl w:val="0"/>
          <w:numId w:val="2"/>
        </w:numPr>
        <w:spacing w:after="200" w:line="300"/>
        <w:jc w:val="both"/>
      </w:pPr>
      <w:r>
        <w:rPr>
          <w:rFonts w:ascii="Calibri" w:cs="Calibri" w:eastAsia="Calibri" w:hAnsi="Calibri"/>
          <w:b/>
          <w:bCs/>
          <w:color w:val="0B1F3A"/>
          <w:sz w:val="22"/>
          <w:szCs w:val="22"/>
        </w:rPr>
        <w:t xml:space="preserve">Sovereign technology and data architecture — </w:t>
      </w:r>
      <w:r>
        <w:rPr>
          <w:rFonts w:ascii="Calibri" w:cs="Calibri" w:eastAsia="Calibri" w:hAnsi="Calibri"/>
          <w:color w:val="26262A"/>
          <w:sz w:val="22"/>
          <w:szCs w:val="22"/>
        </w:rPr>
        <w:t xml:space="preserve">sensitive student data, mission records and government/industry R&amp;D can be held on Malaysian-controlled infrastructure with strict access and cybersecurity rules.</w:t>
      </w:r>
    </w:p>
    <w:p>
      <w:pPr>
        <w:pStyle w:val="ListParagraph"/>
        <w:numPr>
          <w:ilvl w:val="0"/>
          <w:numId w:val="2"/>
        </w:numPr>
        <w:spacing w:after="200" w:line="300"/>
        <w:jc w:val="both"/>
      </w:pPr>
      <w:r>
        <w:rPr>
          <w:rFonts w:ascii="Calibri" w:cs="Calibri" w:eastAsia="Calibri" w:hAnsi="Calibri"/>
          <w:b/>
          <w:bCs/>
          <w:color w:val="0B1F3A"/>
          <w:sz w:val="22"/>
          <w:szCs w:val="22"/>
        </w:rPr>
        <w:t xml:space="preserve">A residential culture of discipline, mentoring and national purpose — </w:t>
      </w:r>
      <w:r>
        <w:rPr>
          <w:rFonts w:ascii="Calibri" w:cs="Calibri" w:eastAsia="Calibri" w:hAnsi="Calibri"/>
          <w:color w:val="26262A"/>
          <w:sz w:val="22"/>
          <w:szCs w:val="22"/>
        </w:rPr>
        <w:t xml:space="preserve">the 24-hour model means an integrated campus life of study, laboratories, mentoring, wellbeing, sport, teamwork and character formation; it does not mean 24-hour classroom teaching.</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1250"/>
            <w:tcBorders>
              <w:top w:val="none" w:color="FFFFFF" w:sz="0"/>
              <w:left w:val="none" w:color="FFFFFF" w:sz="0"/>
              <w:bottom w:val="none" w:color="FFFFFF" w:sz="0"/>
              <w:right w:val="none" w:color="FFFFFF" w:sz="0"/>
            </w:tcBorders>
            <w:tcMar>
              <w:top w:type="dxa" w:w="40"/>
              <w:left w:type="dxa" w:w="0"/>
              <w:bottom w:type="dxa" w:w="40"/>
              <w:right w:type="dxa" w:w="120"/>
            </w:tcMar>
            <w:vAlign w:val="center"/>
          </w:tcPr>
          <w:p>
            <w:pPr>
              <w:jc w:val="left"/>
            </w:pPr>
            <w:r>
              <w:rPr>
                <w:rFonts w:ascii="Cambria" w:cs="Cambria" w:eastAsia="Cambria" w:hAnsi="Cambria"/>
                <w:b/>
                <w:bCs/>
                <w:color w:val="E6DFC9"/>
                <w:sz w:val="52"/>
                <w:szCs w:val="52"/>
              </w:rPr>
              <w:t xml:space="preserve">03</w:t>
            </w:r>
          </w:p>
        </w:tc>
        <w:tc>
          <w:tcPr>
            <w:tcW w:type="dxa" w:w="8110"/>
            <w:tcBorders>
              <w:top w:val="none" w:color="FFFFFF" w:sz="0"/>
              <w:left w:val="single" w:color="B8892B" w:sz="16" w:space="6"/>
              <w:bottom w:val="none" w:color="FFFFFF" w:sz="0"/>
              <w:right w:val="none" w:color="FFFFFF" w:sz="0"/>
            </w:tcBorders>
            <w:tcMar>
              <w:top w:type="dxa" w:w="40"/>
              <w:left w:type="dxa" w:w="120"/>
              <w:bottom w:type="dxa" w:w="40"/>
              <w:right w:type="dxa" w:w="0"/>
            </w:tcMar>
            <w:vAlign w:val="center"/>
          </w:tcPr>
          <w:p>
            <w:pPr>
              <w:spacing w:after="0" w:before="0"/>
            </w:pPr>
            <w:r>
              <w:rPr>
                <w:rFonts w:ascii="Cambria" w:cs="Cambria" w:eastAsia="Cambria" w:hAnsi="Cambria"/>
                <w:b/>
                <w:bCs/>
                <w:color w:val="0B1F3A"/>
                <w:sz w:val="30"/>
                <w:szCs w:val="30"/>
              </w:rPr>
              <w:t xml:space="preserve">What Malaysia Could Gain</w:t>
            </w:r>
          </w:p>
        </w:tc>
      </w:tr>
    </w:tbl>
    <w:p>
      <w:pPr>
        <w:spacing w:after="160" w:before="220"/>
      </w:pPr>
      <w:r>
        <w:t xml:space="preserve"/>
      </w:r>
    </w:p>
    <w:p>
      <w:pPr>
        <w:spacing w:after="220" w:line="300"/>
        <w:jc w:val="both"/>
      </w:pPr>
      <w:r>
        <w:rPr>
          <w:rFonts w:ascii="Calibri" w:cs="Calibri" w:eastAsia="Calibri" w:hAnsi="Calibri"/>
          <w:color w:val="26262A"/>
          <w:sz w:val="22"/>
          <w:szCs w:val="22"/>
        </w:rPr>
        <w:t xml:space="preserve">This is a long-term national capability project, not a short-term school reform. If implemented well and linked to Malaysian institutions, its value would be measured by what its students and alumni create for the country. The intended outcomes are:</w:t>
      </w:r>
    </w:p>
    <w:p>
      <w:pPr>
        <w:pStyle w:val="ListParagraph"/>
        <w:numPr>
          <w:ilvl w:val="0"/>
          <w:numId w:val="2"/>
        </w:numPr>
        <w:spacing w:after="200" w:line="300"/>
        <w:jc w:val="both"/>
      </w:pPr>
      <w:r>
        <w:rPr>
          <w:rFonts w:ascii="Calibri" w:cs="Calibri" w:eastAsia="Calibri" w:hAnsi="Calibri"/>
          <w:b/>
          <w:bCs/>
          <w:color w:val="0B1F3A"/>
          <w:sz w:val="22"/>
          <w:szCs w:val="22"/>
        </w:rPr>
        <w:t xml:space="preserve">A continuous pipeline </w:t>
      </w:r>
      <w:r>
        <w:rPr>
          <w:rFonts w:ascii="Calibri" w:cs="Calibri" w:eastAsia="Calibri" w:hAnsi="Calibri"/>
          <w:color w:val="26262A"/>
          <w:sz w:val="22"/>
          <w:szCs w:val="22"/>
        </w:rPr>
        <w:t xml:space="preserve">of young engineers, makers, researchers and technology founders who begin serious project work years before university.</w:t>
      </w:r>
    </w:p>
    <w:p>
      <w:pPr>
        <w:pStyle w:val="ListParagraph"/>
        <w:numPr>
          <w:ilvl w:val="0"/>
          <w:numId w:val="2"/>
        </w:numPr>
        <w:spacing w:after="200" w:line="300"/>
        <w:jc w:val="both"/>
      </w:pPr>
      <w:r>
        <w:rPr>
          <w:rFonts w:ascii="Calibri" w:cs="Calibri" w:eastAsia="Calibri" w:hAnsi="Calibri"/>
          <w:b/>
          <w:bCs/>
          <w:color w:val="0B1F3A"/>
          <w:sz w:val="22"/>
          <w:szCs w:val="22"/>
        </w:rPr>
        <w:t xml:space="preserve">More Malaysian-owned prototypes, </w:t>
      </w:r>
      <w:r>
        <w:rPr>
          <w:rFonts w:ascii="Calibri" w:cs="Calibri" w:eastAsia="Calibri" w:hAnsi="Calibri"/>
          <w:color w:val="26262A"/>
          <w:sz w:val="22"/>
          <w:szCs w:val="22"/>
        </w:rPr>
        <w:t xml:space="preserve">patents, software, hardware solutions and licensable intellectual property in areas such as AI, robotics, cyber systems, energy and advanced manufacturing.</w:t>
      </w:r>
    </w:p>
    <w:p>
      <w:pPr>
        <w:pStyle w:val="ListParagraph"/>
        <w:numPr>
          <w:ilvl w:val="0"/>
          <w:numId w:val="2"/>
        </w:numPr>
        <w:spacing w:after="200" w:line="300"/>
        <w:jc w:val="both"/>
      </w:pPr>
      <w:r>
        <w:rPr>
          <w:rFonts w:ascii="Calibri" w:cs="Calibri" w:eastAsia="Calibri" w:hAnsi="Calibri"/>
          <w:b/>
          <w:bCs/>
          <w:color w:val="0B1F3A"/>
          <w:sz w:val="22"/>
          <w:szCs w:val="22"/>
        </w:rPr>
        <w:t xml:space="preserve">A practical import-substitution pathway: </w:t>
      </w:r>
      <w:r>
        <w:rPr>
          <w:rFonts w:ascii="Calibri" w:cs="Calibri" w:eastAsia="Calibri" w:hAnsi="Calibri"/>
          <w:color w:val="26262A"/>
          <w:sz w:val="22"/>
          <w:szCs w:val="22"/>
        </w:rPr>
        <w:t xml:space="preserve">selected technologies currently purchased from abroad can become student-industry missions for local redesign, adaptation and eventual production.</w:t>
      </w:r>
    </w:p>
    <w:p>
      <w:pPr>
        <w:pStyle w:val="ListParagraph"/>
        <w:numPr>
          <w:ilvl w:val="0"/>
          <w:numId w:val="2"/>
        </w:numPr>
        <w:spacing w:after="200" w:line="300"/>
        <w:jc w:val="both"/>
      </w:pPr>
      <w:r>
        <w:rPr>
          <w:rFonts w:ascii="Calibri" w:cs="Calibri" w:eastAsia="Calibri" w:hAnsi="Calibri"/>
          <w:b/>
          <w:bCs/>
          <w:color w:val="0B1F3A"/>
          <w:sz w:val="22"/>
          <w:szCs w:val="22"/>
        </w:rPr>
        <w:t xml:space="preserve">A stronger bridge between school, university, government and industry — </w:t>
      </w:r>
      <w:r>
        <w:rPr>
          <w:rFonts w:ascii="Calibri" w:cs="Calibri" w:eastAsia="Calibri" w:hAnsi="Calibri"/>
          <w:color w:val="26262A"/>
          <w:sz w:val="22"/>
          <w:szCs w:val="22"/>
        </w:rPr>
        <w:t xml:space="preserve">with companies and public institutions helping define real missions rather than appearing only for occasional seminars.</w:t>
      </w:r>
    </w:p>
    <w:p>
      <w:pPr>
        <w:pStyle w:val="ListParagraph"/>
        <w:numPr>
          <w:ilvl w:val="0"/>
          <w:numId w:val="2"/>
        </w:numPr>
        <w:spacing w:after="200" w:line="300"/>
        <w:jc w:val="both"/>
      </w:pPr>
      <w:r>
        <w:rPr>
          <w:rFonts w:ascii="Calibri" w:cs="Calibri" w:eastAsia="Calibri" w:hAnsi="Calibri"/>
          <w:b/>
          <w:bCs/>
          <w:color w:val="0B1F3A"/>
          <w:sz w:val="22"/>
          <w:szCs w:val="22"/>
        </w:rPr>
        <w:t xml:space="preserve">A visible Malaysian model </w:t>
      </w:r>
      <w:r>
        <w:rPr>
          <w:rFonts w:ascii="Calibri" w:cs="Calibri" w:eastAsia="Calibri" w:hAnsi="Calibri"/>
          <w:color w:val="26262A"/>
          <w:sz w:val="22"/>
          <w:szCs w:val="22"/>
        </w:rPr>
        <w:t xml:space="preserve">for youth technology development that can, after proof of success, be replicated nationally and potentially presented as a Malaysian-led innovation model for the wider region.</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1250"/>
            <w:tcBorders>
              <w:top w:val="none" w:color="FFFFFF" w:sz="0"/>
              <w:left w:val="none" w:color="FFFFFF" w:sz="0"/>
              <w:bottom w:val="none" w:color="FFFFFF" w:sz="0"/>
              <w:right w:val="none" w:color="FFFFFF" w:sz="0"/>
            </w:tcBorders>
            <w:tcMar>
              <w:top w:type="dxa" w:w="40"/>
              <w:left w:type="dxa" w:w="0"/>
              <w:bottom w:type="dxa" w:w="40"/>
              <w:right w:type="dxa" w:w="120"/>
            </w:tcMar>
            <w:vAlign w:val="center"/>
          </w:tcPr>
          <w:p>
            <w:pPr>
              <w:jc w:val="left"/>
            </w:pPr>
            <w:r>
              <w:rPr>
                <w:rFonts w:ascii="Cambria" w:cs="Cambria" w:eastAsia="Cambria" w:hAnsi="Cambria"/>
                <w:b/>
                <w:bCs/>
                <w:color w:val="E6DFC9"/>
                <w:sz w:val="52"/>
                <w:szCs w:val="52"/>
              </w:rPr>
              <w:t xml:space="preserve">04</w:t>
            </w:r>
          </w:p>
        </w:tc>
        <w:tc>
          <w:tcPr>
            <w:tcW w:type="dxa" w:w="8110"/>
            <w:tcBorders>
              <w:top w:val="none" w:color="FFFFFF" w:sz="0"/>
              <w:left w:val="single" w:color="B8892B" w:sz="16" w:space="6"/>
              <w:bottom w:val="none" w:color="FFFFFF" w:sz="0"/>
              <w:right w:val="none" w:color="FFFFFF" w:sz="0"/>
            </w:tcBorders>
            <w:tcMar>
              <w:top w:type="dxa" w:w="40"/>
              <w:left w:type="dxa" w:w="120"/>
              <w:bottom w:type="dxa" w:w="40"/>
              <w:right w:type="dxa" w:w="0"/>
            </w:tcMar>
            <w:vAlign w:val="center"/>
          </w:tcPr>
          <w:p>
            <w:pPr>
              <w:spacing w:after="0" w:before="0"/>
            </w:pPr>
            <w:r>
              <w:rPr>
                <w:rFonts w:ascii="Cambria" w:cs="Cambria" w:eastAsia="Cambria" w:hAnsi="Cambria"/>
                <w:b/>
                <w:bCs/>
                <w:color w:val="0B1F3A"/>
                <w:sz w:val="30"/>
                <w:szCs w:val="30"/>
              </w:rPr>
              <w:t xml:space="preserve">Ownership: Malaysian from Day One</w:t>
            </w:r>
          </w:p>
        </w:tc>
      </w:tr>
    </w:tbl>
    <w:p>
      <w:pPr>
        <w:spacing w:after="160" w:before="220"/>
      </w:pPr>
      <w:r>
        <w:t xml:space="preserve"/>
      </w:r>
    </w:p>
    <w:p>
      <w:pPr>
        <w:spacing w:after="120" w:line="300"/>
        <w:jc w:val="both"/>
      </w:pPr>
      <w:r>
        <w:rPr>
          <w:rFonts w:ascii="Calibri" w:cs="Calibri" w:eastAsia="Calibri" w:hAnsi="Calibri"/>
          <w:b/>
          <w:bCs/>
          <w:color w:val="0B1F3A"/>
          <w:sz w:val="22"/>
          <w:szCs w:val="22"/>
        </w:rPr>
        <w:t xml:space="preserve">The school should belong to Malaysia, not to Tarbiyat.</w:t>
      </w:r>
    </w:p>
    <w:p>
      <w:pPr>
        <w:spacing w:after="260" w:line="300"/>
        <w:jc w:val="both"/>
      </w:pPr>
      <w:r>
        <w:rPr>
          <w:rFonts w:ascii="Calibri" w:cs="Calibri" w:eastAsia="Calibri" w:hAnsi="Calibri"/>
          <w:color w:val="26262A"/>
          <w:sz w:val="22"/>
          <w:szCs w:val="22"/>
        </w:rPr>
        <w:t xml:space="preserve">The proposed institution would be Government-owned and governed. The Government of Malaysia would determine the site, legal structure, admissions policy, curriculum recognition, security framework, budget, national mission priorities and the rules governing student and national-project intellectual property. No private ownership of the school is sought by Tarbiyat Sociotech Foundation.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single" w:color="FFFFFF" w:sz="4"/>
            </w:tcBorders>
            <w:shd w:fill="0B1F3A" w:color="auto" w:val="clear"/>
            <w:tcMar>
              <w:top w:type="dxa" w:w="160"/>
              <w:left w:type="dxa" w:w="200"/>
              <w:bottom w:type="dxa" w:w="160"/>
              <w:right w:type="dxa" w:w="200"/>
            </w:tcMar>
            <w:vAlign w:val="top"/>
          </w:tcPr>
          <w:p>
            <w:pPr>
              <w:jc w:val="center"/>
            </w:pPr>
            <w:r>
              <w:rPr>
                <w:rFonts w:ascii="Cambria" w:cs="Cambria" w:eastAsia="Cambria" w:hAnsi="Cambria"/>
                <w:b/>
                <w:bCs/>
                <w:color w:val="FFFFFF"/>
                <w:sz w:val="21"/>
                <w:szCs w:val="21"/>
              </w:rPr>
              <w:t xml:space="preserve">GOVERNMENT OF MALAYSIA</w:t>
            </w:r>
          </w:p>
        </w:tc>
        <w:tc>
          <w:tcPr>
            <w:tcW w:type="dxa" w:w="4680"/>
            <w:tcBorders>
              <w:top w:val="none" w:color="FFFFFF" w:sz="0"/>
              <w:left w:val="none" w:color="FFFFFF" w:sz="0"/>
              <w:bottom w:val="none" w:color="FFFFFF" w:sz="0"/>
              <w:right w:val="single" w:color="FFFFFF" w:sz="4"/>
            </w:tcBorders>
            <w:shd w:fill="0B1F3A" w:color="auto" w:val="clear"/>
            <w:tcMar>
              <w:top w:type="dxa" w:w="160"/>
              <w:left w:type="dxa" w:w="200"/>
              <w:bottom w:type="dxa" w:w="160"/>
              <w:right w:type="dxa" w:w="200"/>
            </w:tcMar>
            <w:vAlign w:val="top"/>
          </w:tcPr>
          <w:p>
            <w:pPr>
              <w:jc w:val="center"/>
            </w:pPr>
            <w:r>
              <w:rPr>
                <w:rFonts w:ascii="Cambria" w:cs="Cambria" w:eastAsia="Cambria" w:hAnsi="Cambria"/>
                <w:b/>
                <w:bCs/>
                <w:color w:val="FFFFFF"/>
                <w:sz w:val="21"/>
                <w:szCs w:val="21"/>
              </w:rPr>
              <w:t xml:space="preserve">TARBIYAT SOCIOTECH FOUNDATION</w:t>
            </w:r>
          </w:p>
        </w:tc>
      </w:tr>
      <w:tr>
        <w:trPr>
          <w:cantSplit/>
        </w:trPr>
        <w:tc>
          <w:tcPr>
            <w:tcW w:type="dxa" w:w="4680"/>
            <w:tcBorders>
              <w:top w:val="single" w:color="E6DFC9" w:sz="4"/>
              <w:left w:val="none" w:color="FFFFFF" w:sz="0"/>
              <w:bottom w:val="single" w:color="E6DFC9" w:sz="4"/>
              <w:right w:val="single" w:color="E6DFC9" w:sz="4"/>
            </w:tcBorders>
            <w:shd w:fill="FFFFFF" w:color="auto" w:val="clear"/>
            <w:tcMar>
              <w:top w:type="dxa" w:w="160"/>
              <w:left w:type="dxa" w:w="220"/>
              <w:bottom w:type="dxa" w:w="160"/>
              <w:right w:type="dxa" w:w="220"/>
            </w:tcMar>
            <w:vAlign w:val="top"/>
          </w:tcPr>
          <w:p>
            <w:pPr>
              <w:spacing w:line="276"/>
            </w:pPr>
            <w:r>
              <w:rPr>
                <w:rFonts w:ascii="Calibri" w:cs="Calibri" w:eastAsia="Calibri" w:hAnsi="Calibri"/>
                <w:color w:val="26262A"/>
                <w:sz w:val="20"/>
                <w:szCs w:val="20"/>
              </w:rPr>
              <w:t xml:space="preserve">Owns and controls the institution, campus assets and the national governance framework.</w:t>
            </w:r>
          </w:p>
        </w:tc>
        <w:tc>
          <w:tcPr>
            <w:tcW w:type="dxa" w:w="4680"/>
            <w:tcBorders>
              <w:top w:val="single" w:color="E6DFC9" w:sz="4"/>
              <w:left w:val="none" w:color="FFFFFF" w:sz="0"/>
              <w:bottom w:val="single" w:color="E6DFC9" w:sz="4"/>
              <w:right w:val="single" w:color="E6DFC9" w:sz="4"/>
            </w:tcBorders>
            <w:shd w:fill="FFFFFF" w:color="auto" w:val="clear"/>
            <w:tcMar>
              <w:top w:type="dxa" w:w="160"/>
              <w:left w:type="dxa" w:w="220"/>
              <w:bottom w:type="dxa" w:w="160"/>
              <w:right w:type="dxa" w:w="220"/>
            </w:tcMar>
            <w:vAlign w:val="top"/>
          </w:tcPr>
          <w:p>
            <w:pPr>
              <w:spacing w:line="276"/>
            </w:pPr>
            <w:r>
              <w:rPr>
                <w:rFonts w:ascii="Calibri" w:cs="Calibri" w:eastAsia="Calibri" w:hAnsi="Calibri"/>
                <w:color w:val="26262A"/>
                <w:sz w:val="20"/>
                <w:szCs w:val="20"/>
              </w:rPr>
              <w:t xml:space="preserve">Acts as concept architect and implementation partner — not owner of the school.</w:t>
            </w:r>
          </w:p>
        </w:tc>
      </w:tr>
      <w:tr>
        <w:trPr>
          <w:cantSplit/>
        </w:trPr>
        <w:tc>
          <w:tcPr>
            <w:tcW w:type="dxa" w:w="4680"/>
            <w:tcBorders>
              <w:top w:val="single" w:color="E6DFC9" w:sz="4"/>
              <w:left w:val="none" w:color="FFFFFF" w:sz="0"/>
              <w:bottom w:val="single" w:color="E6DFC9" w:sz="4"/>
              <w:right w:val="single" w:color="E6DFC9" w:sz="4"/>
            </w:tcBorders>
            <w:shd w:fill="F7F4EC" w:color="auto" w:val="clear"/>
            <w:tcMar>
              <w:top w:type="dxa" w:w="160"/>
              <w:left w:type="dxa" w:w="220"/>
              <w:bottom w:type="dxa" w:w="160"/>
              <w:right w:type="dxa" w:w="220"/>
            </w:tcMar>
            <w:vAlign w:val="top"/>
          </w:tcPr>
          <w:p>
            <w:pPr>
              <w:spacing w:line="276"/>
            </w:pPr>
            <w:r>
              <w:rPr>
                <w:rFonts w:ascii="Calibri" w:cs="Calibri" w:eastAsia="Calibri" w:hAnsi="Calibri"/>
                <w:color w:val="26262A"/>
                <w:sz w:val="20"/>
                <w:szCs w:val="20"/>
              </w:rPr>
              <w:t xml:space="preserve">Controls Malaysian student data, security policy and government mission data.</w:t>
            </w:r>
          </w:p>
        </w:tc>
        <w:tc>
          <w:tcPr>
            <w:tcW w:type="dxa" w:w="4680"/>
            <w:tcBorders>
              <w:top w:val="single" w:color="E6DFC9" w:sz="4"/>
              <w:left w:val="none" w:color="FFFFFF" w:sz="0"/>
              <w:bottom w:val="single" w:color="E6DFC9" w:sz="4"/>
              <w:right w:val="single" w:color="E6DFC9" w:sz="4"/>
            </w:tcBorders>
            <w:shd w:fill="F7F4EC" w:color="auto" w:val="clear"/>
            <w:tcMar>
              <w:top w:type="dxa" w:w="160"/>
              <w:left w:type="dxa" w:w="220"/>
              <w:bottom w:type="dxa" w:w="160"/>
              <w:right w:type="dxa" w:w="220"/>
            </w:tcMar>
            <w:vAlign w:val="top"/>
          </w:tcPr>
          <w:p>
            <w:pPr>
              <w:spacing w:line="276"/>
            </w:pPr>
            <w:r>
              <w:rPr>
                <w:rFonts w:ascii="Calibri" w:cs="Calibri" w:eastAsia="Calibri" w:hAnsi="Calibri"/>
                <w:color w:val="26262A"/>
                <w:sz w:val="20"/>
                <w:szCs w:val="20"/>
              </w:rPr>
              <w:t xml:space="preserve">Designs the operating model, Mission Labs, capability system and implementation standards.</w:t>
            </w:r>
          </w:p>
        </w:tc>
      </w:tr>
      <w:tr>
        <w:trPr>
          <w:cantSplit/>
        </w:trPr>
        <w:tc>
          <w:tcPr>
            <w:tcW w:type="dxa" w:w="4680"/>
            <w:tcBorders>
              <w:top w:val="single" w:color="E6DFC9" w:sz="4"/>
              <w:left w:val="none" w:color="FFFFFF" w:sz="0"/>
              <w:bottom w:val="single" w:color="E6DFC9" w:sz="4"/>
              <w:right w:val="single" w:color="E6DFC9" w:sz="4"/>
            </w:tcBorders>
            <w:shd w:fill="FFFFFF" w:color="auto" w:val="clear"/>
            <w:tcMar>
              <w:top w:type="dxa" w:w="160"/>
              <w:left w:type="dxa" w:w="220"/>
              <w:bottom w:type="dxa" w:w="160"/>
              <w:right w:type="dxa" w:w="220"/>
            </w:tcMar>
            <w:vAlign w:val="top"/>
          </w:tcPr>
          <w:p>
            <w:pPr>
              <w:spacing w:line="276"/>
            </w:pPr>
            <w:r>
              <w:rPr>
                <w:rFonts w:ascii="Calibri" w:cs="Calibri" w:eastAsia="Calibri" w:hAnsi="Calibri"/>
                <w:color w:val="26262A"/>
                <w:sz w:val="20"/>
                <w:szCs w:val="20"/>
              </w:rPr>
              <w:t xml:space="preserve">Appoints and approves the Governing Board and senior national leadership.</w:t>
            </w:r>
          </w:p>
        </w:tc>
        <w:tc>
          <w:tcPr>
            <w:tcW w:type="dxa" w:w="4680"/>
            <w:tcBorders>
              <w:top w:val="single" w:color="E6DFC9" w:sz="4"/>
              <w:left w:val="none" w:color="FFFFFF" w:sz="0"/>
              <w:bottom w:val="single" w:color="E6DFC9" w:sz="4"/>
              <w:right w:val="single" w:color="E6DFC9" w:sz="4"/>
            </w:tcBorders>
            <w:shd w:fill="FFFFFF" w:color="auto" w:val="clear"/>
            <w:tcMar>
              <w:top w:type="dxa" w:w="160"/>
              <w:left w:type="dxa" w:w="220"/>
              <w:bottom w:type="dxa" w:w="160"/>
              <w:right w:type="dxa" w:w="220"/>
            </w:tcMar>
            <w:vAlign w:val="top"/>
          </w:tcPr>
          <w:p>
            <w:pPr>
              <w:spacing w:line="276"/>
            </w:pPr>
            <w:r>
              <w:rPr>
                <w:rFonts w:ascii="Calibri" w:cs="Calibri" w:eastAsia="Calibri" w:hAnsi="Calibri"/>
                <w:color w:val="26262A"/>
                <w:sz w:val="20"/>
                <w:szCs w:val="20"/>
              </w:rPr>
              <w:t xml:space="preserve">Supports initial leadership and faculty recruitment, training, commissioning and operational stabilisation.</w:t>
            </w:r>
          </w:p>
        </w:tc>
      </w:tr>
      <w:tr>
        <w:trPr>
          <w:cantSplit/>
        </w:trPr>
        <w:tc>
          <w:tcPr>
            <w:tcW w:type="dxa" w:w="4680"/>
            <w:tcBorders>
              <w:top w:val="single" w:color="E6DFC9" w:sz="4"/>
              <w:left w:val="none" w:color="FFFFFF" w:sz="0"/>
              <w:bottom w:val="single" w:color="E6DFC9" w:sz="4"/>
              <w:right w:val="single" w:color="E6DFC9" w:sz="4"/>
            </w:tcBorders>
            <w:shd w:fill="F7F4EC" w:color="auto" w:val="clear"/>
            <w:tcMar>
              <w:top w:type="dxa" w:w="160"/>
              <w:left w:type="dxa" w:w="220"/>
              <w:bottom w:type="dxa" w:w="160"/>
              <w:right w:type="dxa" w:w="220"/>
            </w:tcMar>
            <w:vAlign w:val="top"/>
          </w:tcPr>
          <w:p>
            <w:pPr>
              <w:spacing w:line="276"/>
            </w:pPr>
            <w:r>
              <w:rPr>
                <w:rFonts w:ascii="Calibri" w:cs="Calibri" w:eastAsia="Calibri" w:hAnsi="Calibri"/>
                <w:color w:val="26262A"/>
                <w:sz w:val="20"/>
                <w:szCs w:val="20"/>
              </w:rPr>
              <w:t xml:space="preserve">Approves IP, commercialisation and industry-partnership rules under Malaysian law.</w:t>
            </w:r>
          </w:p>
        </w:tc>
        <w:tc>
          <w:tcPr>
            <w:tcW w:type="dxa" w:w="4680"/>
            <w:tcBorders>
              <w:top w:val="single" w:color="E6DFC9" w:sz="4"/>
              <w:left w:val="none" w:color="FFFFFF" w:sz="0"/>
              <w:bottom w:val="single" w:color="E6DFC9" w:sz="4"/>
              <w:right w:val="single" w:color="E6DFC9" w:sz="4"/>
            </w:tcBorders>
            <w:shd w:fill="F7F4EC" w:color="auto" w:val="clear"/>
            <w:tcMar>
              <w:top w:type="dxa" w:w="160"/>
              <w:left w:type="dxa" w:w="220"/>
              <w:bottom w:type="dxa" w:w="160"/>
              <w:right w:type="dxa" w:w="220"/>
            </w:tcMar>
            <w:vAlign w:val="top"/>
          </w:tcPr>
          <w:p>
            <w:pPr>
              <w:spacing w:line="276"/>
            </w:pPr>
            <w:r>
              <w:rPr>
                <w:rFonts w:ascii="Calibri" w:cs="Calibri" w:eastAsia="Calibri" w:hAnsi="Calibri"/>
                <w:color w:val="26262A"/>
                <w:sz w:val="20"/>
                <w:szCs w:val="20"/>
              </w:rPr>
              <w:t xml:space="preserve">Builds mission partnerships and helps transfer systems and know-how to Malaysian teams.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1250"/>
            <w:tcBorders>
              <w:top w:val="none" w:color="FFFFFF" w:sz="0"/>
              <w:left w:val="none" w:color="FFFFFF" w:sz="0"/>
              <w:bottom w:val="none" w:color="FFFFFF" w:sz="0"/>
              <w:right w:val="none" w:color="FFFFFF" w:sz="0"/>
            </w:tcBorders>
            <w:tcMar>
              <w:top w:type="dxa" w:w="40"/>
              <w:left w:type="dxa" w:w="0"/>
              <w:bottom w:type="dxa" w:w="40"/>
              <w:right w:type="dxa" w:w="120"/>
            </w:tcMar>
            <w:vAlign w:val="center"/>
          </w:tcPr>
          <w:p>
            <w:pPr>
              <w:jc w:val="left"/>
            </w:pPr>
            <w:r>
              <w:rPr>
                <w:rFonts w:ascii="Cambria" w:cs="Cambria" w:eastAsia="Cambria" w:hAnsi="Cambria"/>
                <w:b/>
                <w:bCs/>
                <w:color w:val="E6DFC9"/>
                <w:sz w:val="52"/>
                <w:szCs w:val="52"/>
              </w:rPr>
              <w:t xml:space="preserve">05</w:t>
            </w:r>
          </w:p>
        </w:tc>
        <w:tc>
          <w:tcPr>
            <w:tcW w:type="dxa" w:w="8110"/>
            <w:tcBorders>
              <w:top w:val="none" w:color="FFFFFF" w:sz="0"/>
              <w:left w:val="single" w:color="B8892B" w:sz="16" w:space="6"/>
              <w:bottom w:val="none" w:color="FFFFFF" w:sz="0"/>
              <w:right w:val="none" w:color="FFFFFF" w:sz="0"/>
            </w:tcBorders>
            <w:tcMar>
              <w:top w:type="dxa" w:w="40"/>
              <w:left w:type="dxa" w:w="120"/>
              <w:bottom w:type="dxa" w:w="40"/>
              <w:right w:type="dxa" w:w="0"/>
            </w:tcMar>
            <w:vAlign w:val="center"/>
          </w:tcPr>
          <w:p>
            <w:pPr>
              <w:spacing w:after="0" w:before="0"/>
            </w:pPr>
            <w:r>
              <w:rPr>
                <w:rFonts w:ascii="Cambria" w:cs="Cambria" w:eastAsia="Cambria" w:hAnsi="Cambria"/>
                <w:b/>
                <w:bCs/>
                <w:color w:val="0B1F3A"/>
                <w:sz w:val="30"/>
                <w:szCs w:val="30"/>
              </w:rPr>
              <w:t xml:space="preserve">Our Proposed Role &amp; A Practical Next Step</w:t>
            </w:r>
          </w:p>
        </w:tc>
      </w:tr>
    </w:tbl>
    <w:p>
      <w:pPr>
        <w:spacing w:after="0" w:before="220"/>
      </w:pPr>
      <w:r>
        <w:t xml:space="preserve"/>
      </w:r>
    </w:p>
    <w:p>
      <w:pPr>
        <w:spacing w:after="180" w:line="300"/>
        <w:jc w:val="both"/>
      </w:pPr>
      <w:r>
        <w:rPr>
          <w:rFonts w:ascii="Calibri" w:cs="Calibri" w:eastAsia="Calibri" w:hAnsi="Calibri"/>
          <w:color w:val="26262A"/>
          <w:sz w:val="22"/>
          <w:szCs w:val="22"/>
        </w:rPr>
        <w:t xml:space="preserve">Tarbiyat Sociotech Foundation proposes to work under Government direction to adapt the model for Malaysia, prepare the detailed implementation framework, define the laboratory and campus specifications, map the academic and mission system, establish operating protocols, support recruitment and training, build initial government/industry mission partnerships, and assist the school through commissioning and an agreed long-term stabilisation period. The objective would be to develop Malaysian leadership and operating capacity from the beginning, with increasing day-to-day responsibility transferred to the national team as the institution matures.</w:t>
      </w:r>
    </w:p>
    <w:p>
      <w:pPr>
        <w:spacing w:after="260" w:line="300"/>
        <w:jc w:val="both"/>
      </w:pPr>
      <w:r>
        <w:rPr>
          <w:rFonts w:ascii="Calibri" w:cs="Calibri" w:eastAsia="Calibri" w:hAnsi="Calibri"/>
          <w:b/>
          <w:bCs/>
          <w:color w:val="0B1F3A"/>
          <w:sz w:val="22"/>
          <w:szCs w:val="22"/>
        </w:rPr>
        <w:t xml:space="preserve">At this stage, we are not seeking approval of a final budget or asking Malaysia to accept a finished foreign blueprint. </w:t>
      </w:r>
      <w:r>
        <w:rPr>
          <w:rFonts w:ascii="Calibri" w:cs="Calibri" w:eastAsia="Calibri" w:hAnsi="Calibri"/>
          <w:color w:val="26262A"/>
          <w:sz w:val="22"/>
          <w:szCs w:val="22"/>
        </w:rPr>
        <w:t xml:space="preserve">We respectfully seek the opportunity to present the concept, understand Malaysia's priorities, and — if the Government sees merit — prepare a Malaysia-specific feasibility and sovereign implementation framework for formal evaluation.</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single" w:color="B8892B" w:sz="20" w:space="14"/>
              <w:bottom w:val="none" w:color="FFFFFF" w:sz="0"/>
              <w:right w:val="none" w:color="FFFFFF" w:sz="0"/>
            </w:tcBorders>
            <w:shd w:fill="F7F4EC" w:color="auto" w:val="clear"/>
            <w:tcMar>
              <w:top w:type="dxa" w:w="260"/>
              <w:left w:type="dxa" w:w="420"/>
              <w:bottom w:type="dxa" w:w="260"/>
              <w:right w:type="dxa" w:w="420"/>
            </w:tcMar>
            <w:vAlign w:val="top"/>
          </w:tcPr>
          <w:p>
            <w:pPr>
              <w:spacing w:line="300"/>
              <w:jc w:val="left"/>
            </w:pPr>
            <w:r>
              <w:rPr>
                <w:rFonts w:ascii="Cambria" w:cs="Cambria" w:eastAsia="Cambria" w:hAnsi="Cambria"/>
                <w:b/>
                <w:bCs/>
                <w:i/>
                <w:iCs/>
                <w:color w:val="0B1F3A"/>
                <w:sz w:val="24"/>
                <w:szCs w:val="24"/>
              </w:rPr>
              <w:t xml:space="preserve">Malaysia should not only prepare young people to use the technologies of the future. It can create an institution designed to help them build those technologies at home.</w:t>
            </w:r>
          </w:p>
        </w:tc>
      </w:tr>
    </w:tbl>
    <w:p>
      <w:pPr>
        <w:pBdr>
          <w:top w:val="single" w:color="E6DFC9" w:sz="6" w:space="8"/>
        </w:pBdr>
        <w:spacing w:after="0" w:before="500"/>
      </w:pPr>
      <w:r>
        <w:t xml:space="preserve"/>
      </w:r>
    </w:p>
    <w:p>
      <w:pPr>
        <w:spacing w:after="20" w:before="260"/>
      </w:pPr>
      <w:r>
        <w:rPr>
          <w:rFonts w:ascii="Cambria" w:cs="Cambria" w:eastAsia="Cambria" w:hAnsi="Cambria"/>
          <w:b/>
          <w:bCs/>
          <w:color w:val="0B1F3A"/>
          <w:sz w:val="24"/>
          <w:szCs w:val="24"/>
        </w:rPr>
        <w:t xml:space="preserve">Dr. Sudhir Pawar</w:t>
      </w:r>
    </w:p>
    <w:p>
      <w:pPr>
        <w:spacing w:after="6"/>
      </w:pPr>
      <w:r>
        <w:rPr>
          <w:rFonts w:ascii="Calibri" w:cs="Calibri" w:eastAsia="Calibri" w:hAnsi="Calibri"/>
          <w:color w:val="5B6270"/>
          <w:sz w:val="20"/>
          <w:szCs w:val="20"/>
        </w:rPr>
        <w:t xml:space="preserve">CEO, Tarbiyat Sociotech Foundation, New Delhi, India</w:t>
      </w:r>
    </w:p>
    <w:p>
      <w:pPr>
        <w:spacing w:after="6"/>
      </w:pPr>
      <w:r>
        <w:rPr>
          <w:rFonts w:ascii="Calibri" w:cs="Calibri" w:eastAsia="Calibri" w:hAnsi="Calibri"/>
          <w:i/>
          <w:iCs/>
          <w:color w:val="5B6270"/>
          <w:sz w:val="20"/>
          <w:szCs w:val="20"/>
        </w:rPr>
        <w:t xml:space="preserve">Founder &amp; Concept Architect — Tarbiyat National Youth Tech Missions Campus</w:t>
      </w:r>
    </w:p>
    <w:p>
      <w:pPr>
        <w:spacing w:after="0"/>
      </w:pPr>
      <w:r>
        <w:rPr>
          <w:rFonts w:ascii="Calibri" w:cs="Calibri" w:eastAsia="Calibri" w:hAnsi="Calibri"/>
          <w:color w:val="B8892B"/>
          <w:sz w:val="20"/>
          <w:szCs w:val="20"/>
        </w:rPr>
        <w:t xml:space="preserve">s7037444888@gmail.com   |   irme.in   |   legal.srworlds.in</w:t>
      </w:r>
    </w:p>
    <w:sectPr>
      <w:headerReference w:type="default" r:id="rId7"/>
      <w:footerReference w:type="default" r:id="rId8"/>
      <w:pgSz w:w="12240" w:h="15840" w:orient="portrait"/>
      <w:pgMar w:top="1350" w:right="1296" w:bottom="110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E6DFC9" w:sz="4"/>
        <w:left w:val="none" w:color="FFFFFF" w:sz="0"/>
        <w:bottom w:val="none" w:color="FFFFFF" w:sz="0"/>
        <w:right w:val="none" w:color="FFFFFF" w:sz="0"/>
        <w:insideH w:val="none" w:color="FFFFFF" w:sz="0"/>
        <w:insideV w:val="none" w:color="FFFFFF" w:sz="0"/>
      </w:tblBorders>
    </w:tblPr>
    <w:tblGrid>
      <w:gridCol w:w="100"/>
      <w:gridCol w:w="100"/>
    </w:tblGrid>
    <w:tr>
      <w:tc>
        <w:tcPr>
          <w:tcW w:type="dxa" w:w="6360"/>
          <w:tcBorders>
            <w:top w:val="none" w:color="FFFFFF" w:sz="0"/>
            <w:left w:val="none" w:color="FFFFFF" w:sz="0"/>
            <w:bottom w:val="none" w:color="FFFFFF" w:sz="0"/>
            <w:right w:val="none" w:color="FFFFFF" w:sz="0"/>
          </w:tcBorders>
          <w:tcMar>
            <w:top w:type="dxa" w:w="120"/>
            <w:left w:type="dxa" w:w="0"/>
            <w:bottom w:type="dxa" w:w="0"/>
            <w:right w:type="dxa" w:w="0"/>
          </w:tcMar>
          <w:vAlign w:val="top"/>
        </w:tcPr>
        <w:p>
          <w:r>
            <w:rPr>
              <w:rFonts w:ascii="Calibri" w:cs="Calibri" w:eastAsia="Calibri" w:hAnsi="Calibri"/>
              <w:b/>
              <w:bCs/>
              <w:color w:val="5B6270"/>
              <w:sz w:val="15"/>
              <w:szCs w:val="15"/>
            </w:rPr>
            <w:t xml:space="preserve">TARBIYAT MALAYSIA  </w:t>
          </w:r>
          <w:r>
            <w:rPr>
              <w:rFonts w:ascii="Calibri" w:cs="Calibri" w:eastAsia="Calibri" w:hAnsi="Calibri"/>
              <w:color w:val="5B6270"/>
              <w:sz w:val="15"/>
              <w:szCs w:val="15"/>
            </w:rPr>
            <w:t xml:space="preserve">· National Youth Tech Missions School &amp; College</w:t>
          </w:r>
        </w:p>
      </w:tc>
      <w:tc>
        <w:tcPr>
          <w:tcW w:type="dxa" w:w="3000"/>
          <w:tcBorders>
            <w:top w:val="none" w:color="FFFFFF" w:sz="0"/>
            <w:left w:val="none" w:color="FFFFFF" w:sz="0"/>
            <w:bottom w:val="none" w:color="FFFFFF" w:sz="0"/>
            <w:right w:val="none" w:color="FFFFFF" w:sz="0"/>
          </w:tcBorders>
          <w:tcMar>
            <w:top w:type="dxa" w:w="120"/>
            <w:left w:type="dxa" w:w="0"/>
            <w:bottom w:type="dxa" w:w="0"/>
            <w:right w:type="dxa" w:w="0"/>
          </w:tcMar>
          <w:vAlign w:val="top"/>
        </w:tcPr>
        <w:p>
          <w:pPr>
            <w:jc w:val="right"/>
          </w:pPr>
          <w:r>
            <w:rPr>
              <w:rFonts w:ascii="Calibri" w:cs="Calibri" w:eastAsia="Calibri" w:hAnsi="Calibri"/>
              <w:color w:val="5B6270"/>
              <w:sz w:val="15"/>
              <w:szCs w:val="15"/>
            </w:rPr>
            <w:t xml:space="preserve">Page </w:t>
          </w:r>
          <w:r>
            <w:rPr>
              <w:rFonts w:ascii="Calibri" w:cs="Calibri" w:eastAsia="Calibri" w:hAnsi="Calibri"/>
              <w:b/>
              <w:bCs/>
              <w:color w:val="B8892B"/>
              <w:sz w:val="15"/>
              <w:szCs w:val="15"/>
            </w:rPr>
            <w:fldChar w:fldCharType="begin"/>
            <w:instrText xml:space="preserve">PAGE</w:instrText>
            <w:fldChar w:fldCharType="separate"/>
            <w:fldChar w:fldCharType="end"/>
          </w:r>
          <w:r>
            <w:rPr>
              <w:rFonts w:ascii="Calibri" w:cs="Calibri" w:eastAsia="Calibri" w:hAnsi="Calibri"/>
              <w:color w:val="5B6270"/>
              <w:sz w:val="15"/>
              <w:szCs w:val="15"/>
            </w:rPr>
            <w:t xml:space="preserve">  of  </w:t>
          </w:r>
          <w:r>
            <w:rPr>
              <w:rFonts w:ascii="Calibri" w:cs="Calibri" w:eastAsia="Calibri" w:hAnsi="Calibri"/>
              <w:color w:val="5B6270"/>
              <w:sz w:val="15"/>
              <w:szCs w:val="15"/>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color w:val="B8892B"/>
        <w:sz w:val="15"/>
        <w:szCs w:val="15"/>
      </w:rPr>
      <w:t xml:space="preserve">CONCEPT NOTE</w:t>
    </w:r>
    <w:r>
      <w:rPr>
        <w:rFonts w:ascii="Calibri" w:cs="Calibri" w:eastAsia="Calibri" w:hAnsi="Calibri"/>
        <w:color w:val="5B6270"/>
        <w:sz w:val="15"/>
        <w:szCs w:val="15"/>
      </w:rPr>
      <w:t xml:space="preserve">   |   FOR GOVERNMENT REVIEW</w:t>
    </w:r>
  </w:p>
  <w:p>
    <w:pPr>
      <w:pBdr>
        <w:bottom w:val="single" w:color="E6DFC9" w:sz="4" w:space="6"/>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16"/>
      </w:pPr>
      <w:rPr>
        <w:rFonts w:ascii="Cambria" w:cs="Cambria" w:eastAsia="Cambria" w:hAnsi="Cambria"/>
        <w:color w:val="B8892B"/>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2026-09-10T23:14:17.216Z</dcterms:created>
  <dcterms:modified xsi:type="dcterms:W3CDTF">2026-09-10T23:14:17.229Z</dcterms:modified>
</cp:coreProperties>
</file>

<file path=docProps/custom.xml><?xml version="1.0" encoding="utf-8"?>
<Properties xmlns="http://schemas.openxmlformats.org/officeDocument/2006/custom-properties" xmlns:vt="http://schemas.openxmlformats.org/officeDocument/2006/docPropsVTypes"/>
</file>