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241" w:tblpY="311"/>
        <w:tblOverlap w:val="never"/>
        <w:tblW w:w="16436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853"/>
        <w:gridCol w:w="2241"/>
        <w:gridCol w:w="955"/>
        <w:gridCol w:w="1579"/>
        <w:gridCol w:w="4421"/>
        <w:gridCol w:w="3539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6436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ind w:firstLine="422"/>
              <w:rPr>
                <w:sz w:val="11"/>
                <w:szCs w:val="11"/>
              </w:rPr>
            </w:pPr>
            <w:bookmarkStart w:id="0" w:name="_GoBack"/>
            <w:r>
              <w:rPr>
                <w:rFonts w:hint="eastAsia"/>
                <w:b/>
                <w:bCs/>
                <w:sz w:val="18"/>
                <w:szCs w:val="21"/>
                <w:lang w:val="en-US" w:eastAsia="zh-CN"/>
              </w:rPr>
              <w:t xml:space="preserve">Annex </w:t>
            </w:r>
            <w:r>
              <w:rPr>
                <w:rFonts w:hint="eastAsia"/>
                <w:b/>
                <w:bCs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. Characteristics of included studies.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04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Study</w:t>
            </w:r>
          </w:p>
        </w:tc>
        <w:tc>
          <w:tcPr>
            <w:tcW w:w="85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Country</w:t>
            </w:r>
          </w:p>
        </w:tc>
        <w:tc>
          <w:tcPr>
            <w:tcW w:w="224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>
              <w:rPr>
                <w:sz w:val="18"/>
                <w:szCs w:val="21"/>
              </w:rPr>
              <w:t>articipants</w:t>
            </w:r>
          </w:p>
        </w:tc>
        <w:tc>
          <w:tcPr>
            <w:tcW w:w="95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Sample size</w:t>
            </w:r>
          </w:p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 (n)</w:t>
            </w:r>
          </w:p>
        </w:tc>
        <w:tc>
          <w:tcPr>
            <w:tcW w:w="157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 Age </w:t>
            </w:r>
            <w:r>
              <w:rPr>
                <w:sz w:val="18"/>
                <w:szCs w:val="21"/>
              </w:rPr>
              <w:t xml:space="preserve"> </w:t>
            </w:r>
          </w:p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 xml:space="preserve">(years) </w:t>
            </w:r>
          </w:p>
        </w:tc>
        <w:tc>
          <w:tcPr>
            <w:tcW w:w="44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Intervention</w:t>
            </w:r>
          </w:p>
        </w:tc>
        <w:tc>
          <w:tcPr>
            <w:tcW w:w="35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Duration of </w:t>
            </w:r>
            <w:r>
              <w:rPr>
                <w:sz w:val="18"/>
                <w:szCs w:val="21"/>
              </w:rPr>
              <w:t>experiment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Outcomes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1048" w:type="dxa"/>
            <w:tcBorders>
              <w:bottom w:val="nil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Gilda et al.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2016</w:t>
            </w:r>
          </w:p>
        </w:tc>
        <w:tc>
          <w:tcPr>
            <w:tcW w:w="853" w:type="dxa"/>
            <w:tcBorders>
              <w:bottom w:val="nil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Brazil</w:t>
            </w:r>
          </w:p>
        </w:tc>
        <w:tc>
          <w:tcPr>
            <w:tcW w:w="2241" w:type="dxa"/>
            <w:tcBorders>
              <w:bottom w:val="nil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≥12 </w:t>
            </w:r>
            <w:r>
              <w:rPr>
                <w:sz w:val="18"/>
                <w:szCs w:val="21"/>
              </w:rPr>
              <w:t>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Grade 2 spasm at most</w:t>
            </w:r>
          </w:p>
        </w:tc>
        <w:tc>
          <w:tcPr>
            <w:tcW w:w="955" w:type="dxa"/>
            <w:tcBorders>
              <w:bottom w:val="nil"/>
              <w:tl2br w:val="nil"/>
              <w:tr2bl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 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EG:4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CG:4</w:t>
            </w:r>
          </w:p>
        </w:tc>
        <w:tc>
          <w:tcPr>
            <w:tcW w:w="1579" w:type="dxa"/>
            <w:tcBorders>
              <w:bottom w:val="nil"/>
              <w:tl2br w:val="nil"/>
              <w:tr2bl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 xml:space="preserve">EG:50.5 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 xml:space="preserve">CG:59.5 </w:t>
            </w:r>
          </w:p>
        </w:tc>
        <w:tc>
          <w:tcPr>
            <w:tcW w:w="4421" w:type="dxa"/>
            <w:tcBorders>
              <w:bottom w:val="nil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EG:Asynchronous AO+MI and conventional rehabilitation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CG:Conventional rehabilitation</w:t>
            </w:r>
          </w:p>
        </w:tc>
        <w:tc>
          <w:tcPr>
            <w:tcW w:w="3539" w:type="dxa"/>
            <w:tcBorders>
              <w:bottom w:val="nil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60 minutes per session, once a week, for 4 weeks</w:t>
            </w:r>
          </w:p>
        </w:tc>
        <w:tc>
          <w:tcPr>
            <w:tcW w:w="1800" w:type="dxa"/>
            <w:tcBorders>
              <w:bottom w:val="nil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FMA-UE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Choi et al.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2022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South Korea</w:t>
            </w: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2-8</w:t>
            </w:r>
            <w:r>
              <w:rPr>
                <w:sz w:val="18"/>
                <w:szCs w:val="21"/>
              </w:rPr>
              <w:t>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Upper limb paralysis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EG:22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CG:23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EG:62.68±8.54 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CG:63.43±9.57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EG:Synchronous AO+MI and physical therapy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CG:AO and physical therapy</w:t>
            </w: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AO+MI/AO: 25 minutes per session, 5 times a week, for 8 weeks.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physical therapy: 30 minutes each day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FMA UE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WMFT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MAL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MEP amplitude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Green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et al.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2023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</w:t>
            </w: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≥1 </w:t>
            </w:r>
            <w:r>
              <w:rPr>
                <w:sz w:val="18"/>
                <w:szCs w:val="21"/>
              </w:rPr>
              <w:t>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paralysis of one upper limb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G1: 5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 4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G3: 4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G4: 5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G1:71.4±7.1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G2:58.5±8.8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G3:59.0±11.5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G4:60.8±11.2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G1:MI and body Exercises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G2:Synchronous AO+MI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and body Exercises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G3:Other forms of mental practice and body exercises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G4:Conventional rehabilitation</w:t>
            </w: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 mental practice and 10 body exercises per session, 5 times a week, during hospitalization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WMFT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FMA-UE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Magdalena et al. 2011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UK</w:t>
            </w: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1-6 </w:t>
            </w:r>
            <w:r>
              <w:rPr>
                <w:sz w:val="18"/>
                <w:szCs w:val="21"/>
              </w:rPr>
              <w:t>months after stroke onset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Persistent arm movement weakness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EG:41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G1:39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G2:41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EG:69.3±10.8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G1:68.6±16.3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G2:64.4±15.9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EG:Asynchronous AO+MI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G2:Other forms of mental practice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G2:Sham control </w:t>
            </w: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45 minutes per session, 3 times a week, for 4 weeks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ARAT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Grip strength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Barthel 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Nam et al.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2019 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South Korea</w:t>
            </w: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1-6 </w:t>
            </w:r>
            <w:r>
              <w:rPr>
                <w:sz w:val="18"/>
                <w:szCs w:val="21"/>
              </w:rPr>
              <w:t>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Wrist extensor below grade 2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EG:10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CG:10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EG:61.83±14.0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CG:59.63±15.0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EG:Asynchronous AO+MI and conventional rehabilitation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CG:Conventional rehabilitation</w:t>
            </w: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 times a week for 4 weeks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EG:AO+MI 20 minutes and conventional rehabilitation 30 minutes per session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CG:Conventional rehabilitation 50 minutes per session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FMA-UE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MFT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Hee et al.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2018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South Korea</w:t>
            </w: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≥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 xml:space="preserve">3 </w:t>
            </w:r>
            <w:r>
              <w:rPr>
                <w:sz w:val="18"/>
                <w:szCs w:val="21"/>
              </w:rPr>
              <w:t>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Hand dyskinesia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EG:7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CG:7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EG:52 (49–74)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CG:66 (49–72)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EG:Asynchronous AO+MI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Modified constraint induced motion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CG:Listen to music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Modified constraint induced motion</w:t>
            </w:r>
          </w:p>
          <w:p>
            <w:pPr>
              <w:rPr>
                <w:sz w:val="18"/>
                <w:szCs w:val="21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AO+MI /Listen to music:10 minutes per session,5 times a week for 2 weeks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Modified restraint induced movement for more than 6 hours everyday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JTHFT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MEP latency and amplitude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Kim et al.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2013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South Korea</w:t>
            </w: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≥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 xml:space="preserve">6 </w:t>
            </w:r>
            <w:r>
              <w:rPr>
                <w:sz w:val="18"/>
                <w:szCs w:val="21"/>
              </w:rPr>
              <w:t>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hemiplegia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G1:9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G2:9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CG:9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G1:55.3±12.1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G2:54.8±8.8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CG:59.8±8.9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G1:AO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G2:MI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CG:Conventional rehabilitation</w:t>
            </w: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30 minutes per session, 5 times a week, for 4 weeks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TUG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FRT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WAQ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FAC</w:t>
            </w:r>
          </w:p>
          <w:p>
            <w:pPr>
              <w:rPr>
                <w:sz w:val="18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Daehee 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et al.2013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South Korea</w:t>
            </w: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≥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 xml:space="preserve">6 </w:t>
            </w:r>
            <w:r>
              <w:rPr>
                <w:sz w:val="18"/>
                <w:szCs w:val="21"/>
              </w:rPr>
              <w:t>months after stroke onset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Brunnstrom Phase 5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EG:8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G1:9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G2:9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G3:7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EG:63±3.7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G1:62±1.5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G2:61±2.3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G3:60±5.9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EG:Asynchronous AO+MI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G1:Body Exercises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G2:AO and body exercises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G3:Sham control </w:t>
            </w: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 minutes per session, 5 times a week, for 3 weeks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of drinking motions in each period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Mauro 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et al.2021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Italy</w:t>
            </w: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≤1 </w:t>
            </w:r>
            <w:r>
              <w:rPr>
                <w:sz w:val="18"/>
                <w:szCs w:val="21"/>
              </w:rPr>
              <w:t>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Upper limb paralysis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EG:16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CG:16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G1:76.5 (13.7) 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G2:64.5 (15.8)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EG:AO and body exercises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CG:MI and body exercises</w:t>
            </w: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60 minutes body exercises and 30 minutes AO/MI per session, 5 times a week, for 4 weeks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FMA-UE:</w:t>
            </w:r>
            <w:r>
              <w:rPr>
                <w:rFonts w:hint="eastAsia"/>
                <w:sz w:val="18"/>
                <w:szCs w:val="21"/>
              </w:rPr>
              <w:br w:type="textWrapping"/>
            </w:r>
            <w:r>
              <w:rPr>
                <w:rFonts w:hint="eastAsia"/>
                <w:sz w:val="18"/>
                <w:szCs w:val="21"/>
              </w:rPr>
              <w:t>BBT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FIM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Nuttawat 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et al.2023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Thailand</w:t>
            </w:r>
          </w:p>
          <w:p>
            <w:pPr>
              <w:rPr>
                <w:sz w:val="18"/>
                <w:szCs w:val="21"/>
              </w:rPr>
            </w:pP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≥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 xml:space="preserve">6 </w:t>
            </w:r>
            <w:r>
              <w:rPr>
                <w:sz w:val="18"/>
                <w:szCs w:val="21"/>
              </w:rPr>
              <w:t>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Upper limb paralysis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EG:9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CG:8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EG:61.11±7.16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CG:61.63±7.83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EG:Asynchronous AO +MI and physical therapy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CG:MI and physical therapy</w:t>
            </w: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AO+MI/MI: 40 minutes per session,3 times a week, for 4 weeks.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physical therapy: 1 to 2 days a week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FMA-UE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ERD/ERS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048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Stephen J.  et al.2021</w:t>
            </w:r>
          </w:p>
        </w:tc>
        <w:tc>
          <w:tcPr>
            <w:tcW w:w="85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</w:t>
            </w:r>
          </w:p>
        </w:tc>
        <w:tc>
          <w:tcPr>
            <w:tcW w:w="224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≥3</w:t>
            </w:r>
            <w:r>
              <w:rPr>
                <w:sz w:val="18"/>
                <w:szCs w:val="21"/>
              </w:rPr>
              <w:t xml:space="preserve"> 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Hand dyskinesia</w:t>
            </w:r>
          </w:p>
        </w:tc>
        <w:tc>
          <w:tcPr>
            <w:tcW w:w="95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EG:9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CG:9</w:t>
            </w:r>
          </w:p>
        </w:tc>
        <w:tc>
          <w:tcPr>
            <w:tcW w:w="157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EG:57.4±10 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CG:57.8±9.8</w:t>
            </w:r>
          </w:p>
        </w:tc>
        <w:tc>
          <w:tcPr>
            <w:tcW w:w="4421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 Asynchronous AO+MI and occupational therapy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 Occupational therapy</w:t>
            </w:r>
          </w:p>
        </w:tc>
        <w:tc>
          <w:tcPr>
            <w:tcW w:w="353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 times a week for 10 weeks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EG:AO+MI 30 minutes occupational therapy 15 minutes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CG:Occupational therapy 45 minutes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FMA-UE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ARAT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SIS-H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048" w:type="dxa"/>
            <w:tcBorders>
              <w:top w:val="nil"/>
              <w:bottom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Yao et al. 2016</w:t>
            </w:r>
          </w:p>
        </w:tc>
        <w:tc>
          <w:tcPr>
            <w:tcW w:w="853" w:type="dxa"/>
            <w:tcBorders>
              <w:top w:val="nil"/>
              <w:bottom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China</w:t>
            </w:r>
          </w:p>
          <w:p>
            <w:pPr>
              <w:rPr>
                <w:sz w:val="18"/>
                <w:szCs w:val="21"/>
              </w:rPr>
            </w:pPr>
          </w:p>
        </w:tc>
        <w:tc>
          <w:tcPr>
            <w:tcW w:w="2241" w:type="dxa"/>
            <w:tcBorders>
              <w:top w:val="nil"/>
              <w:bottom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≤</w:t>
            </w:r>
            <w:r>
              <w:rPr>
                <w:sz w:val="18"/>
                <w:szCs w:val="21"/>
              </w:rPr>
              <w:t>2 months after stroke onset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Hemiplegia of the right upper limb</w:t>
            </w:r>
          </w:p>
        </w:tc>
        <w:tc>
          <w:tcPr>
            <w:tcW w:w="955" w:type="dxa"/>
            <w:tcBorders>
              <w:top w:val="nil"/>
              <w:bottom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EG:5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CG:5</w:t>
            </w:r>
          </w:p>
        </w:tc>
        <w:tc>
          <w:tcPr>
            <w:tcW w:w="1579" w:type="dxa"/>
            <w:tcBorders>
              <w:top w:val="nil"/>
              <w:bottom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59.8±4.94</w:t>
            </w:r>
          </w:p>
        </w:tc>
        <w:tc>
          <w:tcPr>
            <w:tcW w:w="4421" w:type="dxa"/>
            <w:tcBorders>
              <w:top w:val="nil"/>
              <w:bottom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EG:Synchronous AO+MI and conventional rehabilitation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CG:Asynchronous AO+MI and conventional rehabilitation</w:t>
            </w:r>
          </w:p>
        </w:tc>
        <w:tc>
          <w:tcPr>
            <w:tcW w:w="3539" w:type="dxa"/>
            <w:tcBorders>
              <w:top w:val="nil"/>
              <w:bottom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15 AO+MI each time, 6 times a day, 7 days a week for 4 weeks</w:t>
            </w:r>
          </w:p>
        </w:tc>
        <w:tc>
          <w:tcPr>
            <w:tcW w:w="1800" w:type="dxa"/>
            <w:tcBorders>
              <w:top w:val="nil"/>
              <w:bottom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FMA-UE</w:t>
            </w:r>
          </w:p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6436" w:type="dxa"/>
            <w:gridSpan w:val="8"/>
            <w:tcBorders>
              <w:top w:val="single" w:color="auto" w:sz="4" w:space="0"/>
              <w:bottom w:val="nil"/>
            </w:tcBorders>
            <w:noWrap w:val="0"/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Age and stroke course were expressed as mean±standard deviation or median (interquartile) or median (maximum, minimum)</w:t>
            </w:r>
          </w:p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AO+MI: AO combined with MI </w:t>
            </w:r>
          </w:p>
          <w:p>
            <w:pPr>
              <w:rPr>
                <w:sz w:val="11"/>
                <w:szCs w:val="11"/>
              </w:rPr>
            </w:pPr>
            <w:r>
              <w:rPr>
                <w:sz w:val="18"/>
                <w:szCs w:val="21"/>
              </w:rPr>
              <w:t>FMA-UE</w:t>
            </w:r>
            <w:r>
              <w:rPr>
                <w:rFonts w:hint="eastAsia"/>
                <w:sz w:val="18"/>
                <w:szCs w:val="21"/>
              </w:rPr>
              <w:t>:Fugl</w:t>
            </w:r>
            <w:r>
              <w:rPr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Meyer assessment of upper extremity;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WMFT:</w:t>
            </w:r>
            <w:r>
              <w:rPr>
                <w:sz w:val="18"/>
                <w:szCs w:val="21"/>
              </w:rPr>
              <w:t>Wolf Motor Function Test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; </w:t>
            </w:r>
            <w:r>
              <w:rPr>
                <w:rFonts w:hint="eastAsia"/>
                <w:sz w:val="18"/>
                <w:szCs w:val="21"/>
              </w:rPr>
              <w:t>MAL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>:</w:t>
            </w:r>
            <w:r>
              <w:rPr>
                <w:sz w:val="18"/>
                <w:szCs w:val="21"/>
              </w:rPr>
              <w:t>Motor Activity Log</w:t>
            </w:r>
            <w:r>
              <w:rPr>
                <w:rFonts w:hint="eastAsia"/>
                <w:sz w:val="18"/>
                <w:szCs w:val="21"/>
              </w:rPr>
              <w:t>;MEP:</w:t>
            </w:r>
            <w:r>
              <w:rPr>
                <w:sz w:val="18"/>
                <w:szCs w:val="21"/>
              </w:rPr>
              <w:t>motor evoked potential</w:t>
            </w:r>
            <w:r>
              <w:rPr>
                <w:rFonts w:hint="eastAsia"/>
                <w:sz w:val="18"/>
                <w:szCs w:val="21"/>
              </w:rPr>
              <w:t>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ARAT:Action Research Arm Test;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MFT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>;</w:t>
            </w:r>
            <w:r>
              <w:rPr>
                <w:sz w:val="18"/>
                <w:szCs w:val="21"/>
              </w:rPr>
              <w:t xml:space="preserve">manual function test 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: </w:t>
            </w:r>
            <w:r>
              <w:rPr>
                <w:rFonts w:hint="eastAsia"/>
                <w:sz w:val="18"/>
                <w:szCs w:val="21"/>
              </w:rPr>
              <w:t>JTHFT:Jebsen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>-</w:t>
            </w:r>
            <w:r>
              <w:rPr>
                <w:sz w:val="18"/>
                <w:szCs w:val="21"/>
              </w:rPr>
              <w:t>Taylor hand function test</w:t>
            </w:r>
            <w:r>
              <w:rPr>
                <w:rFonts w:hint="eastAsia"/>
                <w:sz w:val="18"/>
                <w:szCs w:val="21"/>
              </w:rPr>
              <w:t>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TUG:</w:t>
            </w:r>
            <w:r>
              <w:rPr>
                <w:sz w:val="18"/>
                <w:szCs w:val="21"/>
              </w:rPr>
              <w:t>Timed Up and Go Test</w:t>
            </w:r>
            <w:r>
              <w:rPr>
                <w:rFonts w:hint="eastAsia"/>
                <w:sz w:val="18"/>
                <w:szCs w:val="21"/>
              </w:rPr>
              <w:t>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FRT:</w:t>
            </w:r>
            <w:r>
              <w:rPr>
                <w:sz w:val="18"/>
                <w:szCs w:val="21"/>
              </w:rPr>
              <w:t>Functional Reaching Test</w:t>
            </w:r>
            <w:r>
              <w:rPr>
                <w:rFonts w:hint="eastAsia"/>
                <w:sz w:val="18"/>
                <w:szCs w:val="21"/>
              </w:rPr>
              <w:t>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WAQ:</w:t>
            </w:r>
            <w:r>
              <w:rPr>
                <w:sz w:val="18"/>
                <w:szCs w:val="21"/>
              </w:rPr>
              <w:t>Walking Ability Questionnaire</w:t>
            </w:r>
            <w:r>
              <w:rPr>
                <w:rFonts w:hint="eastAsia"/>
                <w:sz w:val="18"/>
                <w:szCs w:val="21"/>
              </w:rPr>
              <w:t>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FAC:</w:t>
            </w:r>
            <w:r>
              <w:rPr>
                <w:sz w:val="18"/>
                <w:szCs w:val="21"/>
              </w:rPr>
              <w:t xml:space="preserve"> Functional Ambulation Category</w:t>
            </w:r>
            <w:r>
              <w:rPr>
                <w:rFonts w:hint="eastAsia"/>
                <w:sz w:val="18"/>
                <w:szCs w:val="21"/>
              </w:rPr>
              <w:t>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BBT:Box and Block Test;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FIM:</w:t>
            </w:r>
            <w:r>
              <w:rPr>
                <w:sz w:val="18"/>
                <w:szCs w:val="21"/>
              </w:rPr>
              <w:t>Functional Independence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sz w:val="18"/>
                <w:szCs w:val="21"/>
              </w:rPr>
              <w:t>Measure</w:t>
            </w:r>
            <w:r>
              <w:rPr>
                <w:rFonts w:hint="eastAsia"/>
                <w:sz w:val="18"/>
                <w:szCs w:val="21"/>
              </w:rPr>
              <w:t>; ERD/ERS:</w:t>
            </w:r>
            <w:r>
              <w:rPr>
                <w:sz w:val="18"/>
                <w:szCs w:val="21"/>
              </w:rPr>
              <w:t>Event-related desynchronization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sz w:val="18"/>
                <w:szCs w:val="21"/>
              </w:rPr>
              <w:t>or synchronization</w:t>
            </w:r>
            <w:r>
              <w:rPr>
                <w:rFonts w:hint="eastAsia"/>
                <w:sz w:val="18"/>
                <w:szCs w:val="21"/>
              </w:rPr>
              <w:t>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SIS-H:</w:t>
            </w:r>
            <w:r>
              <w:rPr>
                <w:sz w:val="18"/>
                <w:szCs w:val="21"/>
              </w:rPr>
              <w:t>Hand subscale of the Stroke Impact Scale</w:t>
            </w:r>
            <w:r>
              <w:rPr>
                <w:rFonts w:hint="eastAsia"/>
                <w:sz w:val="18"/>
                <w:szCs w:val="21"/>
              </w:rPr>
              <w:t>;</w:t>
            </w:r>
            <w:r>
              <w:rPr>
                <w:rFonts w:hint="eastAsia" w:ascii="Calibri" w:eastAsia="宋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PTS:</w:t>
            </w:r>
            <w:r>
              <w:rPr>
                <w:sz w:val="18"/>
                <w:szCs w:val="21"/>
              </w:rPr>
              <w:t>pinch strength test</w:t>
            </w:r>
          </w:p>
        </w:tc>
      </w:tr>
    </w:tbl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7F3B60D0"/>
    <w:rsid w:val="7F3B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5">
    <w:name w:val="网格型2"/>
    <w:autoRedefine/>
    <w:qFormat/>
    <w:uiPriority w:val="99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2024-03-18T02:29:00Z</dcterms:created>
  <dc:creator>Super pei</dc:creator>
  <cp:lastModifiedBy>Super pei</cp:lastModifiedBy>
  <dcterms:modified xsi:type="dcterms:W3CDTF">2024-03-18T02:31:39Z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46672BA5075F44648639FB3086AF0808_11</vt:lpwstr>
  </property>
</Properties>
</file>