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EC8C1">
      <w:pPr>
        <w:rPr>
          <w:color w:val="FF0000"/>
          <w:highlight w:val="none"/>
        </w:rPr>
      </w:pPr>
    </w:p>
    <w:p w14:paraId="532987CA">
      <w:pPr>
        <w:widowControl/>
        <w:jc w:val="left"/>
        <w:rPr>
          <w:color w:val="FF0000"/>
          <w:highlight w:val="none"/>
        </w:rPr>
      </w:pPr>
    </w:p>
    <w:p w14:paraId="759F99F0">
      <w:pPr>
        <w:ind w:firstLine="645"/>
        <w:rPr>
          <w:rFonts w:hint="eastAsia" w:ascii="仿宋_GB2312" w:eastAsia="仿宋_GB2312"/>
          <w:sz w:val="28"/>
          <w:szCs w:val="28"/>
          <w:highlight w:val="none"/>
          <w:lang w:eastAsia="zh-CN"/>
        </w:rPr>
      </w:pPr>
      <w:r>
        <w:rPr>
          <w:rFonts w:hint="eastAsia" w:ascii="仿宋_GB2312" w:eastAsia="仿宋_GB2312"/>
          <w:sz w:val="28"/>
          <w:szCs w:val="28"/>
          <w:highlight w:val="none"/>
        </w:rPr>
        <w:t>根据</w:t>
      </w:r>
      <w:r>
        <w:rPr>
          <w:rFonts w:hint="eastAsia" w:ascii="仿宋_GB2312" w:eastAsia="仿宋_GB2312"/>
          <w:sz w:val="28"/>
          <w:szCs w:val="28"/>
          <w:highlight w:val="none"/>
          <w:lang w:val="en-US" w:eastAsia="zh-CN"/>
        </w:rPr>
        <w:t>智网科技总办会〔2025〕14号</w:t>
      </w:r>
      <w:r>
        <w:rPr>
          <w:rFonts w:hint="eastAsia" w:ascii="仿宋_GB2312" w:eastAsia="仿宋_GB2312"/>
          <w:sz w:val="28"/>
          <w:szCs w:val="28"/>
        </w:rPr>
        <w:t>（详见附件1）</w:t>
      </w:r>
      <w:r>
        <w:rPr>
          <w:rFonts w:hint="eastAsia" w:ascii="仿宋_GB2312" w:eastAsia="仿宋_GB2312"/>
          <w:sz w:val="28"/>
          <w:szCs w:val="28"/>
          <w:highlight w:val="none"/>
        </w:rPr>
        <w:t>，现需启动</w:t>
      </w:r>
      <w:r>
        <w:rPr>
          <w:rFonts w:hint="eastAsia" w:ascii="仿宋_GB2312" w:eastAsia="仿宋_GB2312"/>
          <w:sz w:val="28"/>
          <w:szCs w:val="28"/>
          <w:highlight w:val="none"/>
          <w:lang w:eastAsia="zh-CN"/>
        </w:rPr>
        <w:t>中电信智能网络科技有限公司2025年营销辅助数字化建设项目</w:t>
      </w:r>
      <w:r>
        <w:rPr>
          <w:rFonts w:hint="eastAsia" w:ascii="仿宋_GB2312" w:eastAsia="仿宋_GB2312"/>
          <w:sz w:val="28"/>
          <w:szCs w:val="28"/>
          <w:highlight w:val="none"/>
          <w:lang w:val="en-US" w:eastAsia="zh-CN"/>
        </w:rPr>
        <w:t>的</w:t>
      </w:r>
      <w:r>
        <w:rPr>
          <w:rFonts w:hint="eastAsia" w:ascii="仿宋_GB2312" w:eastAsia="仿宋_GB2312"/>
          <w:sz w:val="28"/>
          <w:szCs w:val="28"/>
          <w:highlight w:val="none"/>
        </w:rPr>
        <w:t>采购工作，具体采购方案建议如下</w:t>
      </w:r>
      <w:r>
        <w:rPr>
          <w:rFonts w:hint="eastAsia" w:ascii="仿宋_GB2312" w:eastAsia="仿宋_GB2312"/>
          <w:sz w:val="28"/>
          <w:szCs w:val="28"/>
          <w:highlight w:val="none"/>
          <w:lang w:eastAsia="zh-CN"/>
        </w:rPr>
        <w:t>：</w:t>
      </w:r>
    </w:p>
    <w:p w14:paraId="0FF2A39D">
      <w:pPr>
        <w:ind w:firstLine="645"/>
        <w:rPr>
          <w:rFonts w:hint="eastAsia" w:ascii="仿宋_GB2312" w:eastAsia="仿宋_GB2312"/>
          <w:b/>
          <w:bCs/>
          <w:sz w:val="32"/>
          <w:szCs w:val="32"/>
          <w:highlight w:val="none"/>
        </w:rPr>
      </w:pPr>
      <w:r>
        <w:rPr>
          <w:rFonts w:ascii="仿宋_GB2312" w:eastAsia="仿宋_GB2312"/>
          <w:b/>
          <w:bCs/>
          <w:sz w:val="32"/>
          <w:szCs w:val="32"/>
          <w:highlight w:val="none"/>
        </w:rPr>
        <w:t>一</w:t>
      </w:r>
      <w:r>
        <w:rPr>
          <w:rFonts w:hint="eastAsia" w:ascii="仿宋_GB2312" w:eastAsia="仿宋_GB2312"/>
          <w:b/>
          <w:bCs/>
          <w:sz w:val="32"/>
          <w:szCs w:val="32"/>
          <w:highlight w:val="none"/>
        </w:rPr>
        <w:t>、采购需求</w:t>
      </w:r>
    </w:p>
    <w:p w14:paraId="08CD6BFF">
      <w:pPr>
        <w:tabs>
          <w:tab w:val="left" w:pos="993"/>
        </w:tabs>
        <w:ind w:firstLine="560" w:firstLineChars="200"/>
        <w:jc w:val="left"/>
        <w:rPr>
          <w:rFonts w:hint="default" w:ascii="仿宋_GB2312" w:eastAsia="仿宋_GB2312"/>
          <w:sz w:val="28"/>
          <w:szCs w:val="28"/>
          <w:highlight w:val="none"/>
          <w:lang w:val="en-US" w:eastAsia="zh-CN"/>
        </w:rPr>
      </w:pPr>
      <w:r>
        <w:rPr>
          <w:rFonts w:hint="default" w:ascii="仿宋_GB2312" w:eastAsia="仿宋_GB2312"/>
          <w:sz w:val="28"/>
          <w:szCs w:val="28"/>
          <w:highlight w:val="none"/>
          <w:lang w:val="en-US" w:eastAsia="zh-CN"/>
        </w:rPr>
        <w:t>项目以提升营销效率、优化客户体验、实现数据驱动决策以及推动业务增长为目标，构建一套高效、智能、一体化的营销支持平台，全面赋能企业营销数字化转型。通过整合销售品数据、营销政策、优惠券及活动管理等功能，实现营销资源的标准化、集中化管理，提升数据准确性与协同效率。依托产品卖点、话术库及案例视频库的数字化沉淀，强化一线团队的营销能力，确保信息传递的一致性与精准性。项目将建立统一的数据库管理体系，完成短厅数据的清洗、治理与模型开发，通过机器学习持续优化营销策略。部署智能服务监控模块，实时跟踪活动效果，结合动态评估机制快速迭代策略，形成“数据驱动—策略执行—效果反馈”的闭环。最终实现营销全流程自动化、决策智能化，降低运营成本，提升客户转化率，为企业长效增长提供数字化引擎。</w:t>
      </w:r>
    </w:p>
    <w:p w14:paraId="0CA34582">
      <w:pPr>
        <w:ind w:firstLine="645"/>
        <w:rPr>
          <w:rFonts w:ascii="仿宋_GB2312" w:eastAsia="仿宋_GB2312"/>
          <w:b/>
          <w:bCs/>
          <w:sz w:val="32"/>
          <w:szCs w:val="32"/>
          <w:highlight w:val="none"/>
        </w:rPr>
      </w:pPr>
      <w:r>
        <w:rPr>
          <w:rFonts w:ascii="仿宋_GB2312" w:eastAsia="仿宋_GB2312"/>
          <w:b/>
          <w:bCs/>
          <w:sz w:val="32"/>
          <w:szCs w:val="32"/>
          <w:highlight w:val="none"/>
        </w:rPr>
        <w:t>二</w:t>
      </w:r>
      <w:r>
        <w:rPr>
          <w:rFonts w:hint="eastAsia" w:ascii="仿宋_GB2312" w:eastAsia="仿宋_GB2312"/>
          <w:b/>
          <w:bCs/>
          <w:sz w:val="32"/>
          <w:szCs w:val="32"/>
          <w:highlight w:val="none"/>
        </w:rPr>
        <w:t>、</w:t>
      </w:r>
      <w:r>
        <w:rPr>
          <w:rFonts w:ascii="仿宋_GB2312" w:eastAsia="仿宋_GB2312"/>
          <w:b/>
          <w:bCs/>
          <w:sz w:val="32"/>
          <w:szCs w:val="32"/>
          <w:highlight w:val="none"/>
        </w:rPr>
        <w:t>采购内容</w:t>
      </w:r>
      <w:r>
        <w:rPr>
          <w:rFonts w:hint="eastAsia" w:ascii="仿宋_GB2312" w:eastAsia="仿宋_GB2312"/>
          <w:b/>
          <w:bCs/>
          <w:sz w:val="32"/>
          <w:szCs w:val="32"/>
          <w:highlight w:val="none"/>
        </w:rPr>
        <w:t>及</w:t>
      </w:r>
      <w:r>
        <w:rPr>
          <w:rFonts w:ascii="仿宋_GB2312" w:eastAsia="仿宋_GB2312"/>
          <w:b/>
          <w:bCs/>
          <w:sz w:val="32"/>
          <w:szCs w:val="32"/>
          <w:highlight w:val="none"/>
        </w:rPr>
        <w:t>采购方式</w:t>
      </w:r>
    </w:p>
    <w:p w14:paraId="0B19AF91">
      <w:pPr>
        <w:tabs>
          <w:tab w:val="left" w:pos="993"/>
        </w:tabs>
        <w:ind w:firstLine="562" w:firstLineChars="200"/>
        <w:jc w:val="left"/>
        <w:rPr>
          <w:rFonts w:hint="eastAsia" w:ascii="仿宋_GB2312" w:eastAsia="仿宋_GB2312"/>
          <w:b/>
          <w:bCs/>
          <w:sz w:val="28"/>
          <w:szCs w:val="28"/>
          <w:highlight w:val="none"/>
        </w:rPr>
      </w:pPr>
      <w:r>
        <w:rPr>
          <w:rFonts w:hint="eastAsia" w:ascii="仿宋_GB2312" w:eastAsia="仿宋_GB2312"/>
          <w:b/>
          <w:bCs/>
          <w:sz w:val="28"/>
          <w:szCs w:val="28"/>
          <w:highlight w:val="none"/>
          <w:lang w:eastAsia="zh-CN"/>
        </w:rPr>
        <w:t>（</w:t>
      </w:r>
      <w:r>
        <w:rPr>
          <w:rFonts w:hint="eastAsia" w:ascii="仿宋_GB2312" w:eastAsia="仿宋_GB2312"/>
          <w:b/>
          <w:bCs/>
          <w:sz w:val="28"/>
          <w:szCs w:val="28"/>
          <w:highlight w:val="none"/>
          <w:lang w:val="en-US" w:eastAsia="zh-CN"/>
        </w:rPr>
        <w:t>一</w:t>
      </w:r>
      <w:r>
        <w:rPr>
          <w:rFonts w:hint="eastAsia" w:ascii="仿宋_GB2312" w:eastAsia="仿宋_GB2312"/>
          <w:b/>
          <w:bCs/>
          <w:sz w:val="28"/>
          <w:szCs w:val="28"/>
          <w:highlight w:val="none"/>
          <w:lang w:eastAsia="zh-CN"/>
        </w:rPr>
        <w:t>）</w:t>
      </w:r>
      <w:r>
        <w:rPr>
          <w:rFonts w:hint="eastAsia" w:ascii="仿宋_GB2312" w:eastAsia="仿宋_GB2312"/>
          <w:b/>
          <w:bCs/>
          <w:sz w:val="28"/>
          <w:szCs w:val="28"/>
          <w:highlight w:val="none"/>
        </w:rPr>
        <w:t>采购内容</w:t>
      </w:r>
    </w:p>
    <w:p w14:paraId="1DB98CF6">
      <w:pPr>
        <w:tabs>
          <w:tab w:val="left" w:pos="993"/>
        </w:tabs>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lang w:eastAsia="zh-CN"/>
        </w:rPr>
        <w:t>2025年营销辅助数字化建设开发服务</w:t>
      </w:r>
      <w:r>
        <w:rPr>
          <w:rFonts w:hint="eastAsia" w:ascii="仿宋_GB2312" w:eastAsia="仿宋_GB2312"/>
          <w:sz w:val="28"/>
          <w:szCs w:val="28"/>
          <w:highlight w:val="none"/>
        </w:rPr>
        <w:t>。采购估算金额为</w:t>
      </w:r>
      <w:r>
        <w:rPr>
          <w:rFonts w:hint="eastAsia" w:ascii="仿宋_GB2312" w:eastAsia="仿宋_GB2312"/>
          <w:sz w:val="28"/>
          <w:szCs w:val="28"/>
          <w:highlight w:val="none"/>
          <w:lang w:val="en-US" w:eastAsia="zh-CN"/>
        </w:rPr>
        <w:t>372.06万元人民币（含税），其中价款为351.00万元人民币，税款为21.06万元人民币</w:t>
      </w:r>
      <w:r>
        <w:rPr>
          <w:rFonts w:hint="eastAsia" w:ascii="仿宋_GB2312" w:eastAsia="仿宋_GB2312"/>
          <w:sz w:val="28"/>
          <w:szCs w:val="28"/>
          <w:highlight w:val="none"/>
        </w:rPr>
        <w:t>。</w:t>
      </w:r>
    </w:p>
    <w:p w14:paraId="3896DF24">
      <w:pPr>
        <w:tabs>
          <w:tab w:val="left" w:pos="1080"/>
        </w:tabs>
        <w:ind w:firstLine="562" w:firstLineChars="200"/>
        <w:rPr>
          <w:rFonts w:hint="eastAsia" w:ascii="仿宋_GB2312" w:eastAsia="仿宋_GB2312"/>
          <w:b/>
          <w:bCs/>
          <w:sz w:val="28"/>
          <w:szCs w:val="28"/>
          <w:highlight w:val="none"/>
        </w:rPr>
      </w:pPr>
      <w:r>
        <w:rPr>
          <w:rFonts w:hint="eastAsia" w:ascii="仿宋_GB2312" w:eastAsia="仿宋_GB2312"/>
          <w:b/>
          <w:bCs/>
          <w:sz w:val="28"/>
          <w:szCs w:val="28"/>
          <w:highlight w:val="none"/>
          <w:lang w:eastAsia="zh-CN"/>
        </w:rPr>
        <w:t>（</w:t>
      </w:r>
      <w:r>
        <w:rPr>
          <w:rFonts w:hint="eastAsia" w:ascii="仿宋_GB2312" w:eastAsia="仿宋_GB2312"/>
          <w:b/>
          <w:bCs/>
          <w:sz w:val="28"/>
          <w:szCs w:val="28"/>
          <w:highlight w:val="none"/>
          <w:lang w:val="en-US" w:eastAsia="zh-CN"/>
        </w:rPr>
        <w:t>二</w:t>
      </w:r>
      <w:r>
        <w:rPr>
          <w:rFonts w:hint="eastAsia" w:ascii="仿宋_GB2312" w:eastAsia="仿宋_GB2312"/>
          <w:b/>
          <w:bCs/>
          <w:sz w:val="28"/>
          <w:szCs w:val="28"/>
          <w:highlight w:val="none"/>
          <w:lang w:eastAsia="zh-CN"/>
        </w:rPr>
        <w:t>）</w:t>
      </w:r>
      <w:r>
        <w:rPr>
          <w:rFonts w:hint="eastAsia" w:ascii="仿宋_GB2312" w:eastAsia="仿宋_GB2312"/>
          <w:b/>
          <w:bCs/>
          <w:sz w:val="28"/>
          <w:szCs w:val="28"/>
          <w:highlight w:val="none"/>
        </w:rPr>
        <w:t>采购方式</w:t>
      </w:r>
    </w:p>
    <w:p w14:paraId="38DA6215">
      <w:pPr>
        <w:tabs>
          <w:tab w:val="left" w:pos="1080"/>
        </w:tabs>
        <w:ind w:firstLine="560" w:firstLineChars="200"/>
        <w:rPr>
          <w:rFonts w:ascii="仿宋_GB2312" w:eastAsia="仿宋_GB2312"/>
          <w:sz w:val="28"/>
          <w:szCs w:val="28"/>
          <w:highlight w:val="none"/>
        </w:rPr>
      </w:pPr>
      <w:r>
        <w:rPr>
          <w:rFonts w:hint="eastAsia" w:ascii="仿宋_GB2312" w:eastAsia="仿宋_GB2312"/>
          <w:sz w:val="28"/>
          <w:szCs w:val="28"/>
          <w:highlight w:val="none"/>
        </w:rPr>
        <w:t>本次采购采用公开询比的方式进行，拟在采购方案签报审批通过后在中国电信阳光采购网(https://caigou.chinatelecom.com.cn)、中国招标投标公共服务平台(http://www.cebpubservice.com/)上发布询比公告，其他媒体转载无效。</w:t>
      </w:r>
    </w:p>
    <w:p w14:paraId="5D2268B9">
      <w:pPr>
        <w:pStyle w:val="32"/>
        <w:numPr>
          <w:ilvl w:val="0"/>
          <w:numId w:val="1"/>
        </w:numPr>
        <w:ind w:firstLineChars="0"/>
        <w:rPr>
          <w:rFonts w:ascii="仿宋_GB2312" w:eastAsia="仿宋_GB2312"/>
          <w:b/>
          <w:bCs/>
          <w:sz w:val="32"/>
          <w:szCs w:val="32"/>
          <w:highlight w:val="none"/>
        </w:rPr>
      </w:pPr>
      <w:r>
        <w:rPr>
          <w:rFonts w:hint="eastAsia" w:ascii="仿宋_GB2312" w:eastAsia="仿宋_GB2312"/>
          <w:b/>
          <w:bCs/>
          <w:sz w:val="32"/>
          <w:szCs w:val="32"/>
          <w:highlight w:val="none"/>
        </w:rPr>
        <w:t>采购方案（公开询比）</w:t>
      </w:r>
    </w:p>
    <w:p w14:paraId="3049FEF2">
      <w:pPr>
        <w:pStyle w:val="13"/>
        <w:spacing w:after="0"/>
        <w:ind w:left="0" w:leftChars="0" w:firstLine="562" w:firstLineChars="200"/>
        <w:rPr>
          <w:rFonts w:ascii="仿宋_GB2312" w:eastAsia="仿宋_GB2312"/>
          <w:sz w:val="28"/>
          <w:szCs w:val="28"/>
          <w:highlight w:val="yellow"/>
        </w:rPr>
      </w:pPr>
      <w:r>
        <w:rPr>
          <w:rFonts w:hint="eastAsia" w:ascii="仿宋_GB2312" w:eastAsia="仿宋_GB2312"/>
          <w:b/>
          <w:bCs/>
          <w:sz w:val="28"/>
          <w:szCs w:val="28"/>
          <w:highlight w:val="none"/>
          <w:lang w:eastAsia="zh-CN"/>
        </w:rPr>
        <w:t>（一）资格审查方式：资格后审，资格条件如下：</w:t>
      </w:r>
    </w:p>
    <w:p w14:paraId="50165890">
      <w:pPr>
        <w:autoSpaceDE w:val="0"/>
        <w:autoSpaceDN w:val="0"/>
        <w:adjustRightInd w:val="0"/>
        <w:ind w:firstLine="560" w:firstLineChars="200"/>
        <w:jc w:val="left"/>
        <w:rPr>
          <w:rFonts w:ascii="仿宋_GB2312" w:eastAsia="仿宋_GB2312"/>
          <w:sz w:val="28"/>
          <w:szCs w:val="28"/>
          <w:highlight w:val="none"/>
        </w:rPr>
      </w:pPr>
      <w:bookmarkStart w:id="0" w:name="_Hlk178190274"/>
      <w:r>
        <w:rPr>
          <w:rFonts w:ascii="仿宋_GB2312" w:eastAsia="仿宋_GB2312"/>
          <w:sz w:val="28"/>
          <w:szCs w:val="28"/>
          <w:highlight w:val="none"/>
        </w:rPr>
        <w:t>1.</w:t>
      </w:r>
      <w:r>
        <w:rPr>
          <w:rFonts w:hint="eastAsia" w:ascii="仿宋_GB2312" w:eastAsia="仿宋_GB2312"/>
          <w:sz w:val="28"/>
          <w:szCs w:val="28"/>
          <w:highlight w:val="none"/>
        </w:rPr>
        <w:t>供应商应为中华人民共和国境内法律上和财务上独立的法人或依法登记注册的其他组织，合法运作并独立于采购人和采购代理机构。供应商应具有良好的银行资信和商业信誉。法人下属不具备法人资格的分支机构参与响应的，应提供所属法人针对本项目或覆盖本项目的经营事项的有效授权。</w:t>
      </w:r>
    </w:p>
    <w:p w14:paraId="1E851426">
      <w:pPr>
        <w:autoSpaceDE w:val="0"/>
        <w:autoSpaceDN w:val="0"/>
        <w:adjustRightInd w:val="0"/>
        <w:ind w:firstLine="560" w:firstLineChars="200"/>
        <w:jc w:val="left"/>
        <w:rPr>
          <w:rFonts w:ascii="仿宋_GB2312" w:eastAsia="仿宋_GB2312"/>
          <w:sz w:val="28"/>
          <w:szCs w:val="28"/>
          <w:highlight w:val="none"/>
        </w:rPr>
      </w:pPr>
      <w:r>
        <w:rPr>
          <w:rFonts w:ascii="仿宋_GB2312" w:eastAsia="仿宋_GB2312"/>
          <w:sz w:val="28"/>
          <w:szCs w:val="28"/>
          <w:highlight w:val="none"/>
        </w:rPr>
        <w:t>2.</w:t>
      </w:r>
      <w:r>
        <w:rPr>
          <w:rFonts w:hint="eastAsia" w:ascii="仿宋_GB2312" w:eastAsia="仿宋_GB2312"/>
          <w:sz w:val="28"/>
          <w:szCs w:val="28"/>
          <w:highlight w:val="none"/>
        </w:rPr>
        <w:t>供应商的法定代表人或负责人为同一人或者存在控股、管理关系的不同供应商，不得参加同一标包或者未划分标包的同一询比项目响应</w:t>
      </w:r>
      <w:bookmarkEnd w:id="0"/>
      <w:r>
        <w:rPr>
          <w:rFonts w:hint="eastAsia" w:ascii="仿宋_GB2312" w:eastAsia="仿宋_GB2312"/>
          <w:sz w:val="28"/>
          <w:szCs w:val="28"/>
          <w:highlight w:val="none"/>
        </w:rPr>
        <w:t>。</w:t>
      </w:r>
    </w:p>
    <w:p w14:paraId="7262B651">
      <w:pPr>
        <w:autoSpaceDE w:val="0"/>
        <w:autoSpaceDN w:val="0"/>
        <w:adjustRightInd w:val="0"/>
        <w:ind w:firstLine="560" w:firstLineChars="200"/>
        <w:jc w:val="left"/>
        <w:rPr>
          <w:rFonts w:ascii="仿宋_GB2312" w:eastAsia="仿宋_GB2312"/>
          <w:sz w:val="28"/>
          <w:szCs w:val="28"/>
          <w:highlight w:val="none"/>
        </w:rPr>
      </w:pPr>
      <w:bookmarkStart w:id="1" w:name="_Hlk178190317"/>
      <w:r>
        <w:rPr>
          <w:rFonts w:ascii="仿宋_GB2312" w:eastAsia="仿宋_GB2312"/>
          <w:sz w:val="28"/>
          <w:szCs w:val="28"/>
          <w:highlight w:val="none"/>
        </w:rPr>
        <w:t>3.</w:t>
      </w:r>
      <w:r>
        <w:rPr>
          <w:rFonts w:hint="eastAsia" w:ascii="仿宋_GB2312" w:eastAsia="仿宋_GB2312"/>
          <w:sz w:val="28"/>
          <w:szCs w:val="28"/>
          <w:highlight w:val="none"/>
        </w:rPr>
        <w:t>供应商不得存在下列情形</w:t>
      </w:r>
    </w:p>
    <w:p w14:paraId="3DE35A43">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（1）为采购人不具有独立法人资格的附属机构（单位）；</w:t>
      </w:r>
    </w:p>
    <w:p w14:paraId="560A8FBC">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（2）被依法暂停或取消投标/响应资格的；</w:t>
      </w:r>
    </w:p>
    <w:p w14:paraId="6E38FF81">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 xml:space="preserve">（3）被责令停产停业、暂扣或者吊销许可证、暂扣或者吊销执照； </w:t>
      </w:r>
    </w:p>
    <w:p w14:paraId="1BAEDA66">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 xml:space="preserve">（4）进入清算程序，或被宣告破产，或其他丧失履约能力的情形； </w:t>
      </w:r>
    </w:p>
    <w:p w14:paraId="1DFD2923">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（5）在最近三年内[响应截止时间前36个月]被相关行业主管部门或司法机关认定骗取中标/成交、严重违约、重大工程质量或者安全问题的；</w:t>
      </w:r>
    </w:p>
    <w:p w14:paraId="141FF264">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（6）在最近五年内[响应截止时间前60个月]被判处单位行贿罪，且行贿行为与采购活动相关的（以“中国裁判文书网”的生效判决为准）；</w:t>
      </w:r>
    </w:p>
    <w:p w14:paraId="28A2B587">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（7）在最近五年内[响应截止时间前60个月]被判处合同诈骗罪的（以“中国裁判文书网”的生效判决为准）；</w:t>
      </w:r>
    </w:p>
    <w:p w14:paraId="051AD5A9">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（8）被最高人民法院在“信用中国”网站（www.creditchina.gov.cn）或各级信用信息共享平台中列入失信被执行人名单，已执行完毕或不再执行的除外；</w:t>
      </w:r>
    </w:p>
    <w:p w14:paraId="71837129">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（9）为本询比项目提供过设计、编制技术规范和其他文件的咨询服务；</w:t>
      </w:r>
    </w:p>
    <w:p w14:paraId="5A9917A5">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（10）为本工程项目的相关监理人，或者与本工程项目的相关监理人存在隶属关系或者其他利害关系；</w:t>
      </w:r>
    </w:p>
    <w:p w14:paraId="3E2D088E">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（11）为本询比项目的代建人；</w:t>
      </w:r>
    </w:p>
    <w:p w14:paraId="60AE13D7">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（12）为本询比项目的采购代理机构；</w:t>
      </w:r>
    </w:p>
    <w:p w14:paraId="113BFA4C">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（13）与本询比项目的监理人或代建人或采购代理机构同为一个法定代表人；</w:t>
      </w:r>
    </w:p>
    <w:p w14:paraId="44FDEB42">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（14）与本询比项目的监理人或代建人或采购代理机构存在控股或参股关系；</w:t>
      </w:r>
    </w:p>
    <w:p w14:paraId="5C371EEA">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（15）被工商行政管理机关在国家企业信用信息公示系统中列入严重违法失信企业名单的；</w:t>
      </w:r>
    </w:p>
    <w:p w14:paraId="49A9CBFA">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（16）其他按照中国电信供应商不良行为处理结果及《中国电信供应商不良行为管理规则》的结果执行规则，应对供应商及其响应产品品类在本项目中执行禁止采购处理措施的；</w:t>
      </w:r>
    </w:p>
    <w:p w14:paraId="12030EEA">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（17）法律法规、询比文件限定的其他情形。</w:t>
      </w:r>
    </w:p>
    <w:p w14:paraId="6AE85669">
      <w:pPr>
        <w:autoSpaceDE w:val="0"/>
        <w:autoSpaceDN w:val="0"/>
        <w:adjustRightInd w:val="0"/>
        <w:ind w:firstLine="560" w:firstLineChars="200"/>
        <w:jc w:val="left"/>
        <w:rPr>
          <w:rFonts w:hint="eastAsia"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本项目不接受联合体响应。</w:t>
      </w:r>
    </w:p>
    <w:p w14:paraId="02E78F70">
      <w:pPr>
        <w:autoSpaceDE w:val="0"/>
        <w:autoSpaceDN w:val="0"/>
        <w:adjustRightInd w:val="0"/>
        <w:ind w:firstLine="560" w:firstLineChars="200"/>
        <w:jc w:val="left"/>
        <w:rPr>
          <w:rFonts w:hint="eastAsia" w:ascii="仿宋_GB2312" w:eastAsia="仿宋_GB2312"/>
          <w:sz w:val="28"/>
          <w:szCs w:val="28"/>
          <w:highlight w:val="none"/>
        </w:rPr>
      </w:pP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法律法规规定的其他要求。</w:t>
      </w:r>
    </w:p>
    <w:bookmarkEnd w:id="1"/>
    <w:p w14:paraId="20916CEE">
      <w:pPr>
        <w:pStyle w:val="13"/>
        <w:spacing w:after="0"/>
        <w:ind w:left="0" w:leftChars="0" w:firstLine="281" w:firstLineChars="100"/>
        <w:rPr>
          <w:rFonts w:ascii="仿宋_GB2312" w:eastAsia="仿宋_GB2312"/>
          <w:b/>
          <w:bCs/>
          <w:sz w:val="28"/>
          <w:szCs w:val="28"/>
          <w:highlight w:val="none"/>
          <w:lang w:eastAsia="zh-CN"/>
        </w:rPr>
      </w:pPr>
      <w:bookmarkStart w:id="2" w:name="_Hlk178190350"/>
      <w:r>
        <w:rPr>
          <w:rFonts w:hint="eastAsia" w:ascii="仿宋_GB2312" w:eastAsia="仿宋_GB2312"/>
          <w:b/>
          <w:bCs/>
          <w:sz w:val="28"/>
          <w:szCs w:val="28"/>
          <w:highlight w:val="none"/>
          <w:lang w:eastAsia="zh-CN"/>
        </w:rPr>
        <w:t>（二）</w:t>
      </w:r>
      <w:bookmarkEnd w:id="2"/>
      <w:r>
        <w:rPr>
          <w:rFonts w:hint="eastAsia" w:ascii="仿宋_GB2312" w:eastAsia="仿宋_GB2312"/>
          <w:b/>
          <w:bCs/>
          <w:sz w:val="28"/>
          <w:szCs w:val="28"/>
          <w:highlight w:val="none"/>
          <w:lang w:eastAsia="zh-CN"/>
        </w:rPr>
        <w:t>评审方法及评分标准：采用综合评估法。</w:t>
      </w:r>
    </w:p>
    <w:p w14:paraId="6DA6FA8B">
      <w:pPr>
        <w:autoSpaceDE w:val="0"/>
        <w:autoSpaceDN w:val="0"/>
        <w:adjustRightInd w:val="0"/>
        <w:ind w:firstLine="560" w:firstLineChars="200"/>
        <w:jc w:val="left"/>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kern w:val="0"/>
          <w:sz w:val="28"/>
          <w:szCs w:val="28"/>
          <w:highlight w:val="none"/>
        </w:rPr>
        <w:t>总分共</w:t>
      </w:r>
      <w:r>
        <w:rPr>
          <w:rFonts w:ascii="仿宋_GB2312" w:hAnsi="仿宋_GB2312" w:eastAsia="仿宋_GB2312" w:cs="仿宋_GB2312"/>
          <w:kern w:val="0"/>
          <w:sz w:val="28"/>
          <w:szCs w:val="28"/>
          <w:highlight w:val="none"/>
        </w:rPr>
        <w:t xml:space="preserve">100 </w:t>
      </w:r>
      <w:r>
        <w:rPr>
          <w:rFonts w:hint="eastAsia" w:ascii="仿宋_GB2312" w:hAnsi="仿宋_GB2312" w:eastAsia="仿宋_GB2312" w:cs="仿宋_GB2312"/>
          <w:kern w:val="0"/>
          <w:sz w:val="28"/>
          <w:szCs w:val="28"/>
          <w:highlight w:val="none"/>
        </w:rPr>
        <w:t>分，其中商务</w:t>
      </w:r>
      <w:r>
        <w:rPr>
          <w:rFonts w:hint="eastAsia" w:ascii="仿宋_GB2312" w:hAnsi="仿宋_GB2312" w:eastAsia="仿宋_GB2312" w:cs="仿宋_GB2312"/>
          <w:kern w:val="0"/>
          <w:sz w:val="28"/>
          <w:szCs w:val="28"/>
          <w:highlight w:val="none"/>
          <w:lang w:val="en-US" w:eastAsia="zh-CN"/>
        </w:rPr>
        <w:t>5</w:t>
      </w:r>
      <w:r>
        <w:rPr>
          <w:rFonts w:hint="eastAsia" w:ascii="仿宋_GB2312" w:hAnsi="仿宋_GB2312" w:eastAsia="仿宋_GB2312" w:cs="仿宋_GB2312"/>
          <w:kern w:val="0"/>
          <w:sz w:val="28"/>
          <w:szCs w:val="28"/>
          <w:highlight w:val="none"/>
        </w:rPr>
        <w:t>分，技术</w:t>
      </w:r>
      <w:r>
        <w:rPr>
          <w:rFonts w:hint="eastAsia" w:ascii="仿宋_GB2312" w:hAnsi="仿宋_GB2312" w:eastAsia="仿宋_GB2312" w:cs="仿宋_GB2312"/>
          <w:kern w:val="0"/>
          <w:sz w:val="28"/>
          <w:szCs w:val="28"/>
          <w:highlight w:val="none"/>
          <w:lang w:val="en-US" w:eastAsia="zh-CN"/>
        </w:rPr>
        <w:t>40</w:t>
      </w:r>
      <w:r>
        <w:rPr>
          <w:rFonts w:hint="eastAsia" w:ascii="仿宋_GB2312" w:hAnsi="仿宋_GB2312" w:eastAsia="仿宋_GB2312" w:cs="仿宋_GB2312"/>
          <w:kern w:val="0"/>
          <w:sz w:val="28"/>
          <w:szCs w:val="28"/>
          <w:highlight w:val="none"/>
        </w:rPr>
        <w:t>分，服务</w:t>
      </w:r>
      <w:r>
        <w:rPr>
          <w:rFonts w:hint="eastAsia" w:ascii="仿宋_GB2312" w:hAnsi="仿宋_GB2312" w:eastAsia="仿宋_GB2312" w:cs="仿宋_GB2312"/>
          <w:kern w:val="0"/>
          <w:sz w:val="28"/>
          <w:szCs w:val="28"/>
          <w:highlight w:val="none"/>
          <w:lang w:val="en-US" w:eastAsia="zh-CN"/>
        </w:rPr>
        <w:t>5</w:t>
      </w:r>
      <w:r>
        <w:rPr>
          <w:rFonts w:hint="eastAsia" w:ascii="仿宋_GB2312" w:hAnsi="仿宋_GB2312" w:eastAsia="仿宋_GB2312" w:cs="仿宋_GB2312"/>
          <w:kern w:val="0"/>
          <w:sz w:val="28"/>
          <w:szCs w:val="28"/>
          <w:highlight w:val="none"/>
        </w:rPr>
        <w:t>分，价格</w:t>
      </w:r>
      <w:r>
        <w:rPr>
          <w:rFonts w:hint="eastAsia" w:ascii="仿宋_GB2312" w:hAnsi="仿宋_GB2312" w:eastAsia="仿宋_GB2312" w:cs="仿宋_GB2312"/>
          <w:kern w:val="0"/>
          <w:sz w:val="28"/>
          <w:szCs w:val="28"/>
          <w:highlight w:val="none"/>
          <w:lang w:val="en-US" w:eastAsia="zh-CN"/>
        </w:rPr>
        <w:t>50</w:t>
      </w:r>
      <w:r>
        <w:rPr>
          <w:rFonts w:hint="eastAsia" w:ascii="仿宋_GB2312" w:hAnsi="仿宋_GB2312" w:eastAsia="仿宋_GB2312" w:cs="仿宋_GB2312"/>
          <w:kern w:val="0"/>
          <w:sz w:val="28"/>
          <w:szCs w:val="28"/>
          <w:highlight w:val="none"/>
        </w:rPr>
        <w:t>分。其中：</w:t>
      </w:r>
    </w:p>
    <w:p w14:paraId="402DA6F1">
      <w:pPr>
        <w:autoSpaceDE w:val="0"/>
        <w:autoSpaceDN w:val="0"/>
        <w:adjustRightInd w:val="0"/>
        <w:ind w:firstLine="562" w:firstLineChars="200"/>
        <w:jc w:val="left"/>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b/>
          <w:bCs/>
          <w:kern w:val="0"/>
          <w:sz w:val="28"/>
          <w:szCs w:val="28"/>
          <w:highlight w:val="none"/>
        </w:rPr>
        <w:t>1.商务部分</w:t>
      </w:r>
      <w:r>
        <w:rPr>
          <w:rFonts w:hint="eastAsia" w:ascii="仿宋_GB2312" w:hAnsi="仿宋_GB2312" w:eastAsia="仿宋_GB2312" w:cs="仿宋_GB2312"/>
          <w:kern w:val="0"/>
          <w:sz w:val="28"/>
          <w:szCs w:val="28"/>
          <w:highlight w:val="none"/>
        </w:rPr>
        <w:t>：</w:t>
      </w:r>
      <w:r>
        <w:rPr>
          <w:rFonts w:hint="eastAsia" w:ascii="仿宋_GB2312" w:hAnsi="仿宋_GB2312" w:eastAsia="仿宋_GB2312" w:cs="仿宋_GB2312"/>
          <w:kern w:val="0"/>
          <w:sz w:val="28"/>
          <w:szCs w:val="28"/>
        </w:rPr>
        <w:t>主要从资质及管理体系认证</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商务条款应答</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响应文件制作质量进行评估，商务详细评分标准详见附件</w:t>
      </w:r>
      <w:r>
        <w:rPr>
          <w:rFonts w:ascii="仿宋_GB2312" w:hAnsi="仿宋_GB2312" w:eastAsia="仿宋_GB2312" w:cs="仿宋_GB2312"/>
          <w:kern w:val="0"/>
          <w:sz w:val="28"/>
          <w:szCs w:val="28"/>
        </w:rPr>
        <w:t>4</w:t>
      </w:r>
      <w:r>
        <w:rPr>
          <w:rFonts w:hint="eastAsia" w:ascii="仿宋_GB2312" w:hAnsi="仿宋_GB2312" w:eastAsia="仿宋_GB2312" w:cs="仿宋_GB2312"/>
          <w:kern w:val="0"/>
          <w:sz w:val="28"/>
          <w:szCs w:val="28"/>
          <w:highlight w:val="none"/>
        </w:rPr>
        <w:t>。</w:t>
      </w:r>
    </w:p>
    <w:p w14:paraId="326A3AD3">
      <w:pPr>
        <w:autoSpaceDE w:val="0"/>
        <w:autoSpaceDN w:val="0"/>
        <w:adjustRightInd w:val="0"/>
        <w:ind w:firstLine="562" w:firstLineChars="200"/>
        <w:jc w:val="left"/>
        <w:rPr>
          <w:rFonts w:hint="eastAsia" w:ascii="仿宋_GB2312" w:hAnsi="仿宋_GB2312" w:eastAsia="仿宋_GB2312" w:cs="仿宋_GB2312"/>
          <w:kern w:val="0"/>
          <w:sz w:val="28"/>
          <w:szCs w:val="28"/>
          <w:highlight w:val="yellow"/>
        </w:rPr>
      </w:pPr>
      <w:r>
        <w:rPr>
          <w:rFonts w:hint="eastAsia" w:ascii="仿宋_GB2312" w:hAnsi="仿宋_GB2312" w:eastAsia="仿宋_GB2312" w:cs="仿宋_GB2312"/>
          <w:b/>
          <w:bCs/>
          <w:kern w:val="0"/>
          <w:sz w:val="28"/>
          <w:szCs w:val="28"/>
          <w:highlight w:val="yellow"/>
        </w:rPr>
        <w:t>2.技术部分</w:t>
      </w:r>
      <w:r>
        <w:rPr>
          <w:rFonts w:hint="eastAsia" w:ascii="仿宋_GB2312" w:hAnsi="仿宋_GB2312" w:eastAsia="仿宋_GB2312" w:cs="仿宋_GB2312"/>
          <w:kern w:val="0"/>
          <w:sz w:val="28"/>
          <w:szCs w:val="28"/>
          <w:highlight w:val="yellow"/>
        </w:rPr>
        <w:t>：主要从软件著作权或专利</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项目需求理解</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项目需求理解（主观）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项目建设实施方案</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项目建设实施方案（主观）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关键性技术能力1：业务场景AI生成算法能力</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关键性技术能力1：业务场景AI生成算法能力（主观）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关键性技术能力2：知识数据库构建与管理能力</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关键性技术能力2：知识数据库构建与管理能力（主观）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关键性技术能力3：数据治理能力</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关键性技术能力3：数据治理能力（主观）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关键性技术能力4：模型开发与调优能力</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关键性技术能力4：模型开发与调优能力（主观）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项目上线时间承诺</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信息安全管理制度</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信息安全管理制度（主观）</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项目经理</w:t>
      </w:r>
      <w:r>
        <w:rPr>
          <w:rFonts w:hint="eastAsia" w:ascii="仿宋_GB2312" w:hAnsi="仿宋_GB2312" w:eastAsia="仿宋_GB2312" w:cs="仿宋_GB2312"/>
          <w:kern w:val="0"/>
          <w:sz w:val="28"/>
          <w:szCs w:val="28"/>
          <w:highlight w:val="yellow"/>
          <w:lang w:eastAsia="zh-CN"/>
        </w:rPr>
        <w:t>、</w:t>
      </w:r>
      <w:r>
        <w:rPr>
          <w:rFonts w:hint="eastAsia" w:ascii="仿宋_GB2312" w:hAnsi="仿宋_GB2312" w:eastAsia="仿宋_GB2312" w:cs="仿宋_GB2312"/>
          <w:kern w:val="0"/>
          <w:sz w:val="28"/>
          <w:szCs w:val="28"/>
          <w:highlight w:val="yellow"/>
        </w:rPr>
        <w:t>服务团队配备配备方面进行评估，技术详细评分标准详见附件</w:t>
      </w:r>
      <w:r>
        <w:rPr>
          <w:rFonts w:ascii="仿宋_GB2312" w:hAnsi="仿宋_GB2312" w:eastAsia="仿宋_GB2312" w:cs="仿宋_GB2312"/>
          <w:kern w:val="0"/>
          <w:sz w:val="28"/>
          <w:szCs w:val="28"/>
          <w:highlight w:val="yellow"/>
        </w:rPr>
        <w:t>4</w:t>
      </w:r>
      <w:r>
        <w:rPr>
          <w:rFonts w:hint="eastAsia" w:ascii="仿宋_GB2312" w:hAnsi="仿宋_GB2312" w:eastAsia="仿宋_GB2312" w:cs="仿宋_GB2312"/>
          <w:kern w:val="0"/>
          <w:sz w:val="28"/>
          <w:szCs w:val="28"/>
          <w:highlight w:val="yellow"/>
        </w:rPr>
        <w:t>。</w:t>
      </w:r>
    </w:p>
    <w:p w14:paraId="305F913C">
      <w:pPr>
        <w:autoSpaceDE w:val="0"/>
        <w:autoSpaceDN w:val="0"/>
        <w:adjustRightInd w:val="0"/>
        <w:ind w:firstLine="562" w:firstLineChars="200"/>
        <w:jc w:val="left"/>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b/>
          <w:bCs/>
          <w:kern w:val="0"/>
          <w:sz w:val="28"/>
          <w:szCs w:val="28"/>
          <w:highlight w:val="none"/>
        </w:rPr>
        <w:t>3.服务部分</w:t>
      </w:r>
      <w:r>
        <w:rPr>
          <w:rFonts w:hint="eastAsia" w:ascii="仿宋_GB2312" w:hAnsi="仿宋_GB2312" w:eastAsia="仿宋_GB2312" w:cs="仿宋_GB2312"/>
          <w:kern w:val="0"/>
          <w:sz w:val="28"/>
          <w:szCs w:val="28"/>
          <w:highlight w:val="none"/>
        </w:rPr>
        <w:t>：</w:t>
      </w:r>
      <w:r>
        <w:rPr>
          <w:rFonts w:hint="eastAsia" w:ascii="仿宋_GB2312" w:hAnsi="仿宋_GB2312" w:eastAsia="仿宋_GB2312" w:cs="仿宋_GB2312"/>
          <w:kern w:val="0"/>
          <w:sz w:val="28"/>
          <w:szCs w:val="28"/>
        </w:rPr>
        <w:t>主要从服务质量保障方案</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服务质量保障方案（主观）</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人员培训方案</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人员培训方案（主观）</w:t>
      </w:r>
      <w:r>
        <w:rPr>
          <w:rFonts w:hint="eastAsia" w:ascii="仿宋_GB2312" w:hAnsi="仿宋_GB2312" w:eastAsia="仿宋_GB2312" w:cs="仿宋_GB2312"/>
          <w:kern w:val="0"/>
          <w:sz w:val="28"/>
          <w:szCs w:val="28"/>
          <w:lang w:eastAsia="zh-CN"/>
        </w:rPr>
        <w:t>、</w:t>
      </w:r>
      <w:r>
        <w:rPr>
          <w:rFonts w:hint="eastAsia" w:ascii="仿宋_GB2312" w:hAnsi="仿宋_GB2312" w:eastAsia="仿宋_GB2312" w:cs="仿宋_GB2312"/>
          <w:kern w:val="0"/>
          <w:sz w:val="28"/>
          <w:szCs w:val="28"/>
        </w:rPr>
        <w:t>服务响应方面进行评估，服务详细评分标准详见附件</w:t>
      </w:r>
      <w:r>
        <w:rPr>
          <w:rFonts w:ascii="仿宋_GB2312" w:hAnsi="仿宋_GB2312" w:eastAsia="仿宋_GB2312" w:cs="仿宋_GB2312"/>
          <w:kern w:val="0"/>
          <w:sz w:val="28"/>
          <w:szCs w:val="28"/>
        </w:rPr>
        <w:t>4</w:t>
      </w:r>
      <w:r>
        <w:rPr>
          <w:rFonts w:hint="eastAsia" w:ascii="仿宋_GB2312" w:hAnsi="仿宋_GB2312" w:eastAsia="仿宋_GB2312" w:cs="仿宋_GB2312"/>
          <w:kern w:val="0"/>
          <w:sz w:val="28"/>
          <w:szCs w:val="28"/>
          <w:highlight w:val="none"/>
        </w:rPr>
        <w:t>。</w:t>
      </w:r>
    </w:p>
    <w:p w14:paraId="29FB48E3">
      <w:pPr>
        <w:autoSpaceDE w:val="0"/>
        <w:autoSpaceDN w:val="0"/>
        <w:adjustRightInd w:val="0"/>
        <w:ind w:firstLine="562" w:firstLineChars="200"/>
        <w:jc w:val="left"/>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b/>
          <w:bCs/>
          <w:kern w:val="0"/>
          <w:sz w:val="28"/>
          <w:szCs w:val="28"/>
          <w:highlight w:val="none"/>
        </w:rPr>
        <w:t>4.价格评分</w:t>
      </w:r>
      <w:r>
        <w:rPr>
          <w:rFonts w:hint="eastAsia" w:ascii="仿宋_GB2312" w:hAnsi="仿宋_GB2312" w:eastAsia="仿宋_GB2312" w:cs="仿宋_GB2312"/>
          <w:kern w:val="0"/>
          <w:sz w:val="28"/>
          <w:szCs w:val="28"/>
          <w:highlight w:val="none"/>
        </w:rPr>
        <w:t>：</w:t>
      </w:r>
      <w:r>
        <w:rPr>
          <w:rFonts w:hint="eastAsia" w:ascii="仿宋_GB2312" w:hAnsi="仿宋_GB2312" w:eastAsia="仿宋_GB2312" w:cs="仿宋_GB2312"/>
          <w:kern w:val="0"/>
          <w:sz w:val="28"/>
          <w:szCs w:val="28"/>
        </w:rPr>
        <w:t>采用基准价格系数调整法</w:t>
      </w:r>
      <w:r>
        <w:rPr>
          <w:rFonts w:hint="eastAsia" w:ascii="仿宋_GB2312" w:hAnsi="仿宋_GB2312" w:eastAsia="仿宋_GB2312" w:cs="仿宋_GB2312"/>
          <w:b w:val="0"/>
          <w:bCs w:val="0"/>
          <w:kern w:val="0"/>
          <w:sz w:val="28"/>
          <w:szCs w:val="28"/>
          <w:highlight w:val="none"/>
        </w:rPr>
        <w:t>，具体如下：</w:t>
      </w:r>
    </w:p>
    <w:p w14:paraId="50DB5204">
      <w:pPr>
        <w:autoSpaceDE w:val="0"/>
        <w:autoSpaceDN w:val="0"/>
        <w:adjustRightInd w:val="0"/>
        <w:ind w:firstLine="562" w:firstLineChars="200"/>
        <w:jc w:val="left"/>
        <w:rPr>
          <w:rFonts w:ascii="仿宋_GB2312" w:eastAsia="仿宋_GB2312"/>
          <w:sz w:val="28"/>
          <w:szCs w:val="28"/>
        </w:rPr>
      </w:pPr>
      <w:r>
        <w:rPr>
          <w:rFonts w:hint="eastAsia" w:ascii="仿宋_GB2312" w:eastAsia="仿宋_GB2312"/>
          <w:b/>
          <w:bCs/>
          <w:sz w:val="28"/>
          <w:szCs w:val="28"/>
        </w:rPr>
        <w:t>价格评审依据</w:t>
      </w:r>
      <w:r>
        <w:rPr>
          <w:rFonts w:hint="eastAsia" w:ascii="仿宋_GB2312" w:eastAsia="仿宋_GB2312"/>
          <w:sz w:val="28"/>
          <w:szCs w:val="28"/>
        </w:rPr>
        <w:t>：承诺开具增值税专用发票的供应商，价格评审以其响应报价的“价款”作为评审依据；不能开具增值税专用发票的供应商，价格评审以其响应报价的“价税合计”作为评审依据。</w:t>
      </w:r>
    </w:p>
    <w:p w14:paraId="3A95BC00">
      <w:pPr>
        <w:tabs>
          <w:tab w:val="left" w:pos="1276"/>
        </w:tabs>
        <w:ind w:firstLine="560" w:firstLineChars="200"/>
        <w:rPr>
          <w:rFonts w:hint="eastAsia" w:ascii="仿宋_GB2312" w:eastAsia="仿宋_GB2312"/>
          <w:b w:val="0"/>
          <w:bCs/>
          <w:sz w:val="28"/>
          <w:szCs w:val="28"/>
        </w:rPr>
      </w:pPr>
      <w:r>
        <w:rPr>
          <w:rFonts w:hint="eastAsia" w:ascii="仿宋_GB2312" w:eastAsia="仿宋_GB2312"/>
          <w:b w:val="0"/>
          <w:bCs/>
          <w:sz w:val="28"/>
          <w:szCs w:val="28"/>
        </w:rPr>
        <w:t>异常价格判定及处理方式：以经修正后的所有有效评审价作为各供应商的评审价，所有有效供应商评审价的算术平均值作为平均价，以平均价的75%作为异常价格判定下限、150%作为异常价格判定上限，高于（不含）上限的为异常高价，低于（不含）下限的为异常低价。</w:t>
      </w:r>
    </w:p>
    <w:p w14:paraId="4D2CEB67">
      <w:pPr>
        <w:tabs>
          <w:tab w:val="left" w:pos="1276"/>
        </w:tabs>
        <w:ind w:firstLine="560" w:firstLineChars="200"/>
        <w:rPr>
          <w:rFonts w:hint="eastAsia" w:ascii="仿宋_GB2312" w:eastAsia="仿宋_GB2312"/>
          <w:b w:val="0"/>
          <w:bCs/>
          <w:sz w:val="28"/>
          <w:szCs w:val="28"/>
        </w:rPr>
      </w:pPr>
      <w:r>
        <w:rPr>
          <w:rFonts w:hint="eastAsia" w:ascii="仿宋_GB2312" w:eastAsia="仿宋_GB2312"/>
          <w:b w:val="0"/>
          <w:bCs/>
          <w:sz w:val="28"/>
          <w:szCs w:val="28"/>
        </w:rPr>
        <w:t>异常价格不参与基准价计算，计算基准价过程中所剔除的异常价格仍参与评分。</w:t>
      </w:r>
    </w:p>
    <w:p w14:paraId="1DE52789">
      <w:pPr>
        <w:tabs>
          <w:tab w:val="left" w:pos="1276"/>
        </w:tabs>
        <w:ind w:firstLine="560" w:firstLineChars="200"/>
        <w:rPr>
          <w:rFonts w:hint="eastAsia" w:ascii="仿宋_GB2312" w:eastAsia="仿宋_GB2312"/>
          <w:b w:val="0"/>
          <w:bCs/>
          <w:sz w:val="28"/>
          <w:szCs w:val="28"/>
        </w:rPr>
      </w:pPr>
      <w:r>
        <w:rPr>
          <w:rFonts w:hint="eastAsia" w:ascii="仿宋_GB2312" w:eastAsia="仿宋_GB2312"/>
          <w:b w:val="0"/>
          <w:bCs/>
          <w:sz w:val="28"/>
          <w:szCs w:val="28"/>
        </w:rPr>
        <w:t>基准价格系数调整法计算公式：</w:t>
      </w:r>
    </w:p>
    <w:p w14:paraId="1EADA504">
      <w:pPr>
        <w:tabs>
          <w:tab w:val="left" w:pos="1276"/>
        </w:tabs>
        <w:ind w:firstLine="560" w:firstLineChars="200"/>
        <w:rPr>
          <w:rFonts w:hint="eastAsia" w:ascii="仿宋_GB2312" w:eastAsia="仿宋_GB2312"/>
          <w:b w:val="0"/>
          <w:bCs/>
          <w:sz w:val="28"/>
          <w:szCs w:val="28"/>
        </w:rPr>
      </w:pPr>
      <w:r>
        <w:rPr>
          <w:rFonts w:hint="eastAsia" w:ascii="仿宋_GB2312" w:eastAsia="仿宋_GB2312"/>
          <w:b w:val="0"/>
          <w:bCs/>
          <w:sz w:val="28"/>
          <w:szCs w:val="28"/>
        </w:rPr>
        <w:t>基准价的确定：以去掉异常价格后的所有有效评审价作为各供应商的评审价，当有效评审价数量在6个（含）以上时，去掉1个最高评审价和1个最低评审价，取剩余有效评审价的平均值作为基准价；当有效评审价数量不足6个时，以去掉异常价格后的所有有效评审价的平均值作为基准价。</w:t>
      </w:r>
    </w:p>
    <w:p w14:paraId="7DF0E7B1">
      <w:pPr>
        <w:tabs>
          <w:tab w:val="left" w:pos="1276"/>
        </w:tabs>
        <w:ind w:firstLine="560" w:firstLineChars="200"/>
        <w:rPr>
          <w:rFonts w:ascii="仿宋_GB2312" w:eastAsia="仿宋_GB2312"/>
          <w:sz w:val="28"/>
          <w:szCs w:val="28"/>
          <w:highlight w:val="none"/>
        </w:rPr>
      </w:pPr>
      <w:r>
        <w:rPr>
          <w:rFonts w:hint="eastAsia" w:ascii="仿宋_GB2312" w:eastAsia="仿宋_GB2312"/>
          <w:b w:val="0"/>
          <w:bCs/>
          <w:sz w:val="28"/>
          <w:szCs w:val="28"/>
        </w:rPr>
        <w:t>价格得分计算公式：价格分权重×0.8-（该评审价-基准价）/基准价×100×0.4，价格得分保留小数点后两位，最低为0分，最高为价格分权重。</w:t>
      </w:r>
    </w:p>
    <w:p w14:paraId="4E280400">
      <w:pPr>
        <w:tabs>
          <w:tab w:val="left" w:pos="1276"/>
        </w:tabs>
        <w:ind w:left="567"/>
        <w:rPr>
          <w:rFonts w:ascii="仿宋_GB2312" w:eastAsia="仿宋_GB2312"/>
          <w:b/>
          <w:sz w:val="28"/>
          <w:szCs w:val="28"/>
          <w:highlight w:val="none"/>
        </w:rPr>
      </w:pPr>
      <w:r>
        <w:rPr>
          <w:rFonts w:hint="eastAsia" w:ascii="仿宋_GB2312" w:eastAsia="仿宋_GB2312"/>
          <w:b/>
          <w:sz w:val="28"/>
          <w:szCs w:val="28"/>
          <w:highlight w:val="none"/>
        </w:rPr>
        <w:t>5.最高响应限价：</w:t>
      </w:r>
    </w:p>
    <w:p w14:paraId="473CCD38">
      <w:pPr>
        <w:autoSpaceDE w:val="0"/>
        <w:autoSpaceDN w:val="0"/>
        <w:adjustRightInd w:val="0"/>
        <w:ind w:firstLine="560" w:firstLineChars="200"/>
        <w:jc w:val="left"/>
        <w:rPr>
          <w:rFonts w:hint="eastAsia" w:ascii="仿宋_GB2312" w:eastAsia="仿宋_GB2312"/>
          <w:sz w:val="28"/>
          <w:szCs w:val="28"/>
          <w:highlight w:val="none"/>
        </w:rPr>
      </w:pPr>
      <w:bookmarkStart w:id="3" w:name="_Hlk178190467"/>
      <w:r>
        <w:rPr>
          <w:rFonts w:hint="eastAsia" w:ascii="仿宋_GB2312" w:eastAsia="仿宋_GB2312"/>
          <w:sz w:val="28"/>
          <w:szCs w:val="28"/>
          <w:highlight w:val="none"/>
        </w:rPr>
        <w:t>本项目设置最高响应限价，价款总价不得超过</w:t>
      </w:r>
      <w:r>
        <w:rPr>
          <w:rFonts w:hint="eastAsia" w:ascii="仿宋_GB2312" w:eastAsia="仿宋_GB2312"/>
          <w:sz w:val="28"/>
          <w:szCs w:val="28"/>
          <w:highlight w:val="none"/>
          <w:lang w:val="en-US" w:eastAsia="zh-CN"/>
        </w:rPr>
        <w:t>351.00万</w:t>
      </w:r>
      <w:r>
        <w:rPr>
          <w:rFonts w:hint="eastAsia" w:ascii="仿宋_GB2312" w:eastAsia="仿宋_GB2312"/>
          <w:sz w:val="28"/>
          <w:szCs w:val="28"/>
          <w:highlight w:val="none"/>
        </w:rPr>
        <w:t>元</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供应商报价高于最高响应限价的，其响应将被否决。</w:t>
      </w:r>
    </w:p>
    <w:bookmarkEnd w:id="3"/>
    <w:p w14:paraId="37EF2EA4">
      <w:pPr>
        <w:pStyle w:val="13"/>
        <w:spacing w:after="0"/>
        <w:ind w:left="0" w:leftChars="0" w:firstLine="562" w:firstLineChars="200"/>
        <w:rPr>
          <w:rFonts w:ascii="仿宋_GB2312" w:eastAsia="仿宋_GB2312"/>
          <w:b/>
          <w:bCs/>
          <w:sz w:val="28"/>
          <w:szCs w:val="28"/>
          <w:highlight w:val="none"/>
          <w:lang w:eastAsia="zh-CN"/>
        </w:rPr>
      </w:pPr>
      <w:r>
        <w:rPr>
          <w:rFonts w:hint="eastAsia" w:ascii="仿宋_GB2312" w:eastAsia="仿宋_GB2312"/>
          <w:b/>
          <w:bCs/>
          <w:sz w:val="28"/>
          <w:szCs w:val="28"/>
          <w:highlight w:val="none"/>
          <w:lang w:eastAsia="zh-CN"/>
        </w:rPr>
        <w:t>（三）成交原则：</w:t>
      </w:r>
    </w:p>
    <w:p w14:paraId="35D63207">
      <w:pPr>
        <w:autoSpaceDE w:val="0"/>
        <w:autoSpaceDN w:val="0"/>
        <w:adjustRightInd w:val="0"/>
        <w:ind w:firstLine="560" w:firstLineChars="200"/>
        <w:jc w:val="left"/>
        <w:rPr>
          <w:rFonts w:ascii="仿宋_GB2312" w:eastAsia="仿宋_GB2312"/>
          <w:sz w:val="28"/>
          <w:szCs w:val="28"/>
          <w:highlight w:val="none"/>
        </w:rPr>
      </w:pPr>
      <w:bookmarkStart w:id="4" w:name="_Hlk125042578"/>
      <w:r>
        <w:rPr>
          <w:rFonts w:hint="eastAsia" w:ascii="仿宋_GB2312" w:eastAsia="仿宋_GB2312"/>
          <w:sz w:val="28"/>
          <w:szCs w:val="28"/>
          <w:highlight w:val="none"/>
        </w:rPr>
        <w:t>1</w:t>
      </w:r>
      <w:r>
        <w:rPr>
          <w:rFonts w:hint="eastAsia" w:ascii="仿宋_GB2312" w:eastAsia="仿宋_GB2312"/>
          <w:sz w:val="28"/>
          <w:szCs w:val="28"/>
          <w:highlight w:val="none"/>
          <w:lang w:eastAsia="zh-CN"/>
        </w:rPr>
        <w:t>.</w:t>
      </w:r>
      <w:r>
        <w:rPr>
          <w:rFonts w:hint="eastAsia" w:ascii="仿宋_GB2312" w:hAnsi="宋体" w:eastAsia="仿宋_GB2312"/>
          <w:sz w:val="28"/>
          <w:szCs w:val="28"/>
        </w:rPr>
        <w:t>评审委员会依据综合评分结果进行排序，综合得分相同的，价格得分高者排名优先；价格得分相同的，技术得分高者排名优先；技术得分相同的，服务得分高者排名优先；服务得分相同的，由评审委员会决定</w:t>
      </w:r>
      <w:r>
        <w:rPr>
          <w:rFonts w:hint="eastAsia" w:ascii="仿宋_GB2312" w:eastAsia="仿宋_GB2312"/>
          <w:sz w:val="28"/>
          <w:szCs w:val="28"/>
        </w:rPr>
        <w:t>推选</w:t>
      </w:r>
      <w:r>
        <w:rPr>
          <w:rFonts w:hint="eastAsia" w:ascii="仿宋_GB2312" w:hAnsi="宋体" w:eastAsia="仿宋_GB2312"/>
          <w:sz w:val="28"/>
          <w:szCs w:val="28"/>
        </w:rPr>
        <w:t>成交候选人</w:t>
      </w:r>
      <w:r>
        <w:rPr>
          <w:rFonts w:hint="eastAsia" w:ascii="仿宋_GB2312" w:eastAsia="仿宋_GB2312"/>
          <w:sz w:val="28"/>
          <w:szCs w:val="28"/>
          <w:highlight w:val="none"/>
        </w:rPr>
        <w:t>。</w:t>
      </w:r>
      <w:bookmarkEnd w:id="4"/>
    </w:p>
    <w:p w14:paraId="375EB2B7">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2</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评审委员会根据综合得分由高到低的排名顺序，推荐综合排名第1至第3名（如有效供应商不足3家，按有效供应商数量推荐成交候选人）。采购人根据评审委员会推荐的成交候选人名单确定排名第一的成交候选人为成交供应商。</w:t>
      </w:r>
    </w:p>
    <w:p w14:paraId="1C0532DC">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3</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在合同签订之前，排名第一的成交候选人放弃成交、因不可抗力提出不能履行合同、不按照询比文件要求在规定的时间内提交履约保证金、被查实存在影响成交结果的违法行为、按照中国电信供应商不良行为处理结果及《中国电信供应商不良行为管理规则》的结果执行规则对供应商及产品品类在本项目中执行禁止采购处理措施、未通过网络安全审查等不符合成交条件情形的，采购人按评审委员会提出的排名顺序依次确定其他成交候选人为成交供应商，或重新询比。</w:t>
      </w:r>
    </w:p>
    <w:p w14:paraId="07773BA1">
      <w:pPr>
        <w:pStyle w:val="13"/>
        <w:spacing w:after="0"/>
        <w:ind w:left="0" w:leftChars="0" w:firstLine="562" w:firstLineChars="200"/>
        <w:rPr>
          <w:rFonts w:hint="eastAsia" w:ascii="仿宋_GB2312" w:eastAsia="仿宋_GB2312"/>
          <w:b/>
          <w:bCs/>
          <w:sz w:val="28"/>
          <w:szCs w:val="28"/>
          <w:highlight w:val="none"/>
          <w:lang w:eastAsia="zh-CN"/>
        </w:rPr>
      </w:pPr>
      <w:r>
        <w:rPr>
          <w:rFonts w:hint="eastAsia" w:ascii="仿宋_GB2312" w:eastAsia="仿宋_GB2312"/>
          <w:b/>
          <w:bCs/>
          <w:sz w:val="28"/>
          <w:szCs w:val="28"/>
          <w:highlight w:val="none"/>
          <w:lang w:eastAsia="zh-CN"/>
        </w:rPr>
        <w:t>（四）评审委员会组成：</w:t>
      </w:r>
    </w:p>
    <w:p w14:paraId="75B0CB5F">
      <w:pPr>
        <w:pStyle w:val="13"/>
        <w:ind w:left="0" w:leftChars="0" w:firstLine="560" w:firstLineChars="200"/>
        <w:rPr>
          <w:rFonts w:hint="eastAsia" w:ascii="仿宋_GB2312" w:hAnsi="Times New Roman" w:eastAsia="仿宋_GB2312" w:cs="Times New Roman"/>
          <w:kern w:val="2"/>
          <w:sz w:val="28"/>
          <w:szCs w:val="28"/>
          <w:highlight w:val="none"/>
          <w:lang w:val="en-US" w:eastAsia="zh-CN" w:bidi="ar-SA"/>
        </w:rPr>
      </w:pPr>
      <w:r>
        <w:rPr>
          <w:rFonts w:hint="eastAsia" w:ascii="仿宋_GB2312" w:hAnsi="Times New Roman" w:eastAsia="仿宋_GB2312" w:cs="Times New Roman"/>
          <w:kern w:val="2"/>
          <w:sz w:val="28"/>
          <w:szCs w:val="28"/>
          <w:highlight w:val="none"/>
          <w:lang w:val="en-US" w:eastAsia="zh-CN" w:bidi="ar-SA"/>
        </w:rPr>
        <w:t>1</w:t>
      </w:r>
      <w:r>
        <w:rPr>
          <w:rFonts w:hint="eastAsia" w:ascii="仿宋_GB2312" w:eastAsia="仿宋_GB2312" w:cs="Times New Roman"/>
          <w:kern w:val="2"/>
          <w:sz w:val="28"/>
          <w:szCs w:val="28"/>
          <w:highlight w:val="none"/>
          <w:lang w:val="en-US" w:eastAsia="zh-CN" w:bidi="ar-SA"/>
        </w:rPr>
        <w:t>.</w:t>
      </w:r>
      <w:r>
        <w:rPr>
          <w:rFonts w:hint="eastAsia" w:ascii="仿宋_GB2312" w:hAnsi="Times New Roman" w:eastAsia="仿宋_GB2312" w:cs="Times New Roman"/>
          <w:kern w:val="2"/>
          <w:sz w:val="28"/>
          <w:szCs w:val="28"/>
          <w:highlight w:val="none"/>
          <w:lang w:val="en-US" w:eastAsia="zh-CN" w:bidi="ar-SA"/>
        </w:rPr>
        <w:t>评审委员会由5人组成，其中1人作为采购人代表由需求部门拟派，其他成员从中国电信集团评标专家库中随机抽取。按照特殊情况处理由公开询比转为直接采购情形时，由原评审委员会作为谈判小组。</w:t>
      </w:r>
    </w:p>
    <w:p w14:paraId="7844148B">
      <w:pPr>
        <w:pStyle w:val="13"/>
        <w:spacing w:after="0"/>
        <w:ind w:left="0" w:leftChars="0" w:firstLine="560" w:firstLineChars="200"/>
        <w:rPr>
          <w:rFonts w:hint="eastAsia" w:ascii="仿宋_GB2312" w:hAnsi="Times New Roman" w:eastAsia="仿宋_GB2312" w:cs="Times New Roman"/>
          <w:kern w:val="2"/>
          <w:sz w:val="28"/>
          <w:szCs w:val="28"/>
          <w:highlight w:val="none"/>
          <w:lang w:val="en-US" w:eastAsia="zh-CN" w:bidi="ar-SA"/>
        </w:rPr>
      </w:pPr>
      <w:r>
        <w:rPr>
          <w:rFonts w:hint="eastAsia" w:ascii="仿宋_GB2312" w:hAnsi="Times New Roman" w:eastAsia="仿宋_GB2312" w:cs="Times New Roman"/>
          <w:kern w:val="2"/>
          <w:sz w:val="28"/>
          <w:szCs w:val="28"/>
          <w:highlight w:val="none"/>
          <w:lang w:val="en-US" w:eastAsia="zh-CN" w:bidi="ar-SA"/>
        </w:rPr>
        <w:t>2</w:t>
      </w:r>
      <w:r>
        <w:rPr>
          <w:rFonts w:hint="eastAsia" w:ascii="仿宋_GB2312" w:eastAsia="仿宋_GB2312" w:cs="Times New Roman"/>
          <w:kern w:val="2"/>
          <w:sz w:val="28"/>
          <w:szCs w:val="28"/>
          <w:highlight w:val="none"/>
          <w:lang w:val="en-US" w:eastAsia="zh-CN" w:bidi="ar-SA"/>
        </w:rPr>
        <w:t>.</w:t>
      </w:r>
      <w:r>
        <w:rPr>
          <w:rFonts w:hint="eastAsia" w:ascii="仿宋_GB2312" w:hAnsi="Times New Roman" w:eastAsia="仿宋_GB2312" w:cs="Times New Roman"/>
          <w:kern w:val="2"/>
          <w:sz w:val="28"/>
          <w:szCs w:val="28"/>
          <w:highlight w:val="none"/>
          <w:lang w:val="en-US" w:eastAsia="zh-CN" w:bidi="ar-SA"/>
        </w:rPr>
        <w:t>重新询比领取询比文件的供应商仅有1 家时，按照特殊情况处理由询比转为直接采购，谈判小组由3人组成，其中1人作为采购人代表需求部门，其他成员从中国电信集团评标专家库中随机抽取。</w:t>
      </w:r>
    </w:p>
    <w:p w14:paraId="7A8AC6EC">
      <w:pPr>
        <w:pStyle w:val="13"/>
        <w:spacing w:after="0"/>
        <w:ind w:left="0" w:leftChars="0" w:firstLine="562" w:firstLineChars="200"/>
        <w:rPr>
          <w:rFonts w:ascii="仿宋_GB2312" w:eastAsia="仿宋_GB2312"/>
          <w:b/>
          <w:bCs/>
          <w:sz w:val="28"/>
          <w:szCs w:val="28"/>
          <w:highlight w:val="none"/>
          <w:lang w:eastAsia="zh-CN"/>
        </w:rPr>
      </w:pPr>
      <w:r>
        <w:rPr>
          <w:rFonts w:hint="eastAsia" w:ascii="仿宋_GB2312" w:eastAsia="仿宋_GB2312"/>
          <w:b/>
          <w:bCs/>
          <w:sz w:val="28"/>
          <w:szCs w:val="28"/>
          <w:highlight w:val="none"/>
          <w:lang w:eastAsia="zh-CN"/>
        </w:rPr>
        <w:t>（五）特殊情况处理：</w:t>
      </w:r>
    </w:p>
    <w:p w14:paraId="0B839D96">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提交响应文件的供应商不足三家的处理原则：重新询比。重新询比时提交响应文件的供应商仍不足3家的，2家继续组织询比、1家转为直接采购，无供应商提交响应文件时重新询比。</w:t>
      </w:r>
    </w:p>
    <w:p w14:paraId="517F243F">
      <w:pPr>
        <w:autoSpaceDE w:val="0"/>
        <w:autoSpaceDN w:val="0"/>
        <w:adjustRightInd w:val="0"/>
        <w:ind w:firstLine="560" w:firstLineChars="200"/>
        <w:jc w:val="left"/>
        <w:rPr>
          <w:rFonts w:ascii="仿宋_GB2312" w:eastAsia="仿宋_GB2312"/>
          <w:sz w:val="28"/>
          <w:szCs w:val="28"/>
          <w:highlight w:val="none"/>
        </w:rPr>
      </w:pPr>
      <w:r>
        <w:rPr>
          <w:rFonts w:hint="eastAsia" w:ascii="仿宋_GB2312" w:eastAsia="仿宋_GB2312"/>
          <w:sz w:val="28"/>
          <w:szCs w:val="28"/>
          <w:highlight w:val="none"/>
        </w:rPr>
        <w:t>2</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响应文件开启后，部分供应商撤销响应文件或者被否决响应后，有效响应供应商不足三家的，经评审委员会认定具备竞争性，2家可以继续评审、1家可以转为直接采购；评审委员会认定不具备竞争性的，应否决全部响应。</w:t>
      </w:r>
    </w:p>
    <w:p w14:paraId="25039513">
      <w:pPr>
        <w:ind w:firstLine="645"/>
        <w:rPr>
          <w:rFonts w:ascii="仿宋_GB2312" w:eastAsia="仿宋_GB2312"/>
          <w:b/>
          <w:bCs/>
          <w:sz w:val="32"/>
          <w:szCs w:val="32"/>
          <w:highlight w:val="none"/>
        </w:rPr>
      </w:pPr>
      <w:r>
        <w:rPr>
          <w:rFonts w:hint="eastAsia" w:ascii="仿宋_GB2312" w:eastAsia="仿宋_GB2312"/>
          <w:b/>
          <w:bCs/>
          <w:sz w:val="32"/>
          <w:szCs w:val="32"/>
          <w:highlight w:val="none"/>
        </w:rPr>
        <w:t>四、签约及付款安排</w:t>
      </w:r>
    </w:p>
    <w:p w14:paraId="157AD11F">
      <w:pPr>
        <w:pStyle w:val="13"/>
        <w:spacing w:after="0"/>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（一）采购合同的签约主体、付款主体均为</w:t>
      </w:r>
      <w:r>
        <w:rPr>
          <w:rFonts w:hint="eastAsia" w:ascii="仿宋_GB2312" w:hAnsi="宋体" w:eastAsia="仿宋_GB2312"/>
          <w:sz w:val="28"/>
          <w:szCs w:val="28"/>
          <w:highlight w:val="none"/>
        </w:rPr>
        <w:t>中电信智能网络科技有限公司</w:t>
      </w:r>
      <w:r>
        <w:rPr>
          <w:rFonts w:hint="eastAsia" w:ascii="仿宋_GB2312" w:hAnsi="仿宋_GB2312" w:eastAsia="仿宋_GB2312" w:cs="仿宋_GB2312"/>
          <w:kern w:val="0"/>
          <w:sz w:val="28"/>
          <w:szCs w:val="28"/>
          <w:highlight w:val="none"/>
          <w:lang w:val="zh-CN" w:eastAsia="zh-CN"/>
        </w:rPr>
        <w:t>。</w:t>
      </w:r>
    </w:p>
    <w:p w14:paraId="31B0F9A7">
      <w:pPr>
        <w:pStyle w:val="13"/>
        <w:spacing w:after="0"/>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（二）付款进度比例为：</w:t>
      </w:r>
    </w:p>
    <w:p w14:paraId="0F9BD564">
      <w:pPr>
        <w:pStyle w:val="13"/>
        <w:spacing w:after="0"/>
        <w:ind w:left="0" w:leftChars="0"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en-US" w:eastAsia="zh-CN"/>
        </w:rPr>
        <w:t>1.</w:t>
      </w:r>
      <w:r>
        <w:rPr>
          <w:rFonts w:hint="eastAsia" w:ascii="仿宋_GB2312" w:hAnsi="仿宋_GB2312" w:eastAsia="仿宋_GB2312" w:cs="仿宋_GB2312"/>
          <w:kern w:val="0"/>
          <w:sz w:val="28"/>
          <w:szCs w:val="28"/>
          <w:highlight w:val="none"/>
          <w:lang w:val="zh-CN" w:eastAsia="zh-CN"/>
        </w:rPr>
        <w:t>初验付款:甲方向乙方支付合同总金额×</w:t>
      </w:r>
      <w:r>
        <w:rPr>
          <w:rFonts w:hint="eastAsia" w:ascii="仿宋_GB2312" w:hAnsi="仿宋_GB2312" w:eastAsia="仿宋_GB2312" w:cs="仿宋_GB2312"/>
          <w:kern w:val="0"/>
          <w:sz w:val="28"/>
          <w:szCs w:val="28"/>
          <w:highlight w:val="none"/>
          <w:lang w:val="en-US" w:eastAsia="zh-CN"/>
        </w:rPr>
        <w:t>8</w:t>
      </w:r>
      <w:r>
        <w:rPr>
          <w:rFonts w:hint="eastAsia" w:ascii="仿宋_GB2312" w:hAnsi="仿宋_GB2312" w:eastAsia="仿宋_GB2312" w:cs="仿宋_GB2312"/>
          <w:kern w:val="0"/>
          <w:sz w:val="28"/>
          <w:szCs w:val="28"/>
          <w:highlight w:val="none"/>
          <w:lang w:val="zh-CN" w:eastAsia="zh-CN"/>
        </w:rPr>
        <w:t>0%×考核系数。</w:t>
      </w:r>
    </w:p>
    <w:p w14:paraId="1F84C4F0">
      <w:pPr>
        <w:pStyle w:val="13"/>
        <w:spacing w:after="0"/>
        <w:ind w:left="0" w:leftChars="0"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en-US" w:eastAsia="zh-CN"/>
        </w:rPr>
        <w:t>2.</w:t>
      </w:r>
      <w:r>
        <w:rPr>
          <w:rFonts w:hint="eastAsia" w:ascii="仿宋_GB2312" w:hAnsi="仿宋_GB2312" w:eastAsia="仿宋_GB2312" w:cs="仿宋_GB2312"/>
          <w:kern w:val="0"/>
          <w:sz w:val="28"/>
          <w:szCs w:val="28"/>
          <w:highlight w:val="none"/>
          <w:lang w:val="zh-CN" w:eastAsia="zh-CN"/>
        </w:rPr>
        <w:t>终验付款:甲方向乙方支付合同总金额×</w:t>
      </w:r>
      <w:r>
        <w:rPr>
          <w:rFonts w:hint="eastAsia" w:ascii="仿宋_GB2312" w:hAnsi="仿宋_GB2312" w:eastAsia="仿宋_GB2312" w:cs="仿宋_GB2312"/>
          <w:kern w:val="0"/>
          <w:sz w:val="28"/>
          <w:szCs w:val="28"/>
          <w:highlight w:val="none"/>
          <w:lang w:val="en-US" w:eastAsia="zh-CN"/>
        </w:rPr>
        <w:t>15</w:t>
      </w:r>
      <w:r>
        <w:rPr>
          <w:rFonts w:hint="eastAsia" w:ascii="仿宋_GB2312" w:hAnsi="仿宋_GB2312" w:eastAsia="仿宋_GB2312" w:cs="仿宋_GB2312"/>
          <w:kern w:val="0"/>
          <w:sz w:val="28"/>
          <w:szCs w:val="28"/>
          <w:highlight w:val="none"/>
          <w:lang w:val="zh-CN" w:eastAsia="zh-CN"/>
        </w:rPr>
        <w:t>%×考核系数。</w:t>
      </w:r>
    </w:p>
    <w:p w14:paraId="0084D716">
      <w:pPr>
        <w:pStyle w:val="13"/>
        <w:spacing w:after="0"/>
        <w:ind w:left="0" w:leftChars="0"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en-US" w:eastAsia="zh-CN"/>
        </w:rPr>
        <w:t>3.保修</w:t>
      </w:r>
      <w:r>
        <w:rPr>
          <w:rFonts w:hint="eastAsia" w:ascii="仿宋_GB2312" w:hAnsi="仿宋_GB2312" w:eastAsia="仿宋_GB2312" w:cs="仿宋_GB2312"/>
          <w:kern w:val="0"/>
          <w:sz w:val="28"/>
          <w:szCs w:val="28"/>
          <w:highlight w:val="none"/>
          <w:lang w:val="zh-CN" w:eastAsia="zh-CN"/>
        </w:rPr>
        <w:t>款:</w:t>
      </w:r>
      <w:r>
        <w:rPr>
          <w:rFonts w:hint="eastAsia" w:ascii="仿宋_GB2312" w:hAnsi="仿宋_GB2312" w:eastAsia="仿宋_GB2312" w:cs="仿宋_GB2312"/>
          <w:kern w:val="0"/>
          <w:sz w:val="28"/>
          <w:szCs w:val="28"/>
          <w:highlight w:val="none"/>
          <w:lang w:val="en-US" w:eastAsia="zh-CN"/>
        </w:rPr>
        <w:t>保修期满后</w:t>
      </w:r>
      <w:r>
        <w:rPr>
          <w:rFonts w:hint="eastAsia" w:ascii="仿宋_GB2312" w:hAnsi="仿宋_GB2312" w:eastAsia="仿宋_GB2312" w:cs="仿宋_GB2312"/>
          <w:kern w:val="0"/>
          <w:sz w:val="28"/>
          <w:szCs w:val="28"/>
          <w:highlight w:val="none"/>
          <w:lang w:val="zh-CN" w:eastAsia="zh-CN"/>
        </w:rPr>
        <w:t>甲方向乙方支付合同总金额×</w:t>
      </w:r>
      <w:r>
        <w:rPr>
          <w:rFonts w:hint="eastAsia" w:ascii="仿宋_GB2312" w:hAnsi="仿宋_GB2312" w:eastAsia="仿宋_GB2312" w:cs="仿宋_GB2312"/>
          <w:kern w:val="0"/>
          <w:sz w:val="28"/>
          <w:szCs w:val="28"/>
          <w:highlight w:val="none"/>
          <w:lang w:val="en-US" w:eastAsia="zh-CN"/>
        </w:rPr>
        <w:t>5</w:t>
      </w:r>
      <w:r>
        <w:rPr>
          <w:rFonts w:hint="eastAsia" w:ascii="仿宋_GB2312" w:hAnsi="仿宋_GB2312" w:eastAsia="仿宋_GB2312" w:cs="仿宋_GB2312"/>
          <w:kern w:val="0"/>
          <w:sz w:val="28"/>
          <w:szCs w:val="28"/>
          <w:highlight w:val="none"/>
          <w:lang w:val="zh-CN" w:eastAsia="zh-CN"/>
        </w:rPr>
        <w:t>%×考核系数。</w:t>
      </w:r>
    </w:p>
    <w:p w14:paraId="5BA59B1F">
      <w:pPr>
        <w:pStyle w:val="13"/>
        <w:spacing w:after="0"/>
        <w:ind w:left="0" w:leftChars="0"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 xml:space="preserve">（三）签署方式：采用省一方式以成交金额签订合同。 </w:t>
      </w:r>
    </w:p>
    <w:p w14:paraId="2D1839A7">
      <w:pPr>
        <w:pStyle w:val="13"/>
        <w:spacing w:after="0"/>
        <w:ind w:left="0" w:leftChars="0"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（四）</w:t>
      </w:r>
      <w:r>
        <w:rPr>
          <w:rFonts w:hint="eastAsia" w:ascii="仿宋_GB2312" w:hAnsi="仿宋_GB2312" w:eastAsia="仿宋_GB2312" w:cs="仿宋_GB2312"/>
          <w:kern w:val="0"/>
          <w:sz w:val="28"/>
          <w:szCs w:val="28"/>
          <w:highlight w:val="none"/>
          <w:lang w:val="en-US" w:eastAsia="zh-CN"/>
        </w:rPr>
        <w:t>合同</w:t>
      </w:r>
      <w:r>
        <w:rPr>
          <w:rFonts w:hint="eastAsia" w:ascii="仿宋_GB2312" w:hAnsi="仿宋_GB2312" w:eastAsia="仿宋_GB2312" w:cs="仿宋_GB2312"/>
          <w:kern w:val="0"/>
          <w:sz w:val="28"/>
          <w:szCs w:val="28"/>
          <w:highlight w:val="none"/>
          <w:lang w:val="zh-CN" w:eastAsia="zh-CN"/>
        </w:rPr>
        <w:t>有效期：</w:t>
      </w:r>
      <w:r>
        <w:rPr>
          <w:rFonts w:hint="eastAsia" w:ascii="仿宋_GB2312" w:hAnsi="仿宋_GB2312" w:eastAsia="仿宋_GB2312" w:cs="仿宋_GB2312"/>
          <w:kern w:val="0"/>
          <w:sz w:val="28"/>
          <w:szCs w:val="28"/>
          <w:highlight w:val="none"/>
          <w:lang w:val="en-US" w:eastAsia="zh-CN"/>
        </w:rPr>
        <w:t>自</w:t>
      </w:r>
      <w:r>
        <w:rPr>
          <w:rFonts w:hint="eastAsia" w:ascii="仿宋_GB2312" w:hAnsi="仿宋_GB2312" w:eastAsia="仿宋_GB2312" w:cs="仿宋_GB2312"/>
          <w:kern w:val="0"/>
          <w:sz w:val="28"/>
          <w:szCs w:val="28"/>
          <w:highlight w:val="none"/>
          <w:lang w:val="zh-CN" w:eastAsia="zh-CN"/>
        </w:rPr>
        <w:t>合同签订之日起</w:t>
      </w:r>
      <w:r>
        <w:rPr>
          <w:rFonts w:hint="eastAsia" w:ascii="仿宋_GB2312" w:hAnsi="仿宋_GB2312" w:eastAsia="仿宋_GB2312" w:cs="仿宋_GB2312"/>
          <w:kern w:val="0"/>
          <w:sz w:val="28"/>
          <w:szCs w:val="28"/>
          <w:highlight w:val="none"/>
          <w:lang w:val="en-US" w:eastAsia="zh-CN"/>
        </w:rPr>
        <w:t>12</w:t>
      </w:r>
      <w:r>
        <w:rPr>
          <w:rFonts w:hint="eastAsia" w:ascii="仿宋_GB2312" w:hAnsi="仿宋_GB2312" w:eastAsia="仿宋_GB2312" w:cs="仿宋_GB2312"/>
          <w:kern w:val="0"/>
          <w:sz w:val="28"/>
          <w:szCs w:val="28"/>
          <w:highlight w:val="none"/>
          <w:lang w:val="zh-CN" w:eastAsia="zh-CN"/>
        </w:rPr>
        <w:t>个月。</w:t>
      </w:r>
    </w:p>
    <w:p w14:paraId="7FB8E97F">
      <w:pPr>
        <w:ind w:firstLine="645"/>
        <w:rPr>
          <w:rFonts w:ascii="仿宋_GB2312" w:eastAsia="仿宋_GB2312"/>
          <w:b/>
          <w:bCs/>
          <w:sz w:val="32"/>
          <w:szCs w:val="32"/>
          <w:highlight w:val="none"/>
        </w:rPr>
      </w:pPr>
      <w:r>
        <w:rPr>
          <w:rFonts w:hint="eastAsia" w:ascii="仿宋_GB2312" w:eastAsia="仿宋_GB2312"/>
          <w:b/>
          <w:bCs/>
          <w:sz w:val="32"/>
          <w:szCs w:val="32"/>
          <w:highlight w:val="none"/>
        </w:rPr>
        <w:t>五、后续工作安排</w:t>
      </w:r>
    </w:p>
    <w:p w14:paraId="73E2986E">
      <w:pPr>
        <w:pStyle w:val="13"/>
        <w:spacing w:after="0"/>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（一）采购代理</w:t>
      </w:r>
    </w:p>
    <w:p w14:paraId="56FEB85C">
      <w:pPr>
        <w:ind w:firstLine="560" w:firstLineChars="200"/>
        <w:rPr>
          <w:rFonts w:hint="eastAsia" w:ascii="仿宋_GB2312" w:hAnsi="仿宋_GB2312" w:eastAsia="仿宋_GB2312" w:cs="仿宋_GB2312"/>
          <w:kern w:val="0"/>
          <w:sz w:val="28"/>
          <w:szCs w:val="28"/>
          <w:highlight w:val="none"/>
          <w:lang w:val="zh-CN" w:eastAsia="zh-CN"/>
        </w:rPr>
      </w:pPr>
      <w:r>
        <w:rPr>
          <w:rFonts w:hint="eastAsia" w:ascii="仿宋_GB2312" w:eastAsia="仿宋_GB2312"/>
          <w:sz w:val="28"/>
          <w:szCs w:val="28"/>
          <w:highlight w:val="none"/>
        </w:rPr>
        <w:t>本项目委托公诚管理咨询有限公司承担采购代理工作，采购代理服务费按照中国电信股份有限公司广东研究院与公诚管理咨询有限公司招标代理委托合同执行</w:t>
      </w:r>
      <w:r>
        <w:rPr>
          <w:rFonts w:hint="eastAsia" w:ascii="仿宋_GB2312" w:hAnsi="仿宋_GB2312" w:eastAsia="仿宋_GB2312" w:cs="仿宋_GB2312"/>
          <w:kern w:val="0"/>
          <w:sz w:val="28"/>
          <w:szCs w:val="28"/>
          <w:highlight w:val="none"/>
          <w:lang w:val="zh-CN" w:eastAsia="zh-CN"/>
        </w:rPr>
        <w:t>。</w:t>
      </w:r>
    </w:p>
    <w:p w14:paraId="04F379C4">
      <w:pPr>
        <w:pStyle w:val="13"/>
        <w:spacing w:after="0"/>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（二）时间进度</w:t>
      </w:r>
    </w:p>
    <w:p w14:paraId="1E6D623D">
      <w:pPr>
        <w:pStyle w:val="33"/>
        <w:tabs>
          <w:tab w:val="left" w:pos="980"/>
        </w:tabs>
        <w:ind w:firstLine="700" w:firstLineChars="250"/>
        <w:rPr>
          <w:rFonts w:ascii="仿宋_GB2312" w:eastAsia="仿宋_GB2312"/>
          <w:sz w:val="28"/>
          <w:szCs w:val="28"/>
          <w:highlight w:val="none"/>
        </w:rPr>
      </w:pPr>
      <w:r>
        <w:rPr>
          <w:rFonts w:hint="eastAsia" w:ascii="仿宋_GB2312" w:eastAsia="仿宋_GB2312"/>
          <w:sz w:val="28"/>
          <w:szCs w:val="28"/>
          <w:highlight w:val="none"/>
        </w:rPr>
        <w:t>本项目拟于</w:t>
      </w:r>
      <w:r>
        <w:rPr>
          <w:rFonts w:hint="eastAsia" w:ascii="仿宋_GB2312" w:eastAsia="仿宋_GB2312"/>
          <w:sz w:val="28"/>
          <w:szCs w:val="28"/>
          <w:highlight w:val="none"/>
          <w:lang w:val="en-US" w:eastAsia="zh-CN"/>
        </w:rPr>
        <w:t>2025年05月中旬</w:t>
      </w:r>
      <w:r>
        <w:rPr>
          <w:rFonts w:hint="eastAsia" w:ascii="仿宋_GB2312" w:eastAsia="仿宋_GB2312"/>
          <w:sz w:val="28"/>
          <w:szCs w:val="28"/>
          <w:highlight w:val="none"/>
        </w:rPr>
        <w:t>发出</w:t>
      </w:r>
      <w:r>
        <w:rPr>
          <w:rFonts w:hint="eastAsia" w:ascii="仿宋_GB2312" w:eastAsia="仿宋_GB2312"/>
          <w:sz w:val="28"/>
          <w:szCs w:val="28"/>
          <w:highlight w:val="none"/>
          <w:lang w:eastAsia="zh-CN"/>
        </w:rPr>
        <w:t>询比文件</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2025年05</w:t>
      </w:r>
      <w:r>
        <w:rPr>
          <w:rFonts w:hint="eastAsia" w:ascii="仿宋_GB2312" w:eastAsia="仿宋_GB2312"/>
          <w:sz w:val="28"/>
          <w:szCs w:val="28"/>
          <w:highlight w:val="none"/>
        </w:rPr>
        <w:t>月</w:t>
      </w:r>
      <w:r>
        <w:rPr>
          <w:rFonts w:hint="eastAsia" w:ascii="仿宋_GB2312" w:eastAsia="仿宋_GB2312"/>
          <w:sz w:val="28"/>
          <w:szCs w:val="28"/>
          <w:highlight w:val="none"/>
          <w:lang w:val="en-US" w:eastAsia="zh-CN"/>
        </w:rPr>
        <w:t>下旬</w:t>
      </w:r>
      <w:r>
        <w:rPr>
          <w:rFonts w:hint="eastAsia" w:ascii="仿宋_GB2312" w:eastAsia="仿宋_GB2312"/>
          <w:sz w:val="28"/>
          <w:szCs w:val="28"/>
          <w:highlight w:val="none"/>
        </w:rPr>
        <w:t>组织完成</w:t>
      </w:r>
      <w:r>
        <w:rPr>
          <w:rFonts w:hint="eastAsia" w:ascii="仿宋_GB2312" w:eastAsia="仿宋_GB2312"/>
          <w:sz w:val="28"/>
          <w:szCs w:val="28"/>
          <w:highlight w:val="none"/>
          <w:lang w:eastAsia="zh-CN"/>
        </w:rPr>
        <w:t>询比</w:t>
      </w:r>
      <w:r>
        <w:rPr>
          <w:rFonts w:hint="eastAsia" w:ascii="仿宋_GB2312" w:eastAsia="仿宋_GB2312"/>
          <w:sz w:val="28"/>
          <w:szCs w:val="28"/>
          <w:highlight w:val="none"/>
        </w:rPr>
        <w:t>工作，</w:t>
      </w:r>
      <w:r>
        <w:rPr>
          <w:rFonts w:hint="eastAsia" w:ascii="仿宋_GB2312" w:eastAsia="仿宋_GB2312"/>
          <w:sz w:val="28"/>
          <w:szCs w:val="28"/>
          <w:highlight w:val="none"/>
          <w:lang w:val="en-US" w:eastAsia="zh-CN"/>
        </w:rPr>
        <w:t>成交通知书发出后30日内</w:t>
      </w:r>
      <w:r>
        <w:rPr>
          <w:rFonts w:hint="eastAsia" w:ascii="仿宋_GB2312" w:eastAsia="仿宋_GB2312"/>
          <w:sz w:val="28"/>
          <w:szCs w:val="28"/>
          <w:highlight w:val="none"/>
        </w:rPr>
        <w:t>完成合同签订。</w:t>
      </w:r>
      <w:r>
        <w:rPr>
          <w:rFonts w:hint="eastAsia" w:ascii="仿宋_GB2312" w:hAnsi="宋体" w:eastAsia="仿宋_GB2312"/>
          <w:sz w:val="28"/>
          <w:szCs w:val="28"/>
          <w:highlight w:val="none"/>
        </w:rPr>
        <w:t>如遇特殊情况，上述时间顺延。</w:t>
      </w:r>
    </w:p>
    <w:p w14:paraId="51A994AB">
      <w:pPr>
        <w:ind w:firstLine="560" w:firstLineChars="200"/>
        <w:rPr>
          <w:rFonts w:ascii="仿宋_GB2312" w:eastAsia="仿宋_GB2312"/>
          <w:sz w:val="28"/>
          <w:szCs w:val="28"/>
          <w:highlight w:val="none"/>
        </w:rPr>
      </w:pPr>
      <w:r>
        <w:rPr>
          <w:rFonts w:hint="eastAsia" w:ascii="仿宋_GB2312" w:eastAsia="仿宋_GB2312"/>
          <w:sz w:val="28"/>
          <w:szCs w:val="28"/>
          <w:highlight w:val="none"/>
        </w:rPr>
        <w:t>根据现行内控审批权限，上述事项应经中电信智能网络科技有限公司</w:t>
      </w:r>
      <w:r>
        <w:rPr>
          <w:rFonts w:hint="eastAsia" w:ascii="仿宋_GB2312" w:eastAsia="仿宋_GB2312"/>
          <w:color w:val="0000FF"/>
          <w:sz w:val="28"/>
          <w:szCs w:val="28"/>
          <w:highlight w:val="none"/>
          <w:lang w:val="en-US" w:eastAsia="zh-CN"/>
        </w:rPr>
        <w:t>总经理</w:t>
      </w:r>
      <w:r>
        <w:rPr>
          <w:rFonts w:hint="eastAsia" w:ascii="仿宋_GB2312" w:eastAsia="仿宋_GB2312"/>
          <w:sz w:val="28"/>
          <w:szCs w:val="28"/>
          <w:highlight w:val="none"/>
        </w:rPr>
        <w:t>审批。</w:t>
      </w:r>
    </w:p>
    <w:p w14:paraId="17B65FC2">
      <w:pPr>
        <w:pStyle w:val="13"/>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以上方案妥否，请批示。</w:t>
      </w:r>
      <w:bookmarkStart w:id="6" w:name="_GoBack"/>
      <w:bookmarkEnd w:id="6"/>
    </w:p>
    <w:p w14:paraId="6F031204">
      <w:pPr>
        <w:pStyle w:val="13"/>
        <w:ind w:left="0" w:leftChars="0" w:firstLine="560"/>
        <w:rPr>
          <w:rFonts w:hint="eastAsia" w:ascii="仿宋_GB2312" w:hAnsi="仿宋_GB2312" w:eastAsia="仿宋_GB2312" w:cs="仿宋_GB2312"/>
          <w:kern w:val="0"/>
          <w:sz w:val="28"/>
          <w:szCs w:val="28"/>
          <w:highlight w:val="none"/>
          <w:lang w:val="zh-CN" w:eastAsia="zh-CN"/>
        </w:rPr>
      </w:pPr>
      <w:r>
        <w:rPr>
          <w:rFonts w:hint="eastAsia" w:ascii="仿宋_GB2312" w:hAnsi="仿宋_GB2312" w:eastAsia="仿宋_GB2312" w:cs="仿宋_GB2312"/>
          <w:kern w:val="0"/>
          <w:sz w:val="28"/>
          <w:szCs w:val="28"/>
          <w:highlight w:val="none"/>
          <w:lang w:val="zh-CN" w:eastAsia="zh-CN"/>
        </w:rPr>
        <w:t>附件：</w:t>
      </w:r>
    </w:p>
    <w:p w14:paraId="5B382BB7">
      <w:pPr>
        <w:pStyle w:val="13"/>
        <w:ind w:left="0" w:leftChars="0" w:firstLine="560"/>
        <w:rPr>
          <w:rFonts w:hint="default" w:ascii="仿宋_GB2312" w:hAnsi="仿宋_GB2312" w:eastAsia="仿宋_GB2312" w:cs="仿宋_GB2312"/>
          <w:kern w:val="0"/>
          <w:sz w:val="28"/>
          <w:szCs w:val="28"/>
          <w:highlight w:val="none"/>
          <w:lang w:val="en-US" w:eastAsia="zh-CN"/>
        </w:rPr>
      </w:pPr>
      <w:bookmarkStart w:id="5" w:name="_Hlk124460058"/>
      <w:r>
        <w:rPr>
          <w:rFonts w:hint="eastAsia" w:ascii="仿宋_GB2312" w:hAnsi="仿宋_GB2312" w:eastAsia="仿宋_GB2312" w:cs="仿宋_GB2312"/>
          <w:kern w:val="0"/>
          <w:sz w:val="28"/>
          <w:szCs w:val="28"/>
          <w:highlight w:val="none"/>
          <w:lang w:val="zh-CN" w:eastAsia="zh-CN"/>
        </w:rPr>
        <w:t>附件1</w:t>
      </w:r>
      <w:r>
        <w:rPr>
          <w:rFonts w:hint="eastAsia" w:ascii="仿宋_GB2312" w:eastAsia="仿宋_GB2312"/>
          <w:sz w:val="28"/>
          <w:szCs w:val="28"/>
          <w:highlight w:val="none"/>
          <w:lang w:val="en-US" w:eastAsia="zh-CN"/>
        </w:rPr>
        <w:t>智网科技总办会〔2025〕14号</w:t>
      </w:r>
    </w:p>
    <w:p w14:paraId="14F1E5FF">
      <w:pPr>
        <w:pStyle w:val="13"/>
        <w:ind w:left="0" w:leftChars="0" w:firstLine="560"/>
        <w:rPr>
          <w:rFonts w:hint="default" w:ascii="仿宋_GB2312" w:hAnsi="仿宋_GB2312" w:eastAsia="仿宋_GB2312" w:cs="仿宋_GB2312"/>
          <w:kern w:val="0"/>
          <w:sz w:val="28"/>
          <w:szCs w:val="28"/>
          <w:highlight w:val="none"/>
          <w:lang w:val="en-US" w:eastAsia="zh-CN"/>
        </w:rPr>
      </w:pPr>
      <w:r>
        <w:rPr>
          <w:rFonts w:hint="eastAsia" w:ascii="仿宋_GB2312" w:hAnsi="仿宋_GB2312" w:eastAsia="仿宋_GB2312" w:cs="仿宋_GB2312"/>
          <w:kern w:val="0"/>
          <w:sz w:val="28"/>
          <w:szCs w:val="28"/>
          <w:highlight w:val="none"/>
          <w:lang w:val="zh-CN" w:eastAsia="zh-CN"/>
        </w:rPr>
        <w:t xml:space="preserve">附件2 </w:t>
      </w:r>
      <w:r>
        <w:rPr>
          <w:rFonts w:hint="eastAsia" w:ascii="仿宋_GB2312" w:hAnsi="仿宋_GB2312" w:eastAsia="仿宋_GB2312" w:cs="仿宋_GB2312"/>
          <w:kern w:val="0"/>
          <w:sz w:val="28"/>
          <w:szCs w:val="28"/>
          <w:highlight w:val="none"/>
          <w:lang w:val="en-US" w:eastAsia="zh-CN"/>
        </w:rPr>
        <w:t>技术规范书</w:t>
      </w:r>
    </w:p>
    <w:p w14:paraId="1F112B4D">
      <w:pPr>
        <w:pStyle w:val="13"/>
        <w:ind w:left="0" w:leftChars="0" w:firstLine="560"/>
        <w:rPr>
          <w:rFonts w:hint="default" w:ascii="仿宋_GB2312" w:hAnsi="仿宋_GB2312" w:eastAsia="仿宋_GB2312" w:cs="仿宋_GB2312"/>
          <w:kern w:val="0"/>
          <w:sz w:val="28"/>
          <w:szCs w:val="28"/>
          <w:highlight w:val="none"/>
          <w:lang w:val="en-US" w:eastAsia="zh-CN"/>
        </w:rPr>
      </w:pPr>
      <w:r>
        <w:rPr>
          <w:rFonts w:hint="eastAsia" w:ascii="仿宋_GB2312" w:hAnsi="仿宋_GB2312" w:eastAsia="仿宋_GB2312" w:cs="仿宋_GB2312"/>
          <w:kern w:val="0"/>
          <w:sz w:val="28"/>
          <w:szCs w:val="28"/>
          <w:highlight w:val="none"/>
          <w:lang w:val="zh-CN" w:eastAsia="zh-CN"/>
        </w:rPr>
        <w:t xml:space="preserve">附件3 </w:t>
      </w:r>
      <w:r>
        <w:rPr>
          <w:rFonts w:hint="eastAsia" w:ascii="仿宋_GB2312" w:hAnsi="仿宋_GB2312" w:eastAsia="仿宋_GB2312" w:cs="仿宋_GB2312"/>
          <w:kern w:val="0"/>
          <w:sz w:val="28"/>
          <w:szCs w:val="28"/>
          <w:highlight w:val="none"/>
          <w:lang w:val="en-US" w:eastAsia="zh-CN"/>
        </w:rPr>
        <w:t>商务规范书</w:t>
      </w:r>
    </w:p>
    <w:p w14:paraId="4BF07ED9">
      <w:pPr>
        <w:pStyle w:val="13"/>
        <w:ind w:left="0" w:leftChars="0" w:firstLine="560"/>
        <w:rPr>
          <w:rFonts w:hint="eastAsia" w:ascii="仿宋_GB2312" w:hAnsi="仿宋_GB2312" w:eastAsia="仿宋_GB2312" w:cs="仿宋_GB2312"/>
          <w:kern w:val="0"/>
          <w:sz w:val="28"/>
          <w:szCs w:val="28"/>
          <w:highlight w:val="none"/>
          <w:lang w:val="en-US" w:eastAsia="zh-CN"/>
        </w:rPr>
      </w:pPr>
      <w:r>
        <w:rPr>
          <w:rFonts w:hint="eastAsia" w:ascii="仿宋_GB2312" w:hAnsi="仿宋_GB2312" w:eastAsia="仿宋_GB2312" w:cs="仿宋_GB2312"/>
          <w:kern w:val="0"/>
          <w:sz w:val="28"/>
          <w:szCs w:val="28"/>
          <w:highlight w:val="none"/>
          <w:lang w:val="zh-CN" w:eastAsia="zh-CN"/>
        </w:rPr>
        <w:t>附件</w:t>
      </w:r>
      <w:r>
        <w:rPr>
          <w:rFonts w:ascii="仿宋_GB2312" w:hAnsi="仿宋_GB2312" w:eastAsia="仿宋_GB2312" w:cs="仿宋_GB2312"/>
          <w:kern w:val="0"/>
          <w:sz w:val="28"/>
          <w:szCs w:val="28"/>
          <w:highlight w:val="none"/>
          <w:lang w:val="zh-CN" w:eastAsia="zh-CN"/>
        </w:rPr>
        <w:t>4</w:t>
      </w:r>
      <w:r>
        <w:rPr>
          <w:rFonts w:hint="eastAsia" w:ascii="仿宋_GB2312" w:hAnsi="仿宋_GB2312" w:eastAsia="仿宋_GB2312" w:cs="仿宋_GB2312"/>
          <w:kern w:val="0"/>
          <w:sz w:val="28"/>
          <w:szCs w:val="28"/>
          <w:highlight w:val="none"/>
          <w:lang w:val="zh-CN" w:eastAsia="zh-CN"/>
        </w:rPr>
        <w:t xml:space="preserve"> </w:t>
      </w:r>
      <w:r>
        <w:rPr>
          <w:rFonts w:hint="eastAsia" w:ascii="仿宋_GB2312" w:hAnsi="仿宋_GB2312" w:eastAsia="仿宋_GB2312" w:cs="仿宋_GB2312"/>
          <w:kern w:val="0"/>
          <w:sz w:val="28"/>
          <w:szCs w:val="28"/>
          <w:highlight w:val="none"/>
          <w:lang w:val="en-US" w:eastAsia="zh-CN"/>
        </w:rPr>
        <w:t>评分标准</w:t>
      </w:r>
    </w:p>
    <w:p w14:paraId="3F93BDE2">
      <w:pPr>
        <w:pStyle w:val="13"/>
        <w:ind w:left="0" w:leftChars="0" w:firstLine="560"/>
        <w:rPr>
          <w:rFonts w:hint="eastAsia" w:ascii="仿宋_GB2312" w:hAnsi="仿宋_GB2312" w:eastAsia="仿宋_GB2312" w:cs="仿宋_GB2312"/>
          <w:kern w:val="0"/>
          <w:sz w:val="28"/>
          <w:szCs w:val="28"/>
          <w:highlight w:val="none"/>
          <w:lang w:val="en-US" w:eastAsia="zh-CN"/>
        </w:rPr>
      </w:pPr>
      <w:r>
        <w:rPr>
          <w:rFonts w:hint="eastAsia" w:ascii="仿宋_GB2312" w:hAnsi="仿宋_GB2312" w:eastAsia="仿宋_GB2312" w:cs="仿宋_GB2312"/>
          <w:kern w:val="0"/>
          <w:sz w:val="28"/>
          <w:szCs w:val="28"/>
          <w:highlight w:val="none"/>
          <w:lang w:val="en-US" w:eastAsia="zh-CN"/>
        </w:rPr>
        <w:t>附件5 响应一览表</w:t>
      </w:r>
    </w:p>
    <w:p w14:paraId="57E8E47E">
      <w:pPr>
        <w:pStyle w:val="13"/>
        <w:ind w:left="1399" w:leftChars="266" w:hanging="840" w:hangingChars="300"/>
        <w:rPr>
          <w:rFonts w:ascii="CIDFont+F1" w:hAnsi="Calibri" w:eastAsia="CIDFont+F1" w:cs="CIDFont+F1"/>
          <w:kern w:val="0"/>
          <w:sz w:val="28"/>
          <w:szCs w:val="28"/>
          <w:highlight w:val="none"/>
        </w:rPr>
      </w:pPr>
      <w:r>
        <w:rPr>
          <w:rFonts w:hint="eastAsia" w:ascii="仿宋_GB2312" w:hAnsi="仿宋_GB2312" w:eastAsia="仿宋_GB2312" w:cs="仿宋_GB2312"/>
          <w:kern w:val="0"/>
          <w:sz w:val="28"/>
          <w:szCs w:val="28"/>
          <w:highlight w:val="none"/>
          <w:lang w:val="en-US" w:eastAsia="zh-CN"/>
        </w:rPr>
        <w:t>附件6 2025年营销辅助数字化建设项目采购方案沟通会议讨论纪要</w:t>
      </w:r>
      <w:bookmarkEnd w:id="5"/>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IDFont+F1">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AF96B">
    <w:pPr>
      <w:spacing w:line="209" w:lineRule="auto"/>
      <w:ind w:left="3633"/>
      <w:rPr>
        <w:rFonts w:ascii="宋体" w:hAnsi="宋体" w:eastAsia="宋体" w:cs="宋体"/>
        <w:sz w:val="18"/>
        <w:szCs w:val="18"/>
      </w:rPr>
    </w:pPr>
    <w:r>
      <w:rPr>
        <w:rFonts w:ascii="宋体" w:hAnsi="宋体" w:eastAsia="宋体" w:cs="宋体"/>
        <w:spacing w:val="-2"/>
        <w:sz w:val="18"/>
        <w:szCs w:val="18"/>
      </w:rPr>
      <w:t>第</w:t>
    </w:r>
    <w:r>
      <w:rPr>
        <w:rFonts w:ascii="宋体" w:hAnsi="宋体" w:eastAsia="宋体" w:cs="宋体"/>
        <w:spacing w:val="-40"/>
        <w:sz w:val="18"/>
        <w:szCs w:val="18"/>
      </w:rPr>
      <w:t xml:space="preserve"> </w:t>
    </w:r>
    <w:r>
      <w:rPr>
        <w:rFonts w:ascii="Times New Roman" w:hAnsi="Times New Roman" w:eastAsia="Times New Roman" w:cs="Times New Roman"/>
        <w:spacing w:val="-2"/>
        <w:sz w:val="18"/>
        <w:szCs w:val="18"/>
      </w:rPr>
      <w:t>4</w:t>
    </w:r>
    <w:r>
      <w:rPr>
        <w:rFonts w:ascii="宋体" w:hAnsi="宋体" w:eastAsia="宋体" w:cs="宋体"/>
        <w:spacing w:val="-2"/>
        <w:sz w:val="18"/>
        <w:szCs w:val="18"/>
      </w:rPr>
      <w:t>页共</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26</w:t>
    </w:r>
    <w:r>
      <w:rPr>
        <w:rFonts w:ascii="宋体" w:hAnsi="宋体" w:eastAsia="宋体" w:cs="宋体"/>
        <w:spacing w:val="-2"/>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6C75B">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94A6F"/>
    <w:multiLevelType w:val="multilevel"/>
    <w:tmpl w:val="0C694A6F"/>
    <w:lvl w:ilvl="0" w:tentative="0">
      <w:start w:val="3"/>
      <w:numFmt w:val="japaneseCounting"/>
      <w:lvlText w:val="%1、"/>
      <w:lvlJc w:val="left"/>
      <w:pPr>
        <w:ind w:left="1365" w:hanging="720"/>
      </w:pPr>
      <w:rPr>
        <w:rFonts w:hint="default"/>
      </w:rPr>
    </w:lvl>
    <w:lvl w:ilvl="1" w:tentative="0">
      <w:start w:val="1"/>
      <w:numFmt w:val="lowerLetter"/>
      <w:lvlText w:val="%2)"/>
      <w:lvlJc w:val="left"/>
      <w:pPr>
        <w:ind w:left="1525" w:hanging="440"/>
      </w:pPr>
    </w:lvl>
    <w:lvl w:ilvl="2" w:tentative="0">
      <w:start w:val="1"/>
      <w:numFmt w:val="lowerRoman"/>
      <w:lvlText w:val="%3."/>
      <w:lvlJc w:val="right"/>
      <w:pPr>
        <w:ind w:left="1965" w:hanging="440"/>
      </w:pPr>
    </w:lvl>
    <w:lvl w:ilvl="3" w:tentative="0">
      <w:start w:val="1"/>
      <w:numFmt w:val="decimal"/>
      <w:lvlText w:val="%4."/>
      <w:lvlJc w:val="left"/>
      <w:pPr>
        <w:ind w:left="2405" w:hanging="440"/>
      </w:pPr>
    </w:lvl>
    <w:lvl w:ilvl="4" w:tentative="0">
      <w:start w:val="1"/>
      <w:numFmt w:val="lowerLetter"/>
      <w:lvlText w:val="%5)"/>
      <w:lvlJc w:val="left"/>
      <w:pPr>
        <w:ind w:left="2845" w:hanging="440"/>
      </w:pPr>
    </w:lvl>
    <w:lvl w:ilvl="5" w:tentative="0">
      <w:start w:val="1"/>
      <w:numFmt w:val="lowerRoman"/>
      <w:lvlText w:val="%6."/>
      <w:lvlJc w:val="right"/>
      <w:pPr>
        <w:ind w:left="3285" w:hanging="440"/>
      </w:pPr>
    </w:lvl>
    <w:lvl w:ilvl="6" w:tentative="0">
      <w:start w:val="1"/>
      <w:numFmt w:val="decimal"/>
      <w:lvlText w:val="%7."/>
      <w:lvlJc w:val="left"/>
      <w:pPr>
        <w:ind w:left="3725" w:hanging="440"/>
      </w:pPr>
    </w:lvl>
    <w:lvl w:ilvl="7" w:tentative="0">
      <w:start w:val="1"/>
      <w:numFmt w:val="lowerLetter"/>
      <w:lvlText w:val="%8)"/>
      <w:lvlJc w:val="left"/>
      <w:pPr>
        <w:ind w:left="4165" w:hanging="440"/>
      </w:pPr>
    </w:lvl>
    <w:lvl w:ilvl="8" w:tentative="0">
      <w:start w:val="1"/>
      <w:numFmt w:val="lowerRoman"/>
      <w:lvlText w:val="%9."/>
      <w:lvlJc w:val="right"/>
      <w:pPr>
        <w:ind w:left="4605"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yYzZiNTAxMDA1ZjI2OTdkYWNmN2EwNzYwMDI1ZTkifQ=="/>
  </w:docVars>
  <w:rsids>
    <w:rsidRoot w:val="00EB658F"/>
    <w:rsid w:val="000026C6"/>
    <w:rsid w:val="0001246F"/>
    <w:rsid w:val="00017787"/>
    <w:rsid w:val="0002143A"/>
    <w:rsid w:val="00027BEF"/>
    <w:rsid w:val="000350F8"/>
    <w:rsid w:val="000372B9"/>
    <w:rsid w:val="000423DB"/>
    <w:rsid w:val="00047E1A"/>
    <w:rsid w:val="00066C27"/>
    <w:rsid w:val="00095480"/>
    <w:rsid w:val="000C48A1"/>
    <w:rsid w:val="000D3101"/>
    <w:rsid w:val="000D7A2E"/>
    <w:rsid w:val="00100CD9"/>
    <w:rsid w:val="00115C95"/>
    <w:rsid w:val="00125422"/>
    <w:rsid w:val="001378A6"/>
    <w:rsid w:val="00145F8D"/>
    <w:rsid w:val="00146985"/>
    <w:rsid w:val="00153D0C"/>
    <w:rsid w:val="00163072"/>
    <w:rsid w:val="0016732F"/>
    <w:rsid w:val="0016766C"/>
    <w:rsid w:val="00171091"/>
    <w:rsid w:val="00173F51"/>
    <w:rsid w:val="001802D0"/>
    <w:rsid w:val="00181B57"/>
    <w:rsid w:val="00184CF9"/>
    <w:rsid w:val="00194C4D"/>
    <w:rsid w:val="001B4157"/>
    <w:rsid w:val="001C6EC9"/>
    <w:rsid w:val="001D228A"/>
    <w:rsid w:val="001D5AB7"/>
    <w:rsid w:val="001D6088"/>
    <w:rsid w:val="001D7452"/>
    <w:rsid w:val="001E4A73"/>
    <w:rsid w:val="00214C3D"/>
    <w:rsid w:val="002405B5"/>
    <w:rsid w:val="00244FEF"/>
    <w:rsid w:val="00246F1F"/>
    <w:rsid w:val="00250701"/>
    <w:rsid w:val="00250E13"/>
    <w:rsid w:val="002518F9"/>
    <w:rsid w:val="00256DBF"/>
    <w:rsid w:val="002578D9"/>
    <w:rsid w:val="00267971"/>
    <w:rsid w:val="00271394"/>
    <w:rsid w:val="00276804"/>
    <w:rsid w:val="002837A2"/>
    <w:rsid w:val="00283B6F"/>
    <w:rsid w:val="0029102F"/>
    <w:rsid w:val="002C37F3"/>
    <w:rsid w:val="002E0A35"/>
    <w:rsid w:val="002F29DF"/>
    <w:rsid w:val="002F4B3F"/>
    <w:rsid w:val="00301DD6"/>
    <w:rsid w:val="003208EC"/>
    <w:rsid w:val="0032798D"/>
    <w:rsid w:val="00333C06"/>
    <w:rsid w:val="003351D5"/>
    <w:rsid w:val="003430E1"/>
    <w:rsid w:val="00363F9E"/>
    <w:rsid w:val="00380043"/>
    <w:rsid w:val="00382106"/>
    <w:rsid w:val="00390263"/>
    <w:rsid w:val="003A3748"/>
    <w:rsid w:val="003A49CE"/>
    <w:rsid w:val="003B668F"/>
    <w:rsid w:val="003D69E6"/>
    <w:rsid w:val="003E30EA"/>
    <w:rsid w:val="003E4448"/>
    <w:rsid w:val="003E4FC9"/>
    <w:rsid w:val="003F7395"/>
    <w:rsid w:val="00405E8F"/>
    <w:rsid w:val="0041375F"/>
    <w:rsid w:val="00417066"/>
    <w:rsid w:val="00417172"/>
    <w:rsid w:val="00417EAE"/>
    <w:rsid w:val="00427DDC"/>
    <w:rsid w:val="00434961"/>
    <w:rsid w:val="0044167A"/>
    <w:rsid w:val="00455B37"/>
    <w:rsid w:val="00457738"/>
    <w:rsid w:val="00483C34"/>
    <w:rsid w:val="0049253C"/>
    <w:rsid w:val="0049744B"/>
    <w:rsid w:val="004A1D82"/>
    <w:rsid w:val="004A2B76"/>
    <w:rsid w:val="004A6BB6"/>
    <w:rsid w:val="004B74DE"/>
    <w:rsid w:val="004C557E"/>
    <w:rsid w:val="004E426B"/>
    <w:rsid w:val="004E5B50"/>
    <w:rsid w:val="004F0921"/>
    <w:rsid w:val="004F6E36"/>
    <w:rsid w:val="00500830"/>
    <w:rsid w:val="005069C8"/>
    <w:rsid w:val="00506A41"/>
    <w:rsid w:val="005133F6"/>
    <w:rsid w:val="005246F9"/>
    <w:rsid w:val="00526719"/>
    <w:rsid w:val="00534CC9"/>
    <w:rsid w:val="005434FB"/>
    <w:rsid w:val="00544E2F"/>
    <w:rsid w:val="0055298A"/>
    <w:rsid w:val="0055559B"/>
    <w:rsid w:val="0056279D"/>
    <w:rsid w:val="00571911"/>
    <w:rsid w:val="0057474B"/>
    <w:rsid w:val="00581504"/>
    <w:rsid w:val="005844D5"/>
    <w:rsid w:val="00584C74"/>
    <w:rsid w:val="0059458C"/>
    <w:rsid w:val="00596ED6"/>
    <w:rsid w:val="005A7BE6"/>
    <w:rsid w:val="005B0486"/>
    <w:rsid w:val="005B3EDA"/>
    <w:rsid w:val="005C391C"/>
    <w:rsid w:val="005D0C77"/>
    <w:rsid w:val="005D3668"/>
    <w:rsid w:val="005E510E"/>
    <w:rsid w:val="005E6B90"/>
    <w:rsid w:val="005F315D"/>
    <w:rsid w:val="00601D57"/>
    <w:rsid w:val="00606153"/>
    <w:rsid w:val="006176A1"/>
    <w:rsid w:val="006231D1"/>
    <w:rsid w:val="0064301F"/>
    <w:rsid w:val="0066373A"/>
    <w:rsid w:val="006675C0"/>
    <w:rsid w:val="00674852"/>
    <w:rsid w:val="00676697"/>
    <w:rsid w:val="00686AA0"/>
    <w:rsid w:val="006879A5"/>
    <w:rsid w:val="0069313D"/>
    <w:rsid w:val="006A48F5"/>
    <w:rsid w:val="006B0CBC"/>
    <w:rsid w:val="006C0C08"/>
    <w:rsid w:val="006C5D54"/>
    <w:rsid w:val="006C5EC1"/>
    <w:rsid w:val="006E051F"/>
    <w:rsid w:val="006E10E5"/>
    <w:rsid w:val="006E43F1"/>
    <w:rsid w:val="007134A1"/>
    <w:rsid w:val="00716333"/>
    <w:rsid w:val="00716D3C"/>
    <w:rsid w:val="00723E8D"/>
    <w:rsid w:val="007408F9"/>
    <w:rsid w:val="007504DA"/>
    <w:rsid w:val="00756258"/>
    <w:rsid w:val="00773119"/>
    <w:rsid w:val="0078274B"/>
    <w:rsid w:val="007A3BDC"/>
    <w:rsid w:val="007B7518"/>
    <w:rsid w:val="007E1DF8"/>
    <w:rsid w:val="007E7A5A"/>
    <w:rsid w:val="007F1B12"/>
    <w:rsid w:val="00810FB5"/>
    <w:rsid w:val="00834406"/>
    <w:rsid w:val="00841DF1"/>
    <w:rsid w:val="008437BF"/>
    <w:rsid w:val="00844CDC"/>
    <w:rsid w:val="00845EF3"/>
    <w:rsid w:val="0085046C"/>
    <w:rsid w:val="00852120"/>
    <w:rsid w:val="00852642"/>
    <w:rsid w:val="00854CCF"/>
    <w:rsid w:val="00856285"/>
    <w:rsid w:val="0088387D"/>
    <w:rsid w:val="00891451"/>
    <w:rsid w:val="008A0E16"/>
    <w:rsid w:val="008A16A1"/>
    <w:rsid w:val="008A336E"/>
    <w:rsid w:val="008B0A71"/>
    <w:rsid w:val="008B1729"/>
    <w:rsid w:val="008B1A2B"/>
    <w:rsid w:val="008C28A3"/>
    <w:rsid w:val="008C789B"/>
    <w:rsid w:val="008D1B17"/>
    <w:rsid w:val="008D4509"/>
    <w:rsid w:val="008E279D"/>
    <w:rsid w:val="008E3C40"/>
    <w:rsid w:val="008F35E0"/>
    <w:rsid w:val="008F50D0"/>
    <w:rsid w:val="00913166"/>
    <w:rsid w:val="0091459F"/>
    <w:rsid w:val="009318B8"/>
    <w:rsid w:val="009329BE"/>
    <w:rsid w:val="009365D7"/>
    <w:rsid w:val="0093679A"/>
    <w:rsid w:val="009418C7"/>
    <w:rsid w:val="00943043"/>
    <w:rsid w:val="009505B5"/>
    <w:rsid w:val="00953A76"/>
    <w:rsid w:val="00971BA2"/>
    <w:rsid w:val="00984EA1"/>
    <w:rsid w:val="00986C4E"/>
    <w:rsid w:val="00991ACC"/>
    <w:rsid w:val="00992DC7"/>
    <w:rsid w:val="009A53A6"/>
    <w:rsid w:val="009B7ABB"/>
    <w:rsid w:val="009C3806"/>
    <w:rsid w:val="009E5A27"/>
    <w:rsid w:val="009F15E3"/>
    <w:rsid w:val="00A00501"/>
    <w:rsid w:val="00A008F8"/>
    <w:rsid w:val="00A220F7"/>
    <w:rsid w:val="00A35BF0"/>
    <w:rsid w:val="00A43E0E"/>
    <w:rsid w:val="00A44827"/>
    <w:rsid w:val="00A5367F"/>
    <w:rsid w:val="00A5487B"/>
    <w:rsid w:val="00A56C1F"/>
    <w:rsid w:val="00A614A2"/>
    <w:rsid w:val="00A654C3"/>
    <w:rsid w:val="00A655FB"/>
    <w:rsid w:val="00A733A7"/>
    <w:rsid w:val="00A85B11"/>
    <w:rsid w:val="00AA4061"/>
    <w:rsid w:val="00AA5AEF"/>
    <w:rsid w:val="00AC134F"/>
    <w:rsid w:val="00AC3105"/>
    <w:rsid w:val="00AC5016"/>
    <w:rsid w:val="00AC7B80"/>
    <w:rsid w:val="00AD7944"/>
    <w:rsid w:val="00AE5769"/>
    <w:rsid w:val="00AE60DB"/>
    <w:rsid w:val="00AE6AE5"/>
    <w:rsid w:val="00B00CB6"/>
    <w:rsid w:val="00B1163B"/>
    <w:rsid w:val="00B135FD"/>
    <w:rsid w:val="00B25019"/>
    <w:rsid w:val="00B27688"/>
    <w:rsid w:val="00B36B1F"/>
    <w:rsid w:val="00B3771E"/>
    <w:rsid w:val="00B43657"/>
    <w:rsid w:val="00B502B8"/>
    <w:rsid w:val="00B52897"/>
    <w:rsid w:val="00B56A23"/>
    <w:rsid w:val="00B734AA"/>
    <w:rsid w:val="00B771D2"/>
    <w:rsid w:val="00B81CEE"/>
    <w:rsid w:val="00B94277"/>
    <w:rsid w:val="00BA0D79"/>
    <w:rsid w:val="00BA3373"/>
    <w:rsid w:val="00BC1181"/>
    <w:rsid w:val="00BD2C75"/>
    <w:rsid w:val="00BD6B0D"/>
    <w:rsid w:val="00BD6BA7"/>
    <w:rsid w:val="00BE2AF3"/>
    <w:rsid w:val="00BE6B15"/>
    <w:rsid w:val="00BE775E"/>
    <w:rsid w:val="00BF6DEA"/>
    <w:rsid w:val="00BF7E2E"/>
    <w:rsid w:val="00C004BF"/>
    <w:rsid w:val="00C108C5"/>
    <w:rsid w:val="00C15FD8"/>
    <w:rsid w:val="00C20861"/>
    <w:rsid w:val="00C26BDB"/>
    <w:rsid w:val="00C2798B"/>
    <w:rsid w:val="00C30295"/>
    <w:rsid w:val="00C33B6F"/>
    <w:rsid w:val="00C36953"/>
    <w:rsid w:val="00C45870"/>
    <w:rsid w:val="00C464CE"/>
    <w:rsid w:val="00C64559"/>
    <w:rsid w:val="00C672AB"/>
    <w:rsid w:val="00C820BF"/>
    <w:rsid w:val="00C836A6"/>
    <w:rsid w:val="00CA195B"/>
    <w:rsid w:val="00CB0877"/>
    <w:rsid w:val="00CC11DE"/>
    <w:rsid w:val="00CF41D7"/>
    <w:rsid w:val="00CF535A"/>
    <w:rsid w:val="00CF6B3F"/>
    <w:rsid w:val="00D01C90"/>
    <w:rsid w:val="00D0510C"/>
    <w:rsid w:val="00D418F2"/>
    <w:rsid w:val="00D43A1E"/>
    <w:rsid w:val="00D472C0"/>
    <w:rsid w:val="00D51E7B"/>
    <w:rsid w:val="00D71B94"/>
    <w:rsid w:val="00D75495"/>
    <w:rsid w:val="00D7629F"/>
    <w:rsid w:val="00D841C7"/>
    <w:rsid w:val="00D91301"/>
    <w:rsid w:val="00DA219A"/>
    <w:rsid w:val="00DA2AED"/>
    <w:rsid w:val="00DA2C10"/>
    <w:rsid w:val="00DA770A"/>
    <w:rsid w:val="00DC4EA8"/>
    <w:rsid w:val="00DE1332"/>
    <w:rsid w:val="00E11F18"/>
    <w:rsid w:val="00E12DCD"/>
    <w:rsid w:val="00E1438C"/>
    <w:rsid w:val="00E20473"/>
    <w:rsid w:val="00E211DC"/>
    <w:rsid w:val="00E22CC7"/>
    <w:rsid w:val="00E241F4"/>
    <w:rsid w:val="00E24583"/>
    <w:rsid w:val="00E45191"/>
    <w:rsid w:val="00E501ED"/>
    <w:rsid w:val="00E624A8"/>
    <w:rsid w:val="00E73392"/>
    <w:rsid w:val="00E738A7"/>
    <w:rsid w:val="00E772B9"/>
    <w:rsid w:val="00E82279"/>
    <w:rsid w:val="00E82A5F"/>
    <w:rsid w:val="00E84099"/>
    <w:rsid w:val="00E85356"/>
    <w:rsid w:val="00E85D41"/>
    <w:rsid w:val="00E9394E"/>
    <w:rsid w:val="00EB658F"/>
    <w:rsid w:val="00EB6D87"/>
    <w:rsid w:val="00EC2C7B"/>
    <w:rsid w:val="00EC3F0C"/>
    <w:rsid w:val="00EC71B9"/>
    <w:rsid w:val="00ED4779"/>
    <w:rsid w:val="00EE5AFA"/>
    <w:rsid w:val="00EF6833"/>
    <w:rsid w:val="00F115D4"/>
    <w:rsid w:val="00F1211F"/>
    <w:rsid w:val="00F22D9B"/>
    <w:rsid w:val="00F23C05"/>
    <w:rsid w:val="00F26B50"/>
    <w:rsid w:val="00F30F78"/>
    <w:rsid w:val="00F379F0"/>
    <w:rsid w:val="00F43D7E"/>
    <w:rsid w:val="00F4567D"/>
    <w:rsid w:val="00F51A92"/>
    <w:rsid w:val="00F61DAD"/>
    <w:rsid w:val="00F66D25"/>
    <w:rsid w:val="00F66E8B"/>
    <w:rsid w:val="00F8197C"/>
    <w:rsid w:val="00F95504"/>
    <w:rsid w:val="00F9684B"/>
    <w:rsid w:val="00FA2B5F"/>
    <w:rsid w:val="00FA38CF"/>
    <w:rsid w:val="00FB0174"/>
    <w:rsid w:val="00FB475D"/>
    <w:rsid w:val="00FC470E"/>
    <w:rsid w:val="00FC7DF9"/>
    <w:rsid w:val="00FE2758"/>
    <w:rsid w:val="00FF138A"/>
    <w:rsid w:val="026F4E06"/>
    <w:rsid w:val="061865F6"/>
    <w:rsid w:val="074E2EF7"/>
    <w:rsid w:val="07DC185C"/>
    <w:rsid w:val="09200880"/>
    <w:rsid w:val="09DA7F53"/>
    <w:rsid w:val="0A5C5E37"/>
    <w:rsid w:val="0A984BB5"/>
    <w:rsid w:val="0AB344FD"/>
    <w:rsid w:val="0AF86D7E"/>
    <w:rsid w:val="0D6D1EC9"/>
    <w:rsid w:val="0E4E4EAD"/>
    <w:rsid w:val="0FBF5415"/>
    <w:rsid w:val="0FE30A4A"/>
    <w:rsid w:val="104C48CD"/>
    <w:rsid w:val="109941F1"/>
    <w:rsid w:val="11074842"/>
    <w:rsid w:val="114E2471"/>
    <w:rsid w:val="13811187"/>
    <w:rsid w:val="139A5A83"/>
    <w:rsid w:val="13C30983"/>
    <w:rsid w:val="155F4CE0"/>
    <w:rsid w:val="186767C1"/>
    <w:rsid w:val="18776EB6"/>
    <w:rsid w:val="18A318AC"/>
    <w:rsid w:val="19325C45"/>
    <w:rsid w:val="19C239FC"/>
    <w:rsid w:val="1DDD77CC"/>
    <w:rsid w:val="1E1A3BC6"/>
    <w:rsid w:val="1F21306B"/>
    <w:rsid w:val="1F89398F"/>
    <w:rsid w:val="230922CB"/>
    <w:rsid w:val="24624F2C"/>
    <w:rsid w:val="24B14F0D"/>
    <w:rsid w:val="25DC5D6A"/>
    <w:rsid w:val="262410D6"/>
    <w:rsid w:val="26F2668C"/>
    <w:rsid w:val="28260E78"/>
    <w:rsid w:val="2830222D"/>
    <w:rsid w:val="29460609"/>
    <w:rsid w:val="2A982C83"/>
    <w:rsid w:val="2AB91683"/>
    <w:rsid w:val="2BAE6A72"/>
    <w:rsid w:val="2BD016CB"/>
    <w:rsid w:val="2CAB47C4"/>
    <w:rsid w:val="2E7D71A9"/>
    <w:rsid w:val="30F128D7"/>
    <w:rsid w:val="312A0FFE"/>
    <w:rsid w:val="31710199"/>
    <w:rsid w:val="31FD759D"/>
    <w:rsid w:val="327E0749"/>
    <w:rsid w:val="35320059"/>
    <w:rsid w:val="376353F2"/>
    <w:rsid w:val="39F91339"/>
    <w:rsid w:val="3ADD35E9"/>
    <w:rsid w:val="3DFC342E"/>
    <w:rsid w:val="3E744885"/>
    <w:rsid w:val="3ECA495B"/>
    <w:rsid w:val="3F2D5305"/>
    <w:rsid w:val="3F7C283D"/>
    <w:rsid w:val="403D369B"/>
    <w:rsid w:val="40490781"/>
    <w:rsid w:val="432D4A71"/>
    <w:rsid w:val="440A101F"/>
    <w:rsid w:val="467A1DE8"/>
    <w:rsid w:val="46D0619D"/>
    <w:rsid w:val="477C65F0"/>
    <w:rsid w:val="47B57E4D"/>
    <w:rsid w:val="48676BC7"/>
    <w:rsid w:val="4870629A"/>
    <w:rsid w:val="48790E7B"/>
    <w:rsid w:val="48D37076"/>
    <w:rsid w:val="4B8237ED"/>
    <w:rsid w:val="4C637819"/>
    <w:rsid w:val="4D1033DE"/>
    <w:rsid w:val="4ECB5196"/>
    <w:rsid w:val="4F1D0CB7"/>
    <w:rsid w:val="4FC32EE6"/>
    <w:rsid w:val="50FD71FE"/>
    <w:rsid w:val="51191F77"/>
    <w:rsid w:val="515C00C6"/>
    <w:rsid w:val="5270781F"/>
    <w:rsid w:val="529A65BD"/>
    <w:rsid w:val="54886F7D"/>
    <w:rsid w:val="56015CE6"/>
    <w:rsid w:val="56AB138B"/>
    <w:rsid w:val="5751442E"/>
    <w:rsid w:val="575B6C94"/>
    <w:rsid w:val="5A1D1FAE"/>
    <w:rsid w:val="5B841BB9"/>
    <w:rsid w:val="5B9A6396"/>
    <w:rsid w:val="5CB564CD"/>
    <w:rsid w:val="5CC6302D"/>
    <w:rsid w:val="5D336950"/>
    <w:rsid w:val="5DED32B4"/>
    <w:rsid w:val="5F3B5316"/>
    <w:rsid w:val="5F85634C"/>
    <w:rsid w:val="61A21725"/>
    <w:rsid w:val="638D6E95"/>
    <w:rsid w:val="638F77D1"/>
    <w:rsid w:val="642C7FBA"/>
    <w:rsid w:val="644658D0"/>
    <w:rsid w:val="66EE3BFC"/>
    <w:rsid w:val="6724464D"/>
    <w:rsid w:val="691041AB"/>
    <w:rsid w:val="6CA50034"/>
    <w:rsid w:val="6D301F95"/>
    <w:rsid w:val="6E525EC1"/>
    <w:rsid w:val="6FA95375"/>
    <w:rsid w:val="71645348"/>
    <w:rsid w:val="726F64A8"/>
    <w:rsid w:val="747C0D3A"/>
    <w:rsid w:val="75611379"/>
    <w:rsid w:val="765207E8"/>
    <w:rsid w:val="76E76750"/>
    <w:rsid w:val="78EA2A50"/>
    <w:rsid w:val="79B8468A"/>
    <w:rsid w:val="7A3D2884"/>
    <w:rsid w:val="7D6B2EAC"/>
    <w:rsid w:val="7DB56AFC"/>
    <w:rsid w:val="7DD33483"/>
    <w:rsid w:val="7EDD5ECF"/>
    <w:rsid w:val="7FA20E71"/>
    <w:rsid w:val="7FC32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qFormat="1" w:uiPriority="0"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table of authorities"/>
    <w:basedOn w:val="1"/>
    <w:next w:val="1"/>
    <w:unhideWhenUsed/>
    <w:qFormat/>
    <w:uiPriority w:val="0"/>
    <w:pPr>
      <w:ind w:left="420" w:leftChars="200"/>
    </w:pPr>
  </w:style>
  <w:style w:type="paragraph" w:styleId="4">
    <w:name w:val="Document Map"/>
    <w:basedOn w:val="1"/>
    <w:link w:val="22"/>
    <w:semiHidden/>
    <w:unhideWhenUsed/>
    <w:qFormat/>
    <w:uiPriority w:val="99"/>
    <w:rPr>
      <w:rFonts w:ascii="宋体"/>
      <w:sz w:val="18"/>
      <w:szCs w:val="18"/>
      <w:lang w:val="zh-CN" w:eastAsia="zh-CN"/>
    </w:rPr>
  </w:style>
  <w:style w:type="paragraph" w:styleId="5">
    <w:name w:val="annotation text"/>
    <w:basedOn w:val="1"/>
    <w:link w:val="27"/>
    <w:unhideWhenUsed/>
    <w:qFormat/>
    <w:uiPriority w:val="0"/>
    <w:pPr>
      <w:jc w:val="left"/>
    </w:p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Body Text Indent"/>
    <w:basedOn w:val="1"/>
    <w:link w:val="23"/>
    <w:semiHidden/>
    <w:unhideWhenUsed/>
    <w:qFormat/>
    <w:uiPriority w:val="99"/>
    <w:pPr>
      <w:spacing w:after="120"/>
      <w:ind w:left="420" w:leftChars="200"/>
    </w:pPr>
    <w:rPr>
      <w:lang w:val="zh-CN" w:eastAsia="zh-CN"/>
    </w:rPr>
  </w:style>
  <w:style w:type="paragraph" w:styleId="8">
    <w:name w:val="Balloon Text"/>
    <w:basedOn w:val="1"/>
    <w:link w:val="26"/>
    <w:semiHidden/>
    <w:unhideWhenUsed/>
    <w:qFormat/>
    <w:uiPriority w:val="99"/>
    <w:rPr>
      <w:sz w:val="18"/>
      <w:szCs w:val="18"/>
      <w:lang w:val="zh-CN" w:eastAsia="zh-CN"/>
    </w:rPr>
  </w:style>
  <w:style w:type="paragraph" w:styleId="9">
    <w:name w:val="footer"/>
    <w:basedOn w:val="1"/>
    <w:link w:val="19"/>
    <w:unhideWhenUsed/>
    <w:qFormat/>
    <w:uiPriority w:val="99"/>
    <w:pPr>
      <w:tabs>
        <w:tab w:val="center" w:pos="4153"/>
        <w:tab w:val="right" w:pos="8306"/>
      </w:tabs>
      <w:snapToGrid w:val="0"/>
      <w:jc w:val="left"/>
    </w:pPr>
    <w:rPr>
      <w:rFonts w:ascii="Calibri" w:hAnsi="Calibri"/>
      <w:kern w:val="0"/>
      <w:sz w:val="18"/>
      <w:szCs w:val="18"/>
      <w:lang w:val="zh-CN" w:eastAsia="zh-CN"/>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eastAsia="zh-CN"/>
    </w:rPr>
  </w:style>
  <w:style w:type="paragraph" w:styleId="11">
    <w:name w:val="Normal (Web)"/>
    <w:basedOn w:val="1"/>
    <w:semiHidden/>
    <w:unhideWhenUsed/>
    <w:qFormat/>
    <w:uiPriority w:val="99"/>
    <w:pPr>
      <w:spacing w:beforeAutospacing="1" w:afterAutospacing="1"/>
      <w:jc w:val="left"/>
    </w:pPr>
    <w:rPr>
      <w:kern w:val="0"/>
      <w:sz w:val="24"/>
    </w:rPr>
  </w:style>
  <w:style w:type="paragraph" w:styleId="12">
    <w:name w:val="annotation subject"/>
    <w:basedOn w:val="5"/>
    <w:next w:val="5"/>
    <w:link w:val="28"/>
    <w:semiHidden/>
    <w:unhideWhenUsed/>
    <w:qFormat/>
    <w:uiPriority w:val="99"/>
    <w:rPr>
      <w:b/>
      <w:bCs/>
    </w:rPr>
  </w:style>
  <w:style w:type="paragraph" w:styleId="13">
    <w:name w:val="Body Text First Indent 2"/>
    <w:basedOn w:val="7"/>
    <w:link w:val="25"/>
    <w:qFormat/>
    <w:uiPriority w:val="0"/>
    <w:pPr>
      <w:spacing w:line="360" w:lineRule="auto"/>
      <w:ind w:firstLine="420" w:firstLineChars="200"/>
    </w:pPr>
    <w:rPr>
      <w:sz w:val="24"/>
    </w:rPr>
  </w:style>
  <w:style w:type="character" w:styleId="16">
    <w:name w:val="Hyperlink"/>
    <w:qFormat/>
    <w:uiPriority w:val="99"/>
    <w:rPr>
      <w:color w:val="0000FF"/>
      <w:u w:val="single"/>
    </w:rPr>
  </w:style>
  <w:style w:type="character" w:styleId="17">
    <w:name w:val="annotation reference"/>
    <w:unhideWhenUsed/>
    <w:qFormat/>
    <w:uiPriority w:val="0"/>
    <w:rPr>
      <w:sz w:val="21"/>
      <w:szCs w:val="21"/>
    </w:rPr>
  </w:style>
  <w:style w:type="character" w:customStyle="1" w:styleId="18">
    <w:name w:val="页眉 字符"/>
    <w:link w:val="10"/>
    <w:qFormat/>
    <w:uiPriority w:val="99"/>
    <w:rPr>
      <w:sz w:val="18"/>
      <w:szCs w:val="18"/>
    </w:rPr>
  </w:style>
  <w:style w:type="character" w:customStyle="1" w:styleId="19">
    <w:name w:val="页脚 字符"/>
    <w:link w:val="9"/>
    <w:qFormat/>
    <w:uiPriority w:val="99"/>
    <w:rPr>
      <w:sz w:val="18"/>
      <w:szCs w:val="18"/>
    </w:rPr>
  </w:style>
  <w:style w:type="paragraph" w:customStyle="1" w:styleId="20">
    <w:name w:val="文档正文"/>
    <w:basedOn w:val="1"/>
    <w:qFormat/>
    <w:uiPriority w:val="0"/>
    <w:pPr>
      <w:adjustRightInd w:val="0"/>
      <w:spacing w:line="460" w:lineRule="exact"/>
      <w:ind w:firstLine="480" w:firstLineChars="200"/>
      <w:textAlignment w:val="baseline"/>
    </w:pPr>
    <w:rPr>
      <w:rFonts w:ascii="Arial" w:hAnsi="Arial"/>
      <w:kern w:val="0"/>
      <w:sz w:val="24"/>
      <w:szCs w:val="20"/>
    </w:rPr>
  </w:style>
  <w:style w:type="paragraph" w:customStyle="1" w:styleId="21">
    <w:name w:val="表格正文"/>
    <w:basedOn w:val="1"/>
    <w:qFormat/>
    <w:uiPriority w:val="0"/>
    <w:pPr>
      <w:adjustRightInd w:val="0"/>
      <w:snapToGrid w:val="0"/>
      <w:spacing w:before="60" w:after="60"/>
      <w:jc w:val="center"/>
      <w:textAlignment w:val="baseline"/>
    </w:pPr>
    <w:rPr>
      <w:kern w:val="0"/>
      <w:sz w:val="24"/>
      <w:szCs w:val="20"/>
    </w:rPr>
  </w:style>
  <w:style w:type="character" w:customStyle="1" w:styleId="22">
    <w:name w:val="文档结构图 字符"/>
    <w:link w:val="4"/>
    <w:semiHidden/>
    <w:qFormat/>
    <w:uiPriority w:val="99"/>
    <w:rPr>
      <w:rFonts w:ascii="宋体" w:hAnsi="Times New Roman"/>
      <w:kern w:val="2"/>
      <w:sz w:val="18"/>
      <w:szCs w:val="18"/>
    </w:rPr>
  </w:style>
  <w:style w:type="character" w:customStyle="1" w:styleId="23">
    <w:name w:val="正文文本缩进 字符"/>
    <w:link w:val="7"/>
    <w:semiHidden/>
    <w:qFormat/>
    <w:uiPriority w:val="99"/>
    <w:rPr>
      <w:rFonts w:ascii="Times New Roman" w:hAnsi="Times New Roman"/>
      <w:kern w:val="2"/>
      <w:sz w:val="21"/>
      <w:szCs w:val="24"/>
    </w:rPr>
  </w:style>
  <w:style w:type="character" w:customStyle="1" w:styleId="24">
    <w:name w:val="正文文本首行缩进 2 字符"/>
    <w:basedOn w:val="23"/>
    <w:semiHidden/>
    <w:qFormat/>
    <w:uiPriority w:val="99"/>
    <w:rPr>
      <w:rFonts w:ascii="Times New Roman" w:hAnsi="Times New Roman"/>
      <w:kern w:val="2"/>
      <w:sz w:val="21"/>
      <w:szCs w:val="24"/>
    </w:rPr>
  </w:style>
  <w:style w:type="character" w:customStyle="1" w:styleId="25">
    <w:name w:val="正文文本首行缩进 2 字符1"/>
    <w:link w:val="13"/>
    <w:qFormat/>
    <w:uiPriority w:val="0"/>
    <w:rPr>
      <w:rFonts w:ascii="Times New Roman" w:hAnsi="Times New Roman"/>
      <w:kern w:val="2"/>
      <w:sz w:val="24"/>
      <w:szCs w:val="24"/>
    </w:rPr>
  </w:style>
  <w:style w:type="character" w:customStyle="1" w:styleId="26">
    <w:name w:val="批注框文本 字符"/>
    <w:link w:val="8"/>
    <w:semiHidden/>
    <w:qFormat/>
    <w:uiPriority w:val="99"/>
    <w:rPr>
      <w:rFonts w:ascii="Times New Roman" w:hAnsi="Times New Roman"/>
      <w:kern w:val="2"/>
      <w:sz w:val="18"/>
      <w:szCs w:val="18"/>
    </w:rPr>
  </w:style>
  <w:style w:type="character" w:customStyle="1" w:styleId="27">
    <w:name w:val="批注文字 字符"/>
    <w:link w:val="5"/>
    <w:qFormat/>
    <w:uiPriority w:val="0"/>
    <w:rPr>
      <w:rFonts w:ascii="Times New Roman" w:hAnsi="Times New Roman"/>
      <w:kern w:val="2"/>
      <w:sz w:val="21"/>
      <w:szCs w:val="24"/>
    </w:rPr>
  </w:style>
  <w:style w:type="character" w:customStyle="1" w:styleId="28">
    <w:name w:val="批注主题 字符"/>
    <w:link w:val="12"/>
    <w:semiHidden/>
    <w:qFormat/>
    <w:uiPriority w:val="99"/>
    <w:rPr>
      <w:rFonts w:ascii="Times New Roman" w:hAnsi="Times New Roman"/>
      <w:b/>
      <w:bCs/>
      <w:kern w:val="2"/>
      <w:sz w:val="21"/>
      <w:szCs w:val="24"/>
    </w:rPr>
  </w:style>
  <w:style w:type="paragraph" w:customStyle="1" w:styleId="29">
    <w:name w:val="Revision"/>
    <w:hidden/>
    <w:semiHidden/>
    <w:qFormat/>
    <w:uiPriority w:val="99"/>
    <w:rPr>
      <w:rFonts w:ascii="Times New Roman" w:hAnsi="Times New Roman" w:eastAsia="宋体" w:cs="Times New Roman"/>
      <w:kern w:val="2"/>
      <w:sz w:val="21"/>
      <w:szCs w:val="24"/>
      <w:lang w:val="en-US" w:eastAsia="zh-CN" w:bidi="ar-SA"/>
    </w:rPr>
  </w:style>
  <w:style w:type="character" w:styleId="30">
    <w:name w:val="Placeholder Text"/>
    <w:basedOn w:val="15"/>
    <w:semiHidden/>
    <w:qFormat/>
    <w:uiPriority w:val="99"/>
    <w:rPr>
      <w:color w:val="808080"/>
    </w:rPr>
  </w:style>
  <w:style w:type="character" w:customStyle="1" w:styleId="31">
    <w:name w:val="批注文字 Char"/>
    <w:qFormat/>
    <w:uiPriority w:val="0"/>
    <w:rPr>
      <w:kern w:val="2"/>
      <w:sz w:val="21"/>
      <w:szCs w:val="24"/>
    </w:rPr>
  </w:style>
  <w:style w:type="paragraph" w:styleId="32">
    <w:name w:val="List Paragraph"/>
    <w:basedOn w:val="1"/>
    <w:qFormat/>
    <w:uiPriority w:val="34"/>
    <w:pPr>
      <w:ind w:firstLine="420" w:firstLineChars="200"/>
    </w:pPr>
  </w:style>
  <w:style w:type="paragraph" w:customStyle="1" w:styleId="33">
    <w:name w:val="_Style 11"/>
    <w:basedOn w:val="1"/>
    <w:next w:val="32"/>
    <w:autoRedefine/>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fighter</Company>
  <Pages>8</Pages>
  <Words>4061</Words>
  <Characters>4309</Characters>
  <Lines>31</Lines>
  <Paragraphs>8</Paragraphs>
  <TotalTime>1</TotalTime>
  <ScaleCrop>false</ScaleCrop>
  <LinksUpToDate>false</LinksUpToDate>
  <CharactersWithSpaces>4327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2024-09-25T06:42:00Z</dcterms:created>
  <dc:creator>匿名用户</dc:creator>
  <cp:lastModifiedBy>心痕</cp:lastModifiedBy>
  <dcterms:modified xsi:type="dcterms:W3CDTF">2025-05-19T02:58:41Z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BC3E5376F5A54BC3B12769115BD1BB0A_13</vt:lpwstr>
  </property>
  <property fmtid="{D5CDD505-2E9C-101B-9397-08002B2CF9AE}" pid="4" name="KSOTemplateDocerSaveRecord">
    <vt:lpwstr>eyJoZGlkIjoiMDY5NmFjMmM4ZTljMGJiZDAxN2JmYTc0NGI0NmFiNDgiLCJ1c2VySWQiOiI0NDE4MTk5MjAifQ==</vt:lpwstr>
  </property>
</Properties>
</file>