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 Analytics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 Samanta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Topic 3: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given attributes are as follows: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2490"/>
        <w:gridCol w:w="1965"/>
        <w:gridCol w:w="735"/>
        <w:gridCol w:w="2055"/>
        <w:gridCol w:w="1725"/>
        <w:tblGridChange w:id="0">
          <w:tblGrid>
            <w:gridCol w:w="690"/>
            <w:gridCol w:w="2490"/>
            <w:gridCol w:w="1965"/>
            <w:gridCol w:w="735"/>
            <w:gridCol w:w="2055"/>
            <w:gridCol w:w="17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Symboling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Interval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61.8181818181818" w:lineRule="auto"/>
              <w:contextualSpacing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Normalized.losses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Curb.weight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Interval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Engine.type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Nominal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Fuel.type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Num.of.cylinders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Ordinal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Aspiration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Engine.size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Interval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Num.of.doors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Fuel.system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Nominal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Body.style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Interval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Drive.wheels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Stroke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Interval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Engine.location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Compression.ratio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Wheel.base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Horsepower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Interval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Peak.rpm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Interval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City.mpg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Interval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Highway.mpg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Ratio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Now we are required to apply the applicable central tendency measures to any four attributes taking one attribute from each category.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this purpose, we are choosing the following attributes and calculated the randomly chosen central tendency. These are as following: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Mode of the Number of Cylinders = Four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Mode of Body Style of the automobiles = Sedan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Median of the height = 54.1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Mean of the Compression Ration = 10.14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Now histogram of peak-rpm and city-mpg was drawn so evaluate the distributions.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15000" cy="35337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15000" cy="35337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analyzing the graph it is clear that peak-rpm  is normally distributed whereas city-mpg is positively skewed distribution.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3.png"/></Relationships>
</file>