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F4E79"/>
          <w:sz w:val="48"/>
        </w:rPr>
        <w:t>A04 AI in Fraud Detection Case Study</w:t>
      </w:r>
    </w:p>
    <w:p>
      <w:pPr>
        <w:pStyle w:val="Normal"/>
        <w:jc w:val="center"/>
        <w:rPr/>
      </w:pPr>
      <w:r>
        <w:rPr>
          <w:b/>
          <w:color w:val="3F3F3F"/>
          <w:sz w:val="32"/>
        </w:rPr>
        <w:t>JPMorgan Chase and AI-Enhanced Fraud Detection</w:t>
      </w:r>
    </w:p>
    <w:p>
      <w:pPr>
        <w:pStyle w:val="Normal"/>
        <w:jc w:val="center"/>
        <w:rPr/>
      </w:pPr>
      <w:r>
        <w:rPr>
          <w:sz w:val="22"/>
        </w:rPr>
        <w:t>Course: ITAI 2372</w:t>
      </w:r>
    </w:p>
    <w:p>
      <w:pPr>
        <w:pStyle w:val="Normal"/>
        <w:jc w:val="center"/>
        <w:rPr>
          <w:sz w:val="22"/>
        </w:rPr>
      </w:pPr>
      <w:r>
        <w:rPr>
          <w:sz w:val="22"/>
        </w:rPr>
        <w:t xml:space="preserve">Student: </w:t>
      </w:r>
      <w:r>
        <w:rPr>
          <w:sz w:val="22"/>
        </w:rPr>
        <w:t>Jason Trimble</w:t>
      </w:r>
    </w:p>
    <w:p>
      <w:pPr>
        <w:pStyle w:val="Normal"/>
        <w:spacing w:before="360" w:after="120"/>
        <w:jc w:val="center"/>
        <w:rPr/>
      </w:pPr>
      <w:r>
        <w:rPr>
          <w:b/>
          <w:sz w:val="24"/>
        </w:rPr>
        <w:t>Case Focus</w:t>
      </w:r>
    </w:p>
    <w:p>
      <w:pPr>
        <w:pStyle w:val="Normal"/>
        <w:jc w:val="center"/>
        <w:rPr/>
      </w:pPr>
      <w:r>
        <w:rPr>
          <w:sz w:val="22"/>
        </w:rPr>
        <w:t>This report examines how JPMorgan Chase uses machine learning, large language models, entity extraction, and payment-risk controls to identify business email compromise and other forms of financial fraud.</w:t>
      </w:r>
    </w:p>
    <w:p>
      <w:pPr>
        <w:pStyle w:val="Normal"/>
        <w:rPr/>
      </w:pPr>
      <w:r>
        <w:rPr/>
      </w:r>
      <w:r>
        <w:br w:type="page"/>
      </w:r>
    </w:p>
    <w:p>
      <w:pPr>
        <w:pStyle w:val="Heading1"/>
        <w:spacing w:before="0" w:after="80"/>
        <w:rPr/>
      </w:pPr>
      <w:r>
        <w:rPr/>
        <w:t>Executive Summary</w:t>
      </w:r>
    </w:p>
    <w:p>
      <w:pPr>
        <w:pStyle w:val="Normal"/>
        <w:rPr/>
      </w:pPr>
      <w:r>
        <w:rPr/>
        <w:t>Financial fraud has become more sophisticated as criminals use social engineering, fake vendor instructions, compromised email accounts, and increasingly AI-generated messages to deceive businesses and consumers. JPMorgan Chase is a strong case study because it is one of the largest financial institutions in the world and because its fraud-detection strategy has evolved from rules and decision trees into machine learning and large language models. The bank uses AI to analyze payment instructions, emails, account behavior, sanctions data, and other internal signals so suspicious activity can be flagged before money is lost.</w:t>
      </w:r>
    </w:p>
    <w:p>
      <w:pPr>
        <w:pStyle w:val="Normal"/>
        <w:rPr/>
      </w:pPr>
      <w:r>
        <w:rPr/>
        <w:t>The key finding of this case study is that AI does not replace fraud professionals; it strengthens their ability to detect patterns at scale. JPMorgan Chase still relies on human review, customer verification, model validation, audited data, and constant research. The benefits include faster detection, better contextual analysis, reduced false positives, stronger payment screening, and improved protection against business email compromise. The challenges include data quality, model explainability, privacy, adversarial AI, false alerts, and the need for continuous investment.</w:t>
      </w:r>
    </w:p>
    <w:p>
      <w:pPr>
        <w:pStyle w:val="Heading1"/>
        <w:rPr/>
      </w:pPr>
      <w:r>
        <w:rPr/>
        <w:t>Introduction</w:t>
      </w:r>
    </w:p>
    <w:p>
      <w:pPr>
        <w:pStyle w:val="Normal"/>
        <w:rPr/>
      </w:pPr>
      <w:r>
        <w:rPr/>
        <w:t>JPMorgan Chase &amp; Co. is a major global financial institution that provides consumer banking, commercial banking, investment banking, asset management, treasury services, and payment solutions. Because the company handles large volumes of sensitive data and financial transactions, fraud prevention is central to its operations. In the case discussed by Crosman (2023), JPMorgan Chase focuses heavily on business email compromise, a form of fraud where criminals impersonate legitimate vendors or partners to redirect payments to fraudulent accounts.</w:t>
      </w:r>
    </w:p>
    <w:p>
      <w:pPr>
        <w:pStyle w:val="Normal"/>
        <w:rPr/>
      </w:pPr>
      <w:r>
        <w:rPr/>
        <w:t>AI is important in financial fraud detection because fraud is no longer limited to simple stolen-card activity. Modern fraud can involve realistic emails, fake websites, look-alike domains, social engineering, synthetic identities, compromised credentials, and abnormal payment instructions. Traditional rule-based systems can still be useful, but they often struggle when criminals change tactics. AI systems can learn patterns from historical behavior, compare many signals at once, and identify suspicious relationships that would be difficult for humans to manually review at the same speed.</w:t>
      </w:r>
    </w:p>
    <w:p>
      <w:pPr>
        <w:pStyle w:val="Normal"/>
        <w:rPr/>
      </w:pPr>
      <w:r>
        <w:rPr/>
        <w:t>The broader finance literature supports this shift. Bahoo, Cucculelli, Goga, and Mondolo (2024) explain that AI is now used across finance for predictive systems, classification and detection, early warning systems, big data analytics, text mining, credit risk, and fraud detection. Their review also notes that financial institutions are in a strong position to adopt AI because the industry already depends heavily on data, automation, and risk management.</w:t>
      </w:r>
    </w:p>
    <w:p>
      <w:pPr>
        <w:pStyle w:val="Heading2"/>
        <w:rPr/>
      </w:pPr>
      <w:r>
        <w:rPr/>
        <w:t>Case Study Snapshot</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c>
          <w:tcPr>
            <w:tcW w:w="4968" w:type="dxa"/>
            <w:tcBorders/>
            <w:shd w:fill="1F4E79"/>
            <w:vAlign w:val="center"/>
          </w:tcPr>
          <w:p>
            <w:pPr>
              <w:pStyle w:val="Normal"/>
              <w:widowControl/>
              <w:spacing w:before="0" w:after="0"/>
              <w:jc w:val="left"/>
              <w:rPr>
                <w:rFonts w:cs=""/>
                <w:kern w:val="0"/>
                <w:szCs w:val="22"/>
                <w:lang w:val="en-US" w:eastAsia="en-US" w:bidi="ar-SA"/>
              </w:rPr>
            </w:pPr>
            <w:r>
              <w:rPr>
                <w:rFonts w:cs=""/>
                <w:b/>
                <w:color w:val="FFFFFF"/>
                <w:kern w:val="0"/>
                <w:szCs w:val="22"/>
                <w:lang w:val="en-US" w:eastAsia="en-US" w:bidi="ar-SA"/>
              </w:rPr>
              <w:t>Category</w:t>
            </w:r>
          </w:p>
        </w:tc>
        <w:tc>
          <w:tcPr>
            <w:tcW w:w="4967" w:type="dxa"/>
            <w:tcBorders/>
            <w:shd w:fill="1F4E79"/>
            <w:vAlign w:val="center"/>
          </w:tcPr>
          <w:p>
            <w:pPr>
              <w:pStyle w:val="Normal"/>
              <w:widowControl/>
              <w:spacing w:before="0" w:after="0"/>
              <w:jc w:val="left"/>
              <w:rPr>
                <w:rFonts w:cs=""/>
                <w:kern w:val="0"/>
                <w:szCs w:val="22"/>
                <w:lang w:val="en-US" w:eastAsia="en-US" w:bidi="ar-SA"/>
              </w:rPr>
            </w:pPr>
            <w:r>
              <w:rPr>
                <w:rFonts w:cs=""/>
                <w:b/>
                <w:color w:val="FFFFFF"/>
                <w:kern w:val="0"/>
                <w:szCs w:val="22"/>
                <w:lang w:val="en-US" w:eastAsia="en-US" w:bidi="ar-SA"/>
              </w:rPr>
              <w:t>JPMorgan Chase Case Detail</w:t>
            </w:r>
          </w:p>
        </w:tc>
      </w:tr>
      <w:tr>
        <w:trPr/>
        <w:tc>
          <w:tcPr>
            <w:tcW w:w="4968" w:type="dxa"/>
            <w:tcBorders/>
            <w:vAlign w:val="center"/>
          </w:tcPr>
          <w:p>
            <w:pPr>
              <w:pStyle w:val="Normal"/>
              <w:widowControl/>
              <w:spacing w:before="0" w:after="0"/>
              <w:jc w:val="left"/>
              <w:rPr>
                <w:rFonts w:cs=""/>
                <w:kern w:val="0"/>
                <w:szCs w:val="22"/>
                <w:lang w:val="en-US" w:eastAsia="en-US" w:bidi="ar-SA"/>
              </w:rPr>
            </w:pPr>
            <w:r>
              <w:rPr>
                <w:rFonts w:cs=""/>
                <w:b/>
                <w:kern w:val="0"/>
                <w:szCs w:val="22"/>
                <w:lang w:val="en-US" w:eastAsia="en-US" w:bidi="ar-SA"/>
              </w:rPr>
              <w:t>Institution</w:t>
            </w:r>
          </w:p>
        </w:tc>
        <w:tc>
          <w:tcPr>
            <w:tcW w:w="4967" w:type="dxa"/>
            <w:tcBorders/>
            <w:vAlign w:val="center"/>
          </w:tcPr>
          <w:p>
            <w:pPr>
              <w:pStyle w:val="Normal"/>
              <w:widowControl/>
              <w:spacing w:before="0" w:after="0"/>
              <w:jc w:val="left"/>
              <w:rPr>
                <w:rFonts w:cs=""/>
                <w:kern w:val="0"/>
                <w:szCs w:val="22"/>
                <w:lang w:val="en-US" w:eastAsia="en-US" w:bidi="ar-SA"/>
              </w:rPr>
            </w:pPr>
            <w:r>
              <w:rPr>
                <w:rFonts w:cs=""/>
                <w:b w:val="false"/>
                <w:kern w:val="0"/>
                <w:szCs w:val="22"/>
                <w:lang w:val="en-US" w:eastAsia="en-US" w:bidi="ar-SA"/>
              </w:rPr>
              <w:t>JPMorgan Chase &amp; Co.</w:t>
            </w:r>
          </w:p>
        </w:tc>
      </w:tr>
      <w:tr>
        <w:trPr/>
        <w:tc>
          <w:tcPr>
            <w:tcW w:w="4968" w:type="dxa"/>
            <w:tcBorders/>
            <w:vAlign w:val="center"/>
          </w:tcPr>
          <w:p>
            <w:pPr>
              <w:pStyle w:val="Normal"/>
              <w:widowControl/>
              <w:spacing w:before="0" w:after="0"/>
              <w:jc w:val="left"/>
              <w:rPr>
                <w:rFonts w:cs=""/>
                <w:kern w:val="0"/>
                <w:szCs w:val="22"/>
                <w:lang w:val="en-US" w:eastAsia="en-US" w:bidi="ar-SA"/>
              </w:rPr>
            </w:pPr>
            <w:r>
              <w:rPr>
                <w:rFonts w:cs=""/>
                <w:b/>
                <w:kern w:val="0"/>
                <w:szCs w:val="22"/>
                <w:lang w:val="en-US" w:eastAsia="en-US" w:bidi="ar-SA"/>
              </w:rPr>
              <w:t>Fraud problem</w:t>
            </w:r>
          </w:p>
        </w:tc>
        <w:tc>
          <w:tcPr>
            <w:tcW w:w="4967" w:type="dxa"/>
            <w:tcBorders/>
            <w:vAlign w:val="center"/>
          </w:tcPr>
          <w:p>
            <w:pPr>
              <w:pStyle w:val="Normal"/>
              <w:widowControl/>
              <w:spacing w:before="0" w:after="0"/>
              <w:jc w:val="left"/>
              <w:rPr>
                <w:rFonts w:cs=""/>
                <w:kern w:val="0"/>
                <w:szCs w:val="22"/>
                <w:lang w:val="en-US" w:eastAsia="en-US" w:bidi="ar-SA"/>
              </w:rPr>
            </w:pPr>
            <w:r>
              <w:rPr>
                <w:rFonts w:cs=""/>
                <w:b w:val="false"/>
                <w:kern w:val="0"/>
                <w:szCs w:val="22"/>
                <w:lang w:val="en-US" w:eastAsia="en-US" w:bidi="ar-SA"/>
              </w:rPr>
              <w:t>Business email compromise, suspicious payments, sanctions-screening issues, new-account risk, and behavior-based fraud patterns.</w:t>
            </w:r>
          </w:p>
        </w:tc>
      </w:tr>
      <w:tr>
        <w:trPr/>
        <w:tc>
          <w:tcPr>
            <w:tcW w:w="4968" w:type="dxa"/>
            <w:tcBorders/>
            <w:vAlign w:val="center"/>
          </w:tcPr>
          <w:p>
            <w:pPr>
              <w:pStyle w:val="Normal"/>
              <w:widowControl/>
              <w:spacing w:before="0" w:after="0"/>
              <w:jc w:val="left"/>
              <w:rPr>
                <w:rFonts w:cs=""/>
                <w:kern w:val="0"/>
                <w:szCs w:val="22"/>
                <w:lang w:val="en-US" w:eastAsia="en-US" w:bidi="ar-SA"/>
              </w:rPr>
            </w:pPr>
            <w:r>
              <w:rPr>
                <w:rFonts w:cs=""/>
                <w:b/>
                <w:kern w:val="0"/>
                <w:szCs w:val="22"/>
                <w:lang w:val="en-US" w:eastAsia="en-US" w:bidi="ar-SA"/>
              </w:rPr>
              <w:t>Main AI tools</w:t>
            </w:r>
          </w:p>
        </w:tc>
        <w:tc>
          <w:tcPr>
            <w:tcW w:w="4967" w:type="dxa"/>
            <w:tcBorders/>
            <w:vAlign w:val="center"/>
          </w:tcPr>
          <w:p>
            <w:pPr>
              <w:pStyle w:val="Normal"/>
              <w:widowControl/>
              <w:spacing w:before="0" w:after="0"/>
              <w:jc w:val="left"/>
              <w:rPr>
                <w:rFonts w:cs=""/>
                <w:kern w:val="0"/>
                <w:szCs w:val="22"/>
                <w:lang w:val="en-US" w:eastAsia="en-US" w:bidi="ar-SA"/>
              </w:rPr>
            </w:pPr>
            <w:r>
              <w:rPr>
                <w:rFonts w:cs=""/>
                <w:b w:val="false"/>
                <w:kern w:val="0"/>
                <w:szCs w:val="22"/>
                <w:lang w:val="en-US" w:eastAsia="en-US" w:bidi="ar-SA"/>
              </w:rPr>
              <w:t>Machine learning, large language models, entity extraction, anomaly detection, behavior analysis, and risk-scoring models.</w:t>
            </w:r>
          </w:p>
        </w:tc>
      </w:tr>
      <w:tr>
        <w:trPr/>
        <w:tc>
          <w:tcPr>
            <w:tcW w:w="4968" w:type="dxa"/>
            <w:tcBorders/>
            <w:vAlign w:val="center"/>
          </w:tcPr>
          <w:p>
            <w:pPr>
              <w:pStyle w:val="Normal"/>
              <w:widowControl/>
              <w:spacing w:before="0" w:after="0"/>
              <w:jc w:val="left"/>
              <w:rPr>
                <w:rFonts w:cs=""/>
                <w:kern w:val="0"/>
                <w:szCs w:val="22"/>
                <w:lang w:val="en-US" w:eastAsia="en-US" w:bidi="ar-SA"/>
              </w:rPr>
            </w:pPr>
            <w:r>
              <w:rPr>
                <w:rFonts w:cs=""/>
                <w:b/>
                <w:kern w:val="0"/>
                <w:szCs w:val="22"/>
                <w:lang w:val="en-US" w:eastAsia="en-US" w:bidi="ar-SA"/>
              </w:rPr>
              <w:t>Data approach</w:t>
            </w:r>
          </w:p>
        </w:tc>
        <w:tc>
          <w:tcPr>
            <w:tcW w:w="4967" w:type="dxa"/>
            <w:tcBorders/>
            <w:vAlign w:val="center"/>
          </w:tcPr>
          <w:p>
            <w:pPr>
              <w:pStyle w:val="Normal"/>
              <w:widowControl/>
              <w:spacing w:before="0" w:after="0"/>
              <w:jc w:val="left"/>
              <w:rPr>
                <w:rFonts w:cs=""/>
                <w:kern w:val="0"/>
                <w:szCs w:val="22"/>
                <w:lang w:val="en-US" w:eastAsia="en-US" w:bidi="ar-SA"/>
              </w:rPr>
            </w:pPr>
            <w:r>
              <w:rPr>
                <w:rFonts w:cs=""/>
                <w:b w:val="false"/>
                <w:kern w:val="0"/>
                <w:szCs w:val="22"/>
                <w:lang w:val="en-US" w:eastAsia="en-US" w:bidi="ar-SA"/>
              </w:rPr>
              <w:t>The bank emphasizes using audited, validated data within its ecosystem instead of relying blindly on broad public internet data.</w:t>
            </w:r>
          </w:p>
        </w:tc>
      </w:tr>
      <w:tr>
        <w:trPr/>
        <w:tc>
          <w:tcPr>
            <w:tcW w:w="4968" w:type="dxa"/>
            <w:tcBorders/>
            <w:vAlign w:val="center"/>
          </w:tcPr>
          <w:p>
            <w:pPr>
              <w:pStyle w:val="Normal"/>
              <w:widowControl/>
              <w:spacing w:before="0" w:after="0"/>
              <w:jc w:val="left"/>
              <w:rPr>
                <w:rFonts w:cs=""/>
                <w:kern w:val="0"/>
                <w:szCs w:val="22"/>
                <w:lang w:val="en-US" w:eastAsia="en-US" w:bidi="ar-SA"/>
              </w:rPr>
            </w:pPr>
            <w:r>
              <w:rPr>
                <w:rFonts w:cs=""/>
                <w:b/>
                <w:kern w:val="0"/>
                <w:szCs w:val="22"/>
                <w:lang w:val="en-US" w:eastAsia="en-US" w:bidi="ar-SA"/>
              </w:rPr>
              <w:t>Human role</w:t>
            </w:r>
          </w:p>
        </w:tc>
        <w:tc>
          <w:tcPr>
            <w:tcW w:w="4967" w:type="dxa"/>
            <w:tcBorders/>
            <w:vAlign w:val="center"/>
          </w:tcPr>
          <w:p>
            <w:pPr>
              <w:pStyle w:val="Normal"/>
              <w:widowControl/>
              <w:spacing w:before="0" w:after="0"/>
              <w:jc w:val="left"/>
              <w:rPr>
                <w:rFonts w:cs=""/>
                <w:kern w:val="0"/>
                <w:szCs w:val="22"/>
                <w:lang w:val="en-US" w:eastAsia="en-US" w:bidi="ar-SA"/>
              </w:rPr>
            </w:pPr>
            <w:r>
              <w:rPr>
                <w:rFonts w:cs=""/>
                <w:b w:val="false"/>
                <w:kern w:val="0"/>
                <w:szCs w:val="22"/>
                <w:lang w:val="en-US" w:eastAsia="en-US" w:bidi="ar-SA"/>
              </w:rPr>
              <w:t>Fraud professionals investigate alerts, verify unusual activity, and continue improving model performance.</w:t>
            </w:r>
          </w:p>
        </w:tc>
      </w:tr>
    </w:tbl>
    <w:p>
      <w:pPr>
        <w:pStyle w:val="Heading1"/>
        <w:rPr/>
      </w:pPr>
      <w:r>
        <w:rPr/>
        <w:t>Technology Overview</w:t>
      </w:r>
    </w:p>
    <w:p>
      <w:pPr>
        <w:pStyle w:val="Normal"/>
        <w:rPr/>
      </w:pPr>
      <w:r>
        <w:rPr/>
        <w:t>JPMorgan Chase’s fraud-detection approach is best understood as a layered system. Earlier fraud systems relied on business rules and decision trees. For example, a rules-based system might flag a wire transfer above a specific dollar amount or a payment going to a new beneficiary. Those controls are still useful, but they are limited because they depend on predefined conditions. Machine learning improves this by learning patterns from data and assigning risk scores based on combinations of variables.</w:t>
      </w:r>
    </w:p>
    <w:p>
      <w:pPr>
        <w:pStyle w:val="Normal"/>
        <w:rPr/>
      </w:pPr>
      <w:r>
        <w:rPr/>
        <w:t>The most notable technology in this case is the use of large language models. Large language models are designed to process and interpret large amounts of text. In the JPMorgan Chase case, they are useful because business email compromise often starts with language: a fraudulent email may claim that a vendor has changed bank accounts, that a payment must be rushed, or that a recipient should use a fake but convincing website. AI can examine patterns in emails, payment instructions, names, entities, and context to identify signs that something is not normal.</w:t>
      </w:r>
    </w:p>
    <w:p>
      <w:pPr>
        <w:pStyle w:val="Normal"/>
        <w:rPr/>
      </w:pPr>
      <w:r>
        <w:rPr/>
        <w:t>Entity extraction is another key part of the system. Entity extraction means identifying names of people, companies, accounts, vessels, addresses, or other important objects from unstructured text. Once the system extracts those entities, it can compare them across payment instructions, sanctions lists, historical records, customer profiles, and other internal data sources. This helps the bank distinguish between a real match and a false positive. For example, a model may determine that a word appearing in a sanctions-related list is actually part of a street address rather than a sanctioned entity.</w:t>
      </w:r>
    </w:p>
    <w:p>
      <w:pPr>
        <w:pStyle w:val="Normal"/>
        <w:rPr/>
      </w:pPr>
      <w:r>
        <w:rPr/>
        <w:t>Behavioral analytics also matters. JPMorgan Chase uses many models that examine payment behavior, account behavior, new-account activity, and other risk signals. A transaction may be suspicious not simply because of its size, but because it differs from the customer’s normal payment pattern, destination, timing, or relationship history. This creates a more flexible fraud-detection process than one based only on fixed rules.</w:t>
      </w:r>
    </w:p>
    <w:p>
      <w:pPr>
        <w:pStyle w:val="Heading2"/>
        <w:rPr/>
      </w:pPr>
      <w:r>
        <w:rPr/>
        <w:t>How the AI Detection Process Works</w:t>
      </w:r>
    </w:p>
    <w:p>
      <w:pPr>
        <w:pStyle w:val="ListNumber"/>
        <w:numPr>
          <w:ilvl w:val="0"/>
          <w:numId w:val="4"/>
        </w:numPr>
        <w:rPr/>
      </w:pPr>
      <w:r>
        <w:rPr/>
        <w:t>Data enters the system from emails, payment instructions, customer behavior, account activity, sanctions screening, and transaction records.</w:t>
      </w:r>
    </w:p>
    <w:p>
      <w:pPr>
        <w:pStyle w:val="ListNumber"/>
        <w:numPr>
          <w:ilvl w:val="0"/>
          <w:numId w:val="4"/>
        </w:numPr>
        <w:rPr/>
      </w:pPr>
      <w:r>
        <w:rPr/>
        <w:t>The AI system extracts important entities such as names, organizations, accounts, locations, and payment details.</w:t>
      </w:r>
    </w:p>
    <w:p>
      <w:pPr>
        <w:pStyle w:val="ListNumber"/>
        <w:numPr>
          <w:ilvl w:val="0"/>
          <w:numId w:val="4"/>
        </w:numPr>
        <w:rPr/>
      </w:pPr>
      <w:r>
        <w:rPr/>
        <w:t>Machine learning models compare current activity against historical patterns and known fraud signals.</w:t>
      </w:r>
    </w:p>
    <w:p>
      <w:pPr>
        <w:pStyle w:val="ListNumber"/>
        <w:numPr>
          <w:ilvl w:val="0"/>
          <w:numId w:val="4"/>
        </w:numPr>
        <w:rPr/>
      </w:pPr>
      <w:r>
        <w:rPr/>
        <w:t>Large language models analyze text context and associations, especially in situations involving business email compromise or complex payment instructions.</w:t>
      </w:r>
    </w:p>
    <w:p>
      <w:pPr>
        <w:pStyle w:val="ListNumber"/>
        <w:numPr>
          <w:ilvl w:val="0"/>
          <w:numId w:val="4"/>
        </w:numPr>
        <w:rPr/>
      </w:pPr>
      <w:r>
        <w:rPr/>
        <w:t>The system generates a risk signal or alert when behavior appears unusual or inconsistent.</w:t>
      </w:r>
    </w:p>
    <w:p>
      <w:pPr>
        <w:pStyle w:val="ListNumber"/>
        <w:numPr>
          <w:ilvl w:val="0"/>
          <w:numId w:val="4"/>
        </w:numPr>
        <w:rPr/>
      </w:pPr>
      <w:r>
        <w:rPr/>
        <w:t>Human fraud teams review higher-risk cases, contact clients when needed, and update controls as criminals change tactics.</w:t>
      </w:r>
    </w:p>
    <w:p>
      <w:pPr>
        <w:pStyle w:val="Heading1"/>
        <w:rPr/>
      </w:pPr>
      <w:r>
        <w:rPr/>
        <w:t>Benefits of AI Fraud Detection</w:t>
      </w:r>
    </w:p>
    <w:p>
      <w:pPr>
        <w:pStyle w:val="Normal"/>
        <w:rPr/>
      </w:pPr>
      <w:r>
        <w:rPr/>
        <w:t>The first benefit is speed. Large banks process huge numbers of transactions and communications every day. Manual review alone cannot keep up with that volume. AI allows JPMorgan Chase to scan large sets of structured and unstructured data quickly, identify unusual patterns, and prioritize the cases that require human attention.</w:t>
      </w:r>
    </w:p>
    <w:p>
      <w:pPr>
        <w:pStyle w:val="Normal"/>
        <w:rPr/>
      </w:pPr>
      <w:r>
        <w:rPr/>
        <w:t>The second benefit is contextual understanding. Fraud is not always obvious from one transaction field. Business email compromise may involve a legitimate-looking vendor name, a familiar contact, and a believable explanation. Large language models can examine nearby and distant patterns in text, helping the system understand the context and relationship between payment instructions, emails, names, and entities.</w:t>
      </w:r>
    </w:p>
    <w:p>
      <w:pPr>
        <w:pStyle w:val="Normal"/>
        <w:rPr/>
      </w:pPr>
      <w:r>
        <w:rPr/>
        <w:t>The third benefit is improved detection across multiple fraud types. JPMorgan Chase uses hundreds of models to examine behavior, payment risk, new-account risk, and other signals. This matters because fraud does not happen in only one channel. A strong fraud program must connect signals across email, accounts, payment rails, customer activity, and external risk indicators.</w:t>
      </w:r>
    </w:p>
    <w:p>
      <w:pPr>
        <w:pStyle w:val="Normal"/>
        <w:rPr/>
      </w:pPr>
      <w:r>
        <w:rPr/>
        <w:t>The fourth benefit is fewer unnecessary interruptions. Fraud systems can create false positives, meaning they flag legitimate activity as suspicious. False positives can frustrate customers and waste staff time. AI can reduce this problem by using more context before raising an alert. The Swift example in the source article also shows how AI can support pre-validation, anomaly detection, transaction scoring, and trend analysis in payment networks, which demonstrates why this technology is valuable across the wider financial ecosystem.</w:t>
      </w:r>
    </w:p>
    <w:p>
      <w:pPr>
        <w:pStyle w:val="Normal"/>
        <w:rPr/>
      </w:pPr>
      <w:r>
        <w:rPr/>
        <w:t>A broader benefit is strategic resilience. Bahoo et al. (2024) found that AI-based classification, detection, and early-warning systems are major applications in finance. They also explain that AI can support credit risk, fraud detection, bankruptcy prediction, systemic-risk monitoring, and market surveillance. This means the same general capabilities that help JPMorgan Chase fight fraud can also support wider risk management across the financial sector.</w:t>
      </w:r>
    </w:p>
    <w:p>
      <w:pPr>
        <w:pStyle w:val="Heading1"/>
        <w:rPr/>
      </w:pPr>
      <w:r>
        <w:rPr/>
        <w:t>Challenges and Limitations</w:t>
      </w:r>
    </w:p>
    <w:p>
      <w:pPr>
        <w:pStyle w:val="Normal"/>
        <w:rPr/>
      </w:pPr>
      <w:r>
        <w:rPr/>
        <w:t>The first challenge is data quality. AI models are only as reliable as the data used to train and operate them. JPMorgan Chase’s approach emphasizes using internal ecosystem data that has been audited, validated, and treated as trustworthy. This is important because general internet data can contain inaccurate, outdated, biased, or fabricated information. In fraud detection, wrong data can lead to missed fraud or unnecessary customer friction.</w:t>
      </w:r>
    </w:p>
    <w:p>
      <w:pPr>
        <w:pStyle w:val="Normal"/>
        <w:rPr/>
      </w:pPr>
      <w:r>
        <w:rPr/>
        <w:t>The second challenge is explainability. Many AI and deep learning systems are difficult to interpret. In financial services, this is a serious issue because banks need to explain decisions to regulators, auditors, customers, and internal risk teams. A model that flags a transaction must be supported by enough evidence for a human investigator to understand why the alert occurred.</w:t>
      </w:r>
    </w:p>
    <w:p>
      <w:pPr>
        <w:pStyle w:val="Normal"/>
        <w:rPr/>
      </w:pPr>
      <w:r>
        <w:rPr/>
        <w:t>The third challenge is adversarial AI. Criminals can also use AI to write more convincing scam emails, imitate voices, generate realistic images, automate social engineering, or test which fraud messages bypass detection systems. This creates an arms race: as financial institutions improve their models, fraudsters also improve their tactics. JPMorgan Chase leaders describe this as a constant challenge requiring ongoing investment, research, and model improvement.</w:t>
      </w:r>
    </w:p>
    <w:p>
      <w:pPr>
        <w:pStyle w:val="Normal"/>
        <w:rPr/>
      </w:pPr>
      <w:r>
        <w:rPr/>
        <w:t>The fourth challenge is operational lift. AI fraud systems do not work perfectly on day one. They require training data, model tuning, human feedback, monitoring, governance, and updates. If a model is trained on incomplete or poor-quality examples, it may miss important fraud patterns. If it is too sensitive, it may create too many alerts. Successful implementation requires both technical expertise and fraud-domain knowledge.</w:t>
      </w:r>
    </w:p>
    <w:p>
      <w:pPr>
        <w:pStyle w:val="Normal"/>
        <w:rPr/>
      </w:pPr>
      <w:r>
        <w:rPr/>
        <w:t>The fifth challenge is ethics and privacy. Fraud detection requires the analysis of sensitive financial and behavioral data. Banks must balance security with privacy, data minimization, fairness, and customer rights. AI systems should be monitored for bias so that certain customers, businesses, locations, or transaction types are not unfairly flagged. Strong governance is necessary because fraud prevention is high-stakes: mistakes can block legitimate transactions or fail to prevent serious financial harm.</w:t>
      </w:r>
    </w:p>
    <w:p>
      <w:pPr>
        <w:pStyle w:val="Heading1"/>
        <w:rPr/>
      </w:pPr>
      <w:r>
        <w:rPr/>
        <w:t>Recommendations for Financial Institutions</w:t>
      </w:r>
    </w:p>
    <w:p>
      <w:pPr>
        <w:pStyle w:val="Normal"/>
        <w:rPr/>
      </w:pPr>
      <w:r>
        <w:rPr>
          <w:b/>
        </w:rPr>
        <w:t xml:space="preserve">Use a layered fraud strategy. </w:t>
      </w:r>
      <w:r>
        <w:rPr/>
        <w:t>AI should support, not replace, existing controls such as rules, transaction limits, customer verification, employee training, and human investigation.</w:t>
      </w:r>
    </w:p>
    <w:p>
      <w:pPr>
        <w:pStyle w:val="Normal"/>
        <w:rPr/>
      </w:pPr>
      <w:r>
        <w:rPr>
          <w:b/>
        </w:rPr>
        <w:t xml:space="preserve">Prioritize data governance. </w:t>
      </w:r>
      <w:r>
        <w:rPr/>
        <w:t>Institutions should train models on validated, secure, and relevant data. Data lineage, auditing, and quality checks should be documented.</w:t>
      </w:r>
    </w:p>
    <w:p>
      <w:pPr>
        <w:pStyle w:val="Normal"/>
        <w:rPr/>
      </w:pPr>
      <w:r>
        <w:rPr>
          <w:b/>
        </w:rPr>
        <w:t xml:space="preserve">Keep humans in the loop. </w:t>
      </w:r>
      <w:r>
        <w:rPr/>
        <w:t>Human fraud specialists should review high-risk cases, provide feedback, and help interpret model outputs.</w:t>
      </w:r>
    </w:p>
    <w:p>
      <w:pPr>
        <w:pStyle w:val="Normal"/>
        <w:rPr/>
      </w:pPr>
      <w:r>
        <w:rPr>
          <w:b/>
        </w:rPr>
        <w:t xml:space="preserve">Measure both fraud capture and customer friction. </w:t>
      </w:r>
      <w:r>
        <w:rPr/>
        <w:t>A model should be judged not only by how much fraud it catches, but also by how many legitimate customers it inconveniences.</w:t>
      </w:r>
    </w:p>
    <w:p>
      <w:pPr>
        <w:pStyle w:val="Normal"/>
        <w:rPr/>
      </w:pPr>
      <w:r>
        <w:rPr>
          <w:b/>
        </w:rPr>
        <w:t xml:space="preserve">Prepare for adversarial AI. </w:t>
      </w:r>
      <w:r>
        <w:rPr/>
        <w:t>Banks should assume criminals will use generative AI and should invest in deepfake detection, behavior analytics, phishing detection, and cross-industry intelligence sharing.</w:t>
      </w:r>
    </w:p>
    <w:p>
      <w:pPr>
        <w:pStyle w:val="Heading1"/>
        <w:rPr/>
      </w:pPr>
      <w:r>
        <w:rPr/>
        <w:t>Conclusion</w:t>
      </w:r>
    </w:p>
    <w:p>
      <w:pPr>
        <w:pStyle w:val="Normal"/>
        <w:rPr/>
      </w:pPr>
      <w:r>
        <w:rPr/>
        <w:t>JPMorgan Chase’s use of AI for fraud detection shows how financial institutions are moving beyond simple rules toward more advanced, context-aware systems. The bank uses machine learning, large language models, entity extraction, and behavior-based models to detect business email compromise, suspicious payment instructions, sanctions-screening issues, new-account risk, and other fraud signals. The strongest lesson from this case is that AI works best as part of a larger fraud-control ecosystem that includes validated data, human review, governance, customer verification, and continuous improvement.</w:t>
      </w:r>
    </w:p>
    <w:p>
      <w:pPr>
        <w:pStyle w:val="Normal"/>
        <w:rPr/>
      </w:pPr>
      <w:r>
        <w:rPr/>
        <w:t>For other financial institutions, the opportunity is clear: AI can improve speed, scale, and accuracy in fraud detection. However, the risks are also real. Poor data, weak governance, black-box models, privacy concerns, and adversarial AI can undermine the value of the technology. Institutions considering similar implementations should start with well-defined fraud problems, build strong data controls, test models carefully, monitor for fairness and false positives, and treat AI as a long-term capability rather than a one-time software purchase.</w:t>
      </w:r>
    </w:p>
    <w:p>
      <w:pPr>
        <w:pStyle w:val="Heading1"/>
        <w:rPr/>
      </w:pPr>
      <w:r>
        <w:rPr/>
        <w:t>Group Collaboration Plan</w:t>
      </w:r>
    </w:p>
    <w:p>
      <w:pPr>
        <w:pStyle w:val="Normal"/>
        <w:rPr/>
      </w:pPr>
      <w:r>
        <w:rPr/>
        <w:t>For a group submission, the following structure can be used to show balanced participation. Replace the placeholders with actual names before submission.</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12"/>
        <w:gridCol w:w="3312"/>
        <w:gridCol w:w="3312"/>
      </w:tblGrid>
      <w:tr>
        <w:trPr/>
        <w:tc>
          <w:tcPr>
            <w:tcW w:w="3312" w:type="dxa"/>
            <w:tcBorders/>
            <w:shd w:fill="1F4E79"/>
            <w:vAlign w:val="center"/>
          </w:tcPr>
          <w:p>
            <w:pPr>
              <w:pStyle w:val="Normal"/>
              <w:widowControl/>
              <w:spacing w:before="0" w:after="0"/>
              <w:jc w:val="left"/>
              <w:rPr>
                <w:rFonts w:cs=""/>
                <w:kern w:val="0"/>
                <w:szCs w:val="22"/>
                <w:lang w:val="en-US" w:eastAsia="en-US" w:bidi="ar-SA"/>
              </w:rPr>
            </w:pPr>
            <w:r>
              <w:rPr>
                <w:rFonts w:cs=""/>
                <w:b/>
                <w:color w:val="FFFFFF"/>
                <w:kern w:val="0"/>
                <w:szCs w:val="22"/>
                <w:lang w:val="en-US" w:eastAsia="en-US" w:bidi="ar-SA"/>
              </w:rPr>
              <w:t>Group Member</w:t>
            </w:r>
          </w:p>
        </w:tc>
        <w:tc>
          <w:tcPr>
            <w:tcW w:w="3312" w:type="dxa"/>
            <w:tcBorders/>
            <w:shd w:fill="1F4E79"/>
            <w:vAlign w:val="center"/>
          </w:tcPr>
          <w:p>
            <w:pPr>
              <w:pStyle w:val="Normal"/>
              <w:widowControl/>
              <w:spacing w:before="0" w:after="0"/>
              <w:jc w:val="left"/>
              <w:rPr>
                <w:rFonts w:cs=""/>
                <w:kern w:val="0"/>
                <w:szCs w:val="22"/>
                <w:lang w:val="en-US" w:eastAsia="en-US" w:bidi="ar-SA"/>
              </w:rPr>
            </w:pPr>
            <w:r>
              <w:rPr>
                <w:rFonts w:cs=""/>
                <w:b/>
                <w:color w:val="FFFFFF"/>
                <w:kern w:val="0"/>
                <w:szCs w:val="22"/>
                <w:lang w:val="en-US" w:eastAsia="en-US" w:bidi="ar-SA"/>
              </w:rPr>
              <w:t>Assigned Section</w:t>
            </w:r>
          </w:p>
        </w:tc>
        <w:tc>
          <w:tcPr>
            <w:tcW w:w="3312" w:type="dxa"/>
            <w:tcBorders/>
            <w:shd w:fill="1F4E79"/>
            <w:vAlign w:val="center"/>
          </w:tcPr>
          <w:p>
            <w:pPr>
              <w:pStyle w:val="Normal"/>
              <w:widowControl/>
              <w:spacing w:before="0" w:after="0"/>
              <w:jc w:val="left"/>
              <w:rPr>
                <w:rFonts w:cs=""/>
                <w:kern w:val="0"/>
                <w:szCs w:val="22"/>
                <w:lang w:val="en-US" w:eastAsia="en-US" w:bidi="ar-SA"/>
              </w:rPr>
            </w:pPr>
            <w:r>
              <w:rPr>
                <w:rFonts w:cs=""/>
                <w:b/>
                <w:color w:val="FFFFFF"/>
                <w:kern w:val="0"/>
                <w:szCs w:val="22"/>
                <w:lang w:val="en-US" w:eastAsia="en-US" w:bidi="ar-SA"/>
              </w:rPr>
              <w:t>Contribution Evidence</w:t>
            </w:r>
          </w:p>
        </w:tc>
      </w:tr>
      <w:tr>
        <w:trPr/>
        <w:tc>
          <w:tcPr>
            <w:tcW w:w="3312" w:type="dxa"/>
            <w:tcBorders/>
            <w:vAlign w:val="center"/>
          </w:tcPr>
          <w:p>
            <w:pPr>
              <w:pStyle w:val="Normal"/>
              <w:widowControl/>
              <w:spacing w:before="0" w:after="0"/>
              <w:jc w:val="left"/>
              <w:rPr>
                <w:rFonts w:cs=""/>
                <w:kern w:val="0"/>
                <w:szCs w:val="22"/>
                <w:lang w:val="en-US" w:eastAsia="en-US" w:bidi="ar-SA"/>
              </w:rPr>
            </w:pPr>
            <w:r>
              <w:rPr>
                <w:rFonts w:cs=""/>
                <w:b w:val="false"/>
                <w:kern w:val="0"/>
                <w:szCs w:val="22"/>
                <w:lang w:val="en-US" w:eastAsia="en-US" w:bidi="ar-SA"/>
              </w:rPr>
              <w:t>Member 1</w:t>
            </w:r>
          </w:p>
        </w:tc>
        <w:tc>
          <w:tcPr>
            <w:tcW w:w="3312" w:type="dxa"/>
            <w:tcBorders/>
            <w:vAlign w:val="center"/>
          </w:tcPr>
          <w:p>
            <w:pPr>
              <w:pStyle w:val="Normal"/>
              <w:widowControl/>
              <w:spacing w:before="0" w:after="0"/>
              <w:jc w:val="left"/>
              <w:rPr>
                <w:rFonts w:cs=""/>
                <w:kern w:val="0"/>
                <w:szCs w:val="22"/>
                <w:lang w:val="en-US" w:eastAsia="en-US" w:bidi="ar-SA"/>
              </w:rPr>
            </w:pPr>
            <w:r>
              <w:rPr>
                <w:rFonts w:cs=""/>
                <w:b w:val="false"/>
                <w:kern w:val="0"/>
                <w:szCs w:val="22"/>
                <w:lang w:val="en-US" w:eastAsia="en-US" w:bidi="ar-SA"/>
              </w:rPr>
              <w:t>Introduction and institution background</w:t>
            </w:r>
          </w:p>
        </w:tc>
        <w:tc>
          <w:tcPr>
            <w:tcW w:w="3312" w:type="dxa"/>
            <w:tcBorders/>
            <w:vAlign w:val="center"/>
          </w:tcPr>
          <w:p>
            <w:pPr>
              <w:pStyle w:val="Normal"/>
              <w:widowControl/>
              <w:spacing w:before="0" w:after="0"/>
              <w:jc w:val="left"/>
              <w:rPr>
                <w:rFonts w:cs=""/>
                <w:kern w:val="0"/>
                <w:szCs w:val="22"/>
                <w:lang w:val="en-US" w:eastAsia="en-US" w:bidi="ar-SA"/>
              </w:rPr>
            </w:pPr>
            <w:r>
              <w:rPr>
                <w:rFonts w:cs=""/>
                <w:b w:val="false"/>
                <w:kern w:val="0"/>
                <w:szCs w:val="22"/>
                <w:lang w:val="en-US" w:eastAsia="en-US" w:bidi="ar-SA"/>
              </w:rPr>
              <w:t>Drafted overview and reviewed APA citations.</w:t>
            </w:r>
          </w:p>
        </w:tc>
      </w:tr>
      <w:tr>
        <w:trPr/>
        <w:tc>
          <w:tcPr>
            <w:tcW w:w="3312" w:type="dxa"/>
            <w:tcBorders/>
            <w:vAlign w:val="center"/>
          </w:tcPr>
          <w:p>
            <w:pPr>
              <w:pStyle w:val="Normal"/>
              <w:widowControl/>
              <w:spacing w:before="0" w:after="0"/>
              <w:jc w:val="left"/>
              <w:rPr>
                <w:rFonts w:cs=""/>
                <w:kern w:val="0"/>
                <w:szCs w:val="22"/>
                <w:lang w:val="en-US" w:eastAsia="en-US" w:bidi="ar-SA"/>
              </w:rPr>
            </w:pPr>
            <w:r>
              <w:rPr>
                <w:rFonts w:cs=""/>
                <w:b w:val="false"/>
                <w:kern w:val="0"/>
                <w:szCs w:val="22"/>
                <w:lang w:val="en-US" w:eastAsia="en-US" w:bidi="ar-SA"/>
              </w:rPr>
              <w:t>Member 2</w:t>
            </w:r>
          </w:p>
        </w:tc>
        <w:tc>
          <w:tcPr>
            <w:tcW w:w="3312" w:type="dxa"/>
            <w:tcBorders/>
            <w:vAlign w:val="center"/>
          </w:tcPr>
          <w:p>
            <w:pPr>
              <w:pStyle w:val="Normal"/>
              <w:widowControl/>
              <w:spacing w:before="0" w:after="0"/>
              <w:jc w:val="left"/>
              <w:rPr>
                <w:rFonts w:cs=""/>
                <w:kern w:val="0"/>
                <w:szCs w:val="22"/>
                <w:lang w:val="en-US" w:eastAsia="en-US" w:bidi="ar-SA"/>
              </w:rPr>
            </w:pPr>
            <w:r>
              <w:rPr>
                <w:rFonts w:cs=""/>
                <w:b w:val="false"/>
                <w:kern w:val="0"/>
                <w:szCs w:val="22"/>
                <w:lang w:val="en-US" w:eastAsia="en-US" w:bidi="ar-SA"/>
              </w:rPr>
              <w:t>Technology overview</w:t>
            </w:r>
          </w:p>
        </w:tc>
        <w:tc>
          <w:tcPr>
            <w:tcW w:w="3312" w:type="dxa"/>
            <w:tcBorders/>
            <w:vAlign w:val="center"/>
          </w:tcPr>
          <w:p>
            <w:pPr>
              <w:pStyle w:val="Normal"/>
              <w:widowControl/>
              <w:spacing w:before="0" w:after="0"/>
              <w:jc w:val="left"/>
              <w:rPr>
                <w:rFonts w:cs=""/>
                <w:kern w:val="0"/>
                <w:szCs w:val="22"/>
                <w:lang w:val="en-US" w:eastAsia="en-US" w:bidi="ar-SA"/>
              </w:rPr>
            </w:pPr>
            <w:r>
              <w:rPr>
                <w:rFonts w:cs=""/>
                <w:b w:val="false"/>
                <w:kern w:val="0"/>
                <w:szCs w:val="22"/>
                <w:lang w:val="en-US" w:eastAsia="en-US" w:bidi="ar-SA"/>
              </w:rPr>
              <w:t>Explained AI tools, model workflow, and detection process.</w:t>
            </w:r>
          </w:p>
        </w:tc>
      </w:tr>
      <w:tr>
        <w:trPr/>
        <w:tc>
          <w:tcPr>
            <w:tcW w:w="3312" w:type="dxa"/>
            <w:tcBorders/>
            <w:vAlign w:val="center"/>
          </w:tcPr>
          <w:p>
            <w:pPr>
              <w:pStyle w:val="Normal"/>
              <w:widowControl/>
              <w:spacing w:before="0" w:after="0"/>
              <w:jc w:val="left"/>
              <w:rPr>
                <w:rFonts w:cs=""/>
                <w:kern w:val="0"/>
                <w:szCs w:val="22"/>
                <w:lang w:val="en-US" w:eastAsia="en-US" w:bidi="ar-SA"/>
              </w:rPr>
            </w:pPr>
            <w:r>
              <w:rPr>
                <w:rFonts w:cs=""/>
                <w:b w:val="false"/>
                <w:kern w:val="0"/>
                <w:szCs w:val="22"/>
                <w:lang w:val="en-US" w:eastAsia="en-US" w:bidi="ar-SA"/>
              </w:rPr>
              <w:t>Member 3</w:t>
            </w:r>
          </w:p>
        </w:tc>
        <w:tc>
          <w:tcPr>
            <w:tcW w:w="3312" w:type="dxa"/>
            <w:tcBorders/>
            <w:vAlign w:val="center"/>
          </w:tcPr>
          <w:p>
            <w:pPr>
              <w:pStyle w:val="Normal"/>
              <w:widowControl/>
              <w:spacing w:before="0" w:after="0"/>
              <w:jc w:val="left"/>
              <w:rPr>
                <w:rFonts w:cs=""/>
                <w:kern w:val="0"/>
                <w:szCs w:val="22"/>
                <w:lang w:val="en-US" w:eastAsia="en-US" w:bidi="ar-SA"/>
              </w:rPr>
            </w:pPr>
            <w:r>
              <w:rPr>
                <w:rFonts w:cs=""/>
                <w:b w:val="false"/>
                <w:kern w:val="0"/>
                <w:szCs w:val="22"/>
                <w:lang w:val="en-US" w:eastAsia="en-US" w:bidi="ar-SA"/>
              </w:rPr>
              <w:t>Benefits and quantitative/qualitative impact</w:t>
            </w:r>
          </w:p>
        </w:tc>
        <w:tc>
          <w:tcPr>
            <w:tcW w:w="3312" w:type="dxa"/>
            <w:tcBorders/>
            <w:vAlign w:val="center"/>
          </w:tcPr>
          <w:p>
            <w:pPr>
              <w:pStyle w:val="Normal"/>
              <w:widowControl/>
              <w:spacing w:before="0" w:after="0"/>
              <w:jc w:val="left"/>
              <w:rPr>
                <w:rFonts w:cs=""/>
                <w:kern w:val="0"/>
                <w:szCs w:val="22"/>
                <w:lang w:val="en-US" w:eastAsia="en-US" w:bidi="ar-SA"/>
              </w:rPr>
            </w:pPr>
            <w:r>
              <w:rPr>
                <w:rFonts w:cs=""/>
                <w:b w:val="false"/>
                <w:kern w:val="0"/>
                <w:szCs w:val="22"/>
                <w:lang w:val="en-US" w:eastAsia="en-US" w:bidi="ar-SA"/>
              </w:rPr>
              <w:t>Analyzed benefits and created case snapshot table.</w:t>
            </w:r>
          </w:p>
        </w:tc>
      </w:tr>
      <w:tr>
        <w:trPr/>
        <w:tc>
          <w:tcPr>
            <w:tcW w:w="3312" w:type="dxa"/>
            <w:tcBorders/>
            <w:vAlign w:val="center"/>
          </w:tcPr>
          <w:p>
            <w:pPr>
              <w:pStyle w:val="Normal"/>
              <w:widowControl/>
              <w:spacing w:before="0" w:after="0"/>
              <w:jc w:val="left"/>
              <w:rPr>
                <w:rFonts w:cs=""/>
                <w:kern w:val="0"/>
                <w:szCs w:val="22"/>
                <w:lang w:val="en-US" w:eastAsia="en-US" w:bidi="ar-SA"/>
              </w:rPr>
            </w:pPr>
            <w:r>
              <w:rPr>
                <w:rFonts w:cs=""/>
                <w:b w:val="false"/>
                <w:kern w:val="0"/>
                <w:szCs w:val="22"/>
                <w:lang w:val="en-US" w:eastAsia="en-US" w:bidi="ar-SA"/>
              </w:rPr>
              <w:t>Member 4</w:t>
            </w:r>
          </w:p>
        </w:tc>
        <w:tc>
          <w:tcPr>
            <w:tcW w:w="3312" w:type="dxa"/>
            <w:tcBorders/>
            <w:vAlign w:val="center"/>
          </w:tcPr>
          <w:p>
            <w:pPr>
              <w:pStyle w:val="Normal"/>
              <w:widowControl/>
              <w:spacing w:before="0" w:after="0"/>
              <w:jc w:val="left"/>
              <w:rPr>
                <w:rFonts w:cs=""/>
                <w:kern w:val="0"/>
                <w:szCs w:val="22"/>
                <w:lang w:val="en-US" w:eastAsia="en-US" w:bidi="ar-SA"/>
              </w:rPr>
            </w:pPr>
            <w:r>
              <w:rPr>
                <w:rFonts w:cs=""/>
                <w:b w:val="false"/>
                <w:kern w:val="0"/>
                <w:szCs w:val="22"/>
                <w:lang w:val="en-US" w:eastAsia="en-US" w:bidi="ar-SA"/>
              </w:rPr>
              <w:t>Challenges, ethics, conclusion</w:t>
            </w:r>
          </w:p>
        </w:tc>
        <w:tc>
          <w:tcPr>
            <w:tcW w:w="3312" w:type="dxa"/>
            <w:tcBorders/>
            <w:vAlign w:val="center"/>
          </w:tcPr>
          <w:p>
            <w:pPr>
              <w:pStyle w:val="Normal"/>
              <w:widowControl/>
              <w:spacing w:before="0" w:after="0"/>
              <w:jc w:val="left"/>
              <w:rPr>
                <w:rFonts w:cs=""/>
                <w:kern w:val="0"/>
                <w:szCs w:val="22"/>
                <w:lang w:val="en-US" w:eastAsia="en-US" w:bidi="ar-SA"/>
              </w:rPr>
            </w:pPr>
            <w:r>
              <w:rPr>
                <w:rFonts w:cs=""/>
                <w:b w:val="false"/>
                <w:kern w:val="0"/>
                <w:szCs w:val="22"/>
                <w:lang w:val="en-US" w:eastAsia="en-US" w:bidi="ar-SA"/>
              </w:rPr>
              <w:t>Reviewed risks, limitations, and final recommendations.</w:t>
            </w:r>
          </w:p>
        </w:tc>
      </w:tr>
    </w:tbl>
    <w:p>
      <w:pPr>
        <w:pStyle w:val="Heading1"/>
        <w:rPr/>
      </w:pPr>
      <w:r>
        <w:rPr/>
        <w:t>References</w:t>
      </w:r>
    </w:p>
    <w:p>
      <w:pPr>
        <w:pStyle w:val="Normal"/>
        <w:spacing w:before="0" w:after="120"/>
        <w:ind w:hanging="720" w:left="720"/>
        <w:rPr/>
      </w:pPr>
      <w:r>
        <w:rPr/>
        <w:t>Bahoo, S., Cucculelli, M., Goga, X., &amp; Mondolo, J. (2024). Artificial intelligence in finance: A comprehensive review through bibliometric and content analysis. SN Business &amp; Economics, 4, Article 23. https://doi.org/10.1007/s43546-023-00618-x</w:t>
      </w:r>
    </w:p>
    <w:p>
      <w:pPr>
        <w:pStyle w:val="Normal"/>
        <w:spacing w:before="0" w:after="120"/>
        <w:ind w:hanging="720" w:left="720"/>
        <w:rPr/>
      </w:pPr>
      <w:r>
        <w:rPr/>
        <w:t>Crosman, P. (2023, December 22). JPMorgan Chase using advanced AI to detect fraud. American Banker.</w:t>
      </w:r>
    </w:p>
    <w:p>
      <w:pPr>
        <w:pStyle w:val="Normal"/>
        <w:spacing w:before="0" w:after="120"/>
        <w:ind w:hanging="720" w:left="720"/>
        <w:rPr/>
      </w:pPr>
      <w:r>
        <w:rPr/>
        <w:t>J.P. Morgan. (n.d.). AI boosting payments efficiency and cutting fraud. J.P. Morgan Payments.</w:t>
      </w:r>
    </w:p>
    <w:p>
      <w:pPr>
        <w:pStyle w:val="Normal"/>
        <w:spacing w:before="0" w:after="120"/>
        <w:ind w:hanging="720" w:left="720"/>
        <w:rPr/>
      </w:pPr>
      <w:r>
        <w:rPr/>
        <w:t>J.P. Morgan. (n.d.). Trust &amp; safety solutions. J.P. Morgan Payments.</w:t>
      </w:r>
    </w:p>
    <w:p>
      <w:pPr>
        <w:pStyle w:val="Normal"/>
        <w:spacing w:before="0" w:after="120"/>
        <w:ind w:hanging="720" w:left="720"/>
        <w:rPr/>
      </w:pPr>
      <w:r>
        <w:rPr/>
        <w:t>Khandani, A. E., Kim, A. J., &amp; Lo, A. W. (2010). Consumer credit-risk models via machine-learning algorithms. Journal of Banking &amp; Finance, 34(11), 2767-2787. https://doi.org/10.1016/j.jbankfin.2010.06.001</w:t>
      </w:r>
    </w:p>
    <w:p>
      <w:pPr>
        <w:pStyle w:val="Normal"/>
        <w:spacing w:before="0" w:after="120"/>
        <w:ind w:hanging="720" w:left="720"/>
        <w:rPr/>
      </w:pPr>
      <w:r>
        <w:rPr/>
        <w:t>Kumar, G., Muckley, C. B., Pham, L., &amp; Ryan, D. (2019). Can alert models for fraud protect the elderly clients of a financial institution? The European Journal of Finance, 25(17), 1683-1707. https://doi.org/10.1080/1351847X.2018.1552603</w:t>
      </w:r>
    </w:p>
    <w:sectPr>
      <w:footerReference w:type="even" r:id="rId2"/>
      <w:footerReference w:type="default" r:id="rId3"/>
      <w:footerReference w:type="first" r:id="rId4"/>
      <w:type w:val="nextPage"/>
      <w:pgSz w:w="12240" w:h="15840"/>
      <w:pgMar w:left="1152" w:right="1152" w:gutter="0" w:header="0" w:top="1080"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Page </w:t>
    </w:r>
    <w:r>
      <w:rPr/>
      <w:fldChar w:fldCharType="begin"/>
    </w:r>
    <w:r>
      <w:rPr/>
      <w:instrText xml:space="preserve"> PAGE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Page </w:t>
    </w:r>
    <w:r>
      <w:rPr/>
      <w:fldChar w:fldCharType="begin"/>
    </w:r>
    <w:r>
      <w:rPr/>
      <w:instrText xml:space="preserve"> PAGE </w:instrText>
    </w:r>
    <w:r>
      <w:rPr/>
      <w:fldChar w:fldCharType="separate"/>
    </w:r>
    <w:r>
      <w:rPr/>
      <w:t>6</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20"/>
      <w:jc w:val="left"/>
    </w:pPr>
    <w:rPr>
      <w:rFonts w:ascii="Aptos" w:hAnsi="Aptos" w:eastAsia="Aptos"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80"/>
      <w:outlineLvl w:val="0"/>
    </w:pPr>
    <w:rPr>
      <w:rFonts w:ascii="Calibri" w:hAnsi="Calibri" w:eastAsia="ＭＳ ゴシック" w:cs="" w:asciiTheme="majorHAnsi" w:cstheme="majorBidi" w:eastAsiaTheme="majorEastAsia" w:hAnsiTheme="majorHAnsi"/>
      <w:b/>
      <w:bCs/>
      <w:color w:val="1F4E79"/>
      <w:sz w:val="32"/>
      <w:szCs w:val="28"/>
    </w:rPr>
  </w:style>
  <w:style w:type="paragraph" w:styleId="Heading2">
    <w:name w:val="Heading 2"/>
    <w:basedOn w:val="Normal"/>
    <w:next w:val="Normal"/>
    <w:link w:val="Heading2Char"/>
    <w:uiPriority w:val="9"/>
    <w:unhideWhenUsed/>
    <w:qFormat/>
    <w:rsid w:val="00fc693f"/>
    <w:pPr>
      <w:keepNext w:val="true"/>
      <w:keepLines/>
      <w:spacing w:before="240" w:after="80"/>
      <w:outlineLvl w:val="1"/>
    </w:pPr>
    <w:rPr>
      <w:rFonts w:ascii="Calibri" w:hAnsi="Calibri" w:eastAsia="ＭＳ ゴシック" w:cs="" w:asciiTheme="majorHAnsi" w:cstheme="majorBidi" w:eastAsiaTheme="majorEastAsia" w:hAnsiTheme="majorHAnsi"/>
      <w:b/>
      <w:bCs/>
      <w:color w:val="3F3F3F"/>
      <w:sz w:val="26"/>
      <w:szCs w:val="26"/>
    </w:rPr>
  </w:style>
  <w:style w:type="paragraph" w:styleId="Heading3">
    <w:name w:val="Heading 3"/>
    <w:basedOn w:val="Normal"/>
    <w:next w:val="Normal"/>
    <w:link w:val="Heading3Char"/>
    <w:uiPriority w:val="9"/>
    <w:unhideWhenUsed/>
    <w:qFormat/>
    <w:rsid w:val="00fc693f"/>
    <w:pPr>
      <w:keepNext w:val="true"/>
      <w:keepLines/>
      <w:spacing w:before="240" w:after="80"/>
      <w:outlineLvl w:val="2"/>
    </w:pPr>
    <w:rPr>
      <w:rFonts w:ascii="Calibri" w:hAnsi="Calibri" w:eastAsia="ＭＳ ゴシック" w:cs="" w:asciiTheme="majorHAnsi" w:cstheme="majorBidi" w:eastAsiaTheme="majorEastAsia" w:hAnsiTheme="majorHAnsi"/>
      <w:b/>
      <w:bCs/>
      <w:color w:val="1F4E79"/>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F4E79"/>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6</Pages>
  <Words>2084</Words>
  <Characters>12714</Characters>
  <CharactersWithSpaces>14708</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Your Name</dc:creator>
  <dc:description>generated by python-docx</dc:description>
  <cp:keywords>AI fraud detection JPMorgan Chase machine learning LLM finance</cp:keywords>
  <dc:language>en-US</dc:language>
  <cp:lastModifiedBy/>
  <dcterms:modified xsi:type="dcterms:W3CDTF">2026-06-20T15:47:51Z</dcterms:modified>
  <cp:revision>2</cp:revision>
  <dc:subject>JPMorgan Chase AI Fraud Detection Case Study</dc:subject>
  <dc:title>A04 AI in Fraud Detection Case Study</dc:title>
</cp:coreProperties>
</file>

<file path=docProps/custom.xml><?xml version="1.0" encoding="utf-8"?>
<Properties xmlns="http://schemas.openxmlformats.org/officeDocument/2006/custom-properties" xmlns:vt="http://schemas.openxmlformats.org/officeDocument/2006/docPropsVTypes"/>
</file>