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7.png" ContentType="image/png"/>
  <Override PartName="/word/media/rId1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sidebar_position: 1</w:t>
      </w:r>
      <w:r>
        <w:t xml:space="preserve"> </w:t>
      </w:r>
      <w:r>
        <w:t xml:space="preserve"># </w:t>
      </w:r>
      <w:r>
        <w:rPr>
          <w:rFonts w:hint="eastAsia"/>
        </w:rPr>
        <w:t xml:space="preserve">基于</w:t>
      </w:r>
      <w:r>
        <w:t xml:space="preserve"> K1 AI CPU </w:t>
      </w:r>
      <w:r>
        <w:rPr>
          <w:rFonts w:hint="eastAsia"/>
        </w:rPr>
        <w:t xml:space="preserve">大模型部署落地</w:t>
      </w:r>
    </w:p>
    <w:bookmarkStart w:id="12" w:name="简介"/>
    <w:p>
      <w:pPr>
        <w:pStyle w:val="Heading2"/>
      </w:pPr>
      <w:r>
        <w:t xml:space="preserve">1. </w:t>
      </w:r>
      <w:r>
        <w:rPr>
          <w:rFonts w:hint="eastAsia"/>
        </w:rPr>
        <w:t xml:space="preserve">简介</w:t>
      </w:r>
    </w:p>
    <w:p>
      <w:pPr>
        <w:pStyle w:val="FirstParagraph"/>
      </w:pPr>
      <w:r>
        <w:rPr>
          <w:rFonts w:hint="eastAsia"/>
        </w:rPr>
        <w:t xml:space="preserve">本赛题要求基于进迭开源的</w:t>
      </w:r>
      <w:r>
        <w:t xml:space="preserve"> Llama.cpp </w:t>
      </w:r>
      <w:r>
        <w:rPr>
          <w:rFonts w:hint="eastAsia"/>
        </w:rPr>
        <w:t xml:space="preserve">进行部署。本工程在此基础上，额外增加了对进迭时空</w:t>
      </w:r>
      <w:r>
        <w:t xml:space="preserve"> AI </w:t>
      </w:r>
      <w:r>
        <w:rPr>
          <w:rFonts w:hint="eastAsia"/>
        </w:rPr>
        <w:t xml:space="preserve">扩展指令的支持，并针对</w:t>
      </w:r>
      <w:r>
        <w:t xml:space="preserve"> K1 </w:t>
      </w:r>
      <w:r>
        <w:rPr>
          <w:rFonts w:hint="eastAsia"/>
        </w:rPr>
        <w:t xml:space="preserve">芯片进行了多项优化。优化主要集中在张量计算引擎</w:t>
      </w:r>
      <w:r>
        <w:t xml:space="preserve"> </w:t>
      </w:r>
      <w:r>
        <w:rPr>
          <w:rFonts w:hint="eastAsia"/>
        </w:rPr>
        <w:t xml:space="preserve">GGML，其余均保持与</w:t>
      </w:r>
      <w:r>
        <w:t xml:space="preserve"> Llama.cpp </w:t>
      </w:r>
      <w:r>
        <w:rPr>
          <w:rFonts w:hint="eastAsia"/>
        </w:rPr>
        <w:t xml:space="preserve">源码一致。</w:t>
      </w:r>
    </w:p>
    <w:p>
      <w:pPr>
        <w:pStyle w:val="BodyText"/>
      </w:pPr>
      <w:r>
        <w:rPr>
          <w:rFonts w:hint="eastAsia"/>
        </w:rPr>
        <w:t xml:space="preserve">整体架构如下图所示。</w:t>
      </w:r>
    </w:p>
    <w:p>
      <w:pPr>
        <w:pStyle w:val="BodyText"/>
      </w:pPr>
      <w:r>
        <w:drawing>
          <wp:inline>
            <wp:extent cx="5334000" cy="65151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block%20diagram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15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24" w:name="编译使用"/>
    <w:p>
      <w:pPr>
        <w:pStyle w:val="Heading2"/>
      </w:pPr>
      <w:r>
        <w:t xml:space="preserve">2. </w:t>
      </w:r>
      <w:r>
        <w:rPr>
          <w:rFonts w:hint="eastAsia"/>
        </w:rPr>
        <w:t xml:space="preserve">编译使用</w:t>
      </w:r>
    </w:p>
    <w:bookmarkStart w:id="16" w:name="交叉编译"/>
    <w:p>
      <w:pPr>
        <w:pStyle w:val="Heading3"/>
      </w:pPr>
      <w:r>
        <w:t xml:space="preserve">2.1 </w:t>
      </w:r>
      <w:r>
        <w:rPr>
          <w:rFonts w:hint="eastAsia"/>
        </w:rPr>
        <w:t xml:space="preserve">交叉编译</w:t>
      </w:r>
    </w:p>
    <w:p>
      <w:pPr>
        <w:pStyle w:val="FirstParagraph"/>
      </w:pPr>
      <w:r>
        <w:rPr>
          <w:rFonts w:hint="eastAsia"/>
        </w:rPr>
        <w:t xml:space="preserve">从进迭时空代码仓库拉取代码，切换到进迭时空开发分支，并使用脚本编译即可。详细编译流程如下：</w:t>
      </w:r>
    </w:p>
    <w:p>
      <w:pPr>
        <w:pStyle w:val="SourceCode"/>
      </w:pPr>
      <w:r>
        <w:rPr>
          <w:rStyle w:val="VerbatimChar"/>
        </w:rPr>
        <w:t xml:space="preserve"># clone </w:t>
      </w:r>
      <w:r>
        <w:rPr>
          <w:rStyle w:val="VerbatimChar"/>
          <w:rFonts w:hint="eastAsia"/>
        </w:rPr>
        <w:t xml:space="preserve">代码</w:t>
      </w:r>
      <w:r>
        <w:br/>
      </w:r>
      <w:r>
        <w:rPr>
          <w:rStyle w:val="VerbatimChar"/>
        </w:rPr>
        <w:t xml:space="preserve">git clone git@github.com:ggml-org/llama.cpp.git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编译</w:t>
      </w:r>
      <w:r>
        <w:br/>
      </w:r>
      <w:r>
        <w:rPr>
          <w:rStyle w:val="VerbatimChar"/>
          <w:rFonts w:hint="eastAsia"/>
        </w:rPr>
        <w:t xml:space="preserve">参考docs/build-riscv64-spacemit.md，进行工程编译</w:t>
      </w:r>
    </w:p>
    <w:p>
      <w:pPr>
        <w:pStyle w:val="FirstParagraph"/>
      </w:pPr>
      <w:r>
        <w:rPr>
          <w:rFonts w:hint="eastAsia"/>
        </w:rPr>
        <w:t xml:space="preserve">编译完以后，工具和库会被安装到build/installed。其结构如下：</w:t>
      </w:r>
    </w:p>
    <w:p>
      <w:pPr>
        <w:pStyle w:val="BodyText"/>
      </w:pPr>
      <w:r>
        <w:drawing>
          <wp:inline>
            <wp:extent cx="5321300" cy="5715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images/structur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23" w:name="关键工具介绍"/>
    <w:p>
      <w:pPr>
        <w:pStyle w:val="Heading3"/>
      </w:pPr>
      <w:r>
        <w:t xml:space="preserve">2.2 </w:t>
      </w:r>
      <w:r>
        <w:rPr>
          <w:rFonts w:hint="eastAsia"/>
        </w:rPr>
        <w:t xml:space="preserve">关键工具介绍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量化工具</w:t>
            </w:r>
          </w:p>
        </w:tc>
        <w:tc>
          <w:tcPr/>
          <w:p>
            <w:pPr>
              <w:pStyle w:val="Compact"/>
            </w:pPr>
            <w:r>
              <w:t xml:space="preserve">llama-quantize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benchmark工具</w:t>
            </w:r>
          </w:p>
        </w:tc>
        <w:tc>
          <w:tcPr/>
          <w:p>
            <w:pPr>
              <w:pStyle w:val="Compact"/>
            </w:pPr>
            <w:r>
              <w:t xml:space="preserve">llama-bench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量化工具使用说明：</w:t>
      </w:r>
    </w:p>
    <w:p>
      <w:pPr>
        <w:pStyle w:val="BodyText"/>
      </w:pPr>
      <w:r>
        <w:drawing>
          <wp:inline>
            <wp:extent cx="5334000" cy="3442096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images/help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2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量化支持类型：</w:t>
      </w:r>
    </w:p>
    <w:p>
      <w:pPr>
        <w:pStyle w:val="BodyText"/>
      </w:pPr>
      <w:r>
        <w:drawing>
          <wp:inline>
            <wp:extent cx="5334000" cy="50869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s/type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6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7" Target="media/rId17.png" /><Relationship Type="http://schemas.openxmlformats.org/officeDocument/2006/relationships/image" Id="rId13" Target="media/rId13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2026-06-10T06:43:29Z</dcterms:created>
  <dcterms:modified xsi:type="dcterms:W3CDTF">2026-06-10T06:43:29Z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[DocID]=EE597B32-6738-4BE3-9C2E-F638729F65C7</vt:lpwstr>
  </op:property>
  <op:property fmtid="{D5CDD505-2E9C-101B-9397-08002B2CF9AE}" pid="3" name="_IPGFLOW_P-BCA9_E-0_CV-88520CEC_CN-52976ED4">
    <vt:lpwstr>DPFPMK|3|50|1|0</vt:lpwstr>
  </op:property>
  <op:property fmtid="{D5CDD505-2E9C-101B-9397-08002B2CF9AE}" pid="4" name="_IPGFLOW_P-BCA9_E-1_FP-1_SP-1_CV-C8EAE01E_CN-6D18A329">
    <vt:lpwstr>8zlvy9VtPlRSdvNvE7nFW9Ayuv59jKxTb+KnPq7j6JIpLA0RVuAU0a8mR20JxxXwkLkuypyK2BENdT1SGOYwsSO7Io9p4K10S+RItPD9vtoKw0XHb0x7R0++Qfyq7SgSG0NzR6eWkOmMNeL6XmnO4In4oP7lOXHWtoSZ6L7op8wQ5CQr3SYlbZFS4vvbxtRU7x9jUXDXtsE+pPWtElcYs6BxO2SpFA6/OKVp+8oEvaw7ljan7nq7/mBGL+u00DC</vt:lpwstr>
  </op:property>
  <op:property fmtid="{D5CDD505-2E9C-101B-9397-08002B2CF9AE}" pid="5" name="_IPGFLOW_P-BCA9_E-1_FP-1_SP-2_CV-F2E22889_CN-F2BA4B11">
    <vt:lpwstr>rM2Wf2afpGwPL26f5yUxgFFj3XC/NspPPIjZaRxyfV1UGsTxtBhoASlJ5Mll+w4S3Ws+B64+LBJj3v3RrEUbiC8ZW7ffF0wJjbGkOBONS9bAIUCuCUu5Yy5hR2mPcuzx7</vt:lpwstr>
  </op:property>
  <op:property fmtid="{D5CDD505-2E9C-101B-9397-08002B2CF9AE}" pid="6" name="_IPGFLOW_P-BCA9_E-0_FP-1_CV-1748F583_CN-27F344A6">
    <vt:lpwstr>DPSPMK|3|384|2|0</vt:lpwstr>
  </op:property>
</op:Properties>
</file>