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Case Study: The Curve's Turn</w:t>
      </w:r>
    </w:p>
    <w:p>
      <w:pPr>
        <w:spacing w:after="240"/>
        <w:jc w:val="center"/>
      </w:pPr>
      <w:r>
        <w:rPr>
          <w:i/>
          <w:iCs/>
          <w:sz w:val="22"/>
          <w:szCs w:val="22"/>
        </w:rPr>
        <w:t xml:space="preserve">MS | Math | Case Study | 2026 | Adventure</w:t>
      </w:r>
    </w:p>
    <w:p>
      <w:pPr>
        <w:pStyle w:val="Heading2"/>
        <w:spacing w:after="120" w:before="240"/>
      </w:pPr>
      <w:r>
        <w:t xml:space="preserve">Overview</w:t>
      </w:r>
    </w:p>
    <w:p>
      <w:r>
        <w:t xml:space="preserve">Dr. Renata Vance has the projector remote in one hand and her phone face-down in the other, and the school board is due in this room in a matter of minutes. On the screen behind her is a chart she has looked at so many times this week that she has stopped seeing it — a jagged line of weekly case counts climbing out of the autumn, dipping, climbing again. Someone from facilities has stacked the folding chairs against the wall, and the room smells like floor wax and cold coffee. Her deputy has printed two memos and left them squared on the table, one laid on top of the other, the way you leave a choice for somebody else to make.</w:t>
      </w:r>
    </w:p>
    <w:p>
      <w:r>
        <w:t xml:space="preserve">The superintendent stops in the doorway with his coat already on. "They're going to ask you for a date," he says. "Not a range. A date." Then he is gone down the corridor, and Renata is alone with the hum of the projector fan.</w:t>
      </w:r>
    </w:p>
    <w:p>
      <w:r>
        <w:t xml:space="preserve">She knows what the smooth curve drawn through those points says about where this is going. She also knows the line underneath it is real data — reported, revised, ragged — and that every epidemiologist she trained with has watched a curve exactly like this one flatten into nothing the week after everybody panicked. Down the hall a custodian is running a floor buffer. Renata turns the top memo over, turns it back, and reaches for the remote.</w:t>
      </w:r>
    </w:p>
    <w:p>
      <w:pPr>
        <w:pStyle w:val="Heading2"/>
        <w:spacing w:after="120" w:before="240"/>
      </w:pPr>
      <w:r>
        <w:t xml:space="preserve">Background</w:t>
      </w:r>
    </w:p>
    <w:p>
      <w:r>
        <w:t xml:space="preserve">Dr. Renata Vance is director of health services for Birchmont Unified School District. Under district policy she does not order a closure herself; she brings the board a single recommendation, and the board has never once voted against one of hers. She is accountable for what happens to instruction and for what happens to the people inside the buildings, and this week those two accountabilities pull in opposite directions.</w:t>
      </w:r>
    </w:p>
    <w:p>
      <w:r>
        <w:t xml:space="preserve">Birchmont Unified is an invented district. The county it sits in is not, and neither is a single case count in this case: the weekly reported series in (SEE APPENDIX A) and (SEE APPENDIX B) is the actual published county series for the county named there, and the population denominator, the reference case-rate tiers and the test-performance figures are cited in (SEE APPENDIX E). Nothing about the decision is real — no health officer named Vance made this call and no board voted on it. Every figure that is not cited is stated openly in (SEE APPENDIX F).</w:t>
      </w:r>
    </w:p>
    <w:p>
      <w:r>
        <w:t xml:space="preserve">Two plans are on the table, and one standing board rule constrains both. The board has authorised exactly one closure, of one fixed length, for the whole term — a closure budget, not a closure policy (SEE APPENDIX C). Whatever Vance recommends, the district spends that budget once, or not at all. Both plans therefore cost the district the same instructional days if they fire; they differ only in </w:t>
      </w:r>
      <w:r>
        <w:rPr>
          <w:b/>
          <w:bCs/>
        </w:rPr>
        <w:t xml:space="preserve">when</w:t>
      </w:r>
      <w:r>
        <w:t xml:space="preserve"> the budget is spent, and in what else runs alongside it.</w:t>
      </w:r>
    </w:p>
    <w:p>
      <w:r>
        <w:rPr>
          <w:b/>
          <w:bCs/>
        </w:rPr>
        <w:t xml:space="preserve">The Early Brake</w:t>
      </w:r>
      <w:r>
        <w:t xml:space="preserve"> closes every school in the district for two weeks starting immediately, on the strength of the curve's turn. The smooth model fitted to the county's current wave (SEE APPENDIX B) has been concave up for weeks — the weekly case count is not merely rising, it is rising faster each week. That is the earliest defensible signal available, and it is a signal about a </w:t>
      </w:r>
      <w:r>
        <w:rPr>
          <w:i/>
          <w:iCs/>
        </w:rPr>
        <w:t xml:space="preserve">rate</w:t>
      </w:r>
      <w:r>
        <w:t xml:space="preserve">, not a level.</w:t>
      </w:r>
    </w:p>
    <w:p>
      <w:r>
        <w:rPr>
          <w:b/>
          <w:bCs/>
        </w:rPr>
        <w:t xml:space="preserve">The Tripwire</w:t>
      </w:r>
      <w:r>
        <w:t xml:space="preserve"> keeps every school open, runs twice-weekly on-site rapid antigen testing for consenting students and staff, and holds the closure budget in reserve until the reported case rate crosses a fixed level the board has already written down (SEE APPENDIX C). A level is unambiguous to read off a table. It is also structurally late: a level can only be crossed after the curve has already turned.</w:t>
      </w:r>
    </w:p>
    <w:p>
      <w:r>
        <w:t xml:space="preserve">Vance is judged on one number, and the board has written that down too: chain-weighted in-school transmissions per one thousand students across the board's stated evaluation horizon (SEE APPENDIX D). The prevention model, the transmission coefficient and the chain multiplier that turn a county case rate into that number are all set out there. The vocabulary and the "how to…" skills this case will ask of you are listed in (SEE APPENDIX H) — that is where Challenge 1 sends you. For real, freely available background reading on epidemic curves, school testing programmes and the county itself, beyond what the case requires, (SEE APPENDIX G).</w:t>
      </w:r>
    </w:p>
    <w:p>
      <w:pPr>
        <w:pStyle w:val="Heading2"/>
        <w:spacing w:after="120" w:before="240"/>
      </w:pPr>
      <w:r>
        <w:t xml:space="preserve">Dilemma</w:t>
      </w:r>
    </w:p>
    <w:p>
      <w:r>
        <w:t xml:space="preserve">You are Dr. Renata Vance. Do you: A.) Recommend The Early Brake — close every school in the district for two weeks starting now, because the fitted curve has been turning upward for weeks OR B.) Recommend The Tripwire — stay open with twice-weekly on-site rapid testing, and hold the closure until the reported case rate crosses the board's written level</w:t>
      </w:r>
    </w:p>
    <w:p>
      <w:pPr>
        <w:pStyle w:val="Heading2"/>
        <w:spacing w:after="120" w:before="240"/>
      </w:pPr>
      <w:r>
        <w:t xml:space="preserve">Challenges</w:t>
      </w:r>
    </w:p>
    <w:p>
      <w:r>
        <w:t xml:space="preserve">1.) Research and find an online resource that answers one of the "how to…" questions from the case study launch. Post a link to the resource as your submission.</w:t>
      </w:r>
    </w:p>
    <w:p>
      <w:r>
        <w:t xml:space="preserve">2.) Post 250 or more "excellent" words pitching a firm stance to your audience on which you would choose and why. Your pitch must include:     a.) Use of the "how to…" resource you researched in Challenge 1.     b.) At least one original visual display of the data.</w:t>
      </w:r>
    </w:p>
    <w:p>
      <w:r>
        <w:t xml:space="preserve">3.) Your pitch must include:     D1. A model-and-derivative worksheet for the current wave: check the fitted cubic in     Appendix B against the reported series at three separate weeks and report the miss at each;     differentiate it term by term with the power rule and write out the derivative; then state     the derivative's value at the decision week, with units, as the instantaneous rate of change     of weekly cases, and say in one sentence how that differs from the average rate of change     across the last two reported weeks. Close the worksheet with a short note on why the reported     series itself is not differentiable at its own data points, and what fitting a smooth curve     through it buys you and what it costs you.     D2. A tangent-line projection: the equation of the tangent line to the current-wave model at     the decision week, drawn on the same axes as the model and the reported points, plus the week     at which that straight line would reach the board's written level — compared against the week     the curve itself reaches it. State which of the two a board member would find easier to     believe, and which one you would defend.     D3. A critical-point table for the previous wave in Appendix A: every critical point of that     fitted model inside its own window, each one classified by the first derivative test as a     local maximum or a local minimum, with the calendar week it falls in and what it meant on the     ground. For any critical point whose fitted value could not be a real case count, say so     explicitly and explain what that tells you about the model.     D4. A concavity sign chart for the current wave: the second derivative, the week where it     changes sign, and the calendar week the model's concavity turns. Mark that week on your graph     and state, in plain English, what a board member should understand "the curve turned in that     week" to mean — and why it is the earliest defensible warning available.     D5. A retrospective optimisation on the previous wave: treating the fitted model in Appendix A     as the truth, find the start week for a closure of the board's authorised length that would     have covered the most reported cases — that is, maximise G(w) = P(w) + P(w+1). Write the     objective function, take its derivative, solve for the critical point, and confirm with the     first derivative test that it is a maximum, not a minimum. Then report how many weeks that     optimum sits away from the week that wave's concavity turned, and whether that wave ever     crossed the board's written level at all.     D6. The decision table: for The Early Brake and for The Tripwire, the chain-weighted in-school     transmissions per one thousand students left over the horizon, built from Appendix D's stated     formula, with the model's own rate of change shown at the first and last week of each plan's     closure window and used to explain why the two totals differ by the amount they do. End with     your recommendation.</w:t>
      </w:r>
    </w:p>
    <w:p>
      <w:r>
        <w:t xml:space="preserve">4.) An appendix showing evidence of your original thinking, work, calculations and processes you used to complete the challenges (pictures, screenshots, notes, etc.). Your work in the appendix does not count toward your word count.</w:t>
      </w:r>
    </w:p>
    <w:p>
      <w:r>
        <w:t xml:space="preserve">5.) Participate twice or more in the Case Study discussion. *If you are absent the day of a discussion post 500 "excellent" words on the questions above.</w:t>
      </w:r>
    </w:p>
    <w:p>
      <w:pPr>
        <w:pStyle w:val="Heading2"/>
        <w:spacing w:after="120" w:before="240"/>
      </w:pPr>
      <w:r>
        <w:t xml:space="preserve">Appendix A — The Previous Wave: Weekly Reported Cases</w:t>
      </w:r>
    </w:p>
    <w:p>
      <w:r>
        <w:t xml:space="preserve">Chittenden County, Vermont. Weekly reported COVID-19 cases and deaths, as published by CDC [S1]. The county's previous completed wave, from the week ending 2021-06-02 through the week ending 2021-10-06. </w:t>
      </w:r>
      <w:r>
        <w:rPr>
          <w:rFonts w:ascii="Courier New" w:cs="Courier New" w:eastAsia="Courier New" w:hAnsi="Courier New"/>
        </w:rPr>
        <w:t xml:space="preserve">t</w:t>
      </w:r>
      <w:r>
        <w:t xml:space="preserve"> counts weeks from the first row.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DDDDD" w:val="clear"/>
          </w:tcPr>
          <w:p>
            <w:r>
              <w:t xml:space="preserve">t</w:t>
            </w:r>
          </w:p>
        </w:tc>
        <w:tc>
          <w:tcPr>
            <w:tcW w:type="dxa" w:w="1500"/>
            <w:shd w:fill="DDDDDD" w:val="clear"/>
          </w:tcPr>
          <w:p>
            <w:r>
              <w:t xml:space="preserve">Week ending</w:t>
            </w:r>
          </w:p>
        </w:tc>
        <w:tc>
          <w:tcPr>
            <w:tcW w:type="dxa" w:w="1500"/>
            <w:shd w:fill="DDDDDD" w:val="clear"/>
          </w:tcPr>
          <w:p>
            <w:r>
              <w:t xml:space="preserve">New cases</w:t>
            </w:r>
          </w:p>
        </w:tc>
        <w:tc>
          <w:tcPr>
            <w:tcW w:type="dxa" w:w="1500"/>
            <w:shd w:fill="DDDDDD" w:val="clear"/>
          </w:tcPr>
          <w:p>
            <w:r>
              <w:t xml:space="preserve">New deaths</w:t>
            </w:r>
          </w:p>
        </w:tc>
        <w:tc>
          <w:tcPr>
            <w:tcW w:type="dxa" w:w="1500"/>
            <w:shd w:fill="DDDDDD" w:val="clear"/>
          </w:tcPr>
          <w:p>
            <w:r>
              <w:t xml:space="preserve">Cumulative cases</w:t>
            </w:r>
          </w:p>
        </w:tc>
        <w:tc>
          <w:tcPr>
            <w:tcW w:type="dxa" w:w="1500"/>
            <w:shd w:fill="DDDDDD" w:val="clear"/>
          </w:tcPr>
          <w:p>
            <w:r>
              <w:t xml:space="preserve">Cumulative deaths</w:t>
            </w:r>
          </w:p>
        </w:tc>
      </w:tr>
      <w:tr>
        <w:tc>
          <w:tcPr>
            <w:tcW w:type="dxa" w:w="1500"/>
          </w:tcPr>
          <w:p>
            <w:r>
              <w:t xml:space="preserve">0</w:t>
            </w:r>
          </w:p>
        </w:tc>
        <w:tc>
          <w:tcPr>
            <w:tcW w:type="dxa" w:w="1500"/>
          </w:tcPr>
          <w:p>
            <w:r>
              <w:t xml:space="preserve">2021-06-02</w:t>
            </w:r>
          </w:p>
        </w:tc>
        <w:tc>
          <w:tcPr>
            <w:tcW w:type="dxa" w:w="1500"/>
          </w:tcPr>
          <w:p>
            <w:r>
              <w:t xml:space="preserve">11</w:t>
            </w:r>
          </w:p>
        </w:tc>
        <w:tc>
          <w:tcPr>
            <w:tcW w:type="dxa" w:w="1500"/>
          </w:tcPr>
          <w:p>
            <w:r>
              <w:t xml:space="preserve">0</w:t>
            </w:r>
          </w:p>
        </w:tc>
        <w:tc>
          <w:tcPr>
            <w:tcW w:type="dxa" w:w="1500"/>
          </w:tcPr>
          <w:p>
            <w:r>
              <w:t xml:space="preserve">7,496</w:t>
            </w:r>
          </w:p>
        </w:tc>
        <w:tc>
          <w:tcPr>
            <w:tcW w:type="dxa" w:w="1500"/>
          </w:tcPr>
          <w:p>
            <w:r>
              <w:t xml:space="preserve">106</w:t>
            </w:r>
          </w:p>
        </w:tc>
      </w:tr>
      <w:tr>
        <w:tc>
          <w:tcPr>
            <w:tcW w:type="dxa" w:w="1500"/>
          </w:tcPr>
          <w:p>
            <w:r>
              <w:t xml:space="preserve">1</w:t>
            </w:r>
          </w:p>
        </w:tc>
        <w:tc>
          <w:tcPr>
            <w:tcW w:type="dxa" w:w="1500"/>
          </w:tcPr>
          <w:p>
            <w:r>
              <w:t xml:space="preserve">2021-06-09</w:t>
            </w:r>
          </w:p>
        </w:tc>
        <w:tc>
          <w:tcPr>
            <w:tcW w:type="dxa" w:w="1500"/>
          </w:tcPr>
          <w:p>
            <w:r>
              <w:t xml:space="preserve">13</w:t>
            </w:r>
          </w:p>
        </w:tc>
        <w:tc>
          <w:tcPr>
            <w:tcW w:type="dxa" w:w="1500"/>
          </w:tcPr>
          <w:p>
            <w:r>
              <w:t xml:space="preserve">1</w:t>
            </w:r>
          </w:p>
        </w:tc>
        <w:tc>
          <w:tcPr>
            <w:tcW w:type="dxa" w:w="1500"/>
          </w:tcPr>
          <w:p>
            <w:r>
              <w:t xml:space="preserve">7,509</w:t>
            </w:r>
          </w:p>
        </w:tc>
        <w:tc>
          <w:tcPr>
            <w:tcW w:type="dxa" w:w="1500"/>
          </w:tcPr>
          <w:p>
            <w:r>
              <w:t xml:space="preserve">107</w:t>
            </w:r>
          </w:p>
        </w:tc>
      </w:tr>
      <w:tr>
        <w:tc>
          <w:tcPr>
            <w:tcW w:type="dxa" w:w="1500"/>
          </w:tcPr>
          <w:p>
            <w:r>
              <w:t xml:space="preserve">2</w:t>
            </w:r>
          </w:p>
        </w:tc>
        <w:tc>
          <w:tcPr>
            <w:tcW w:type="dxa" w:w="1500"/>
          </w:tcPr>
          <w:p>
            <w:r>
              <w:t xml:space="preserve">2021-06-16</w:t>
            </w:r>
          </w:p>
        </w:tc>
        <w:tc>
          <w:tcPr>
            <w:tcW w:type="dxa" w:w="1500"/>
          </w:tcPr>
          <w:p>
            <w:r>
              <w:t xml:space="preserve">10</w:t>
            </w:r>
          </w:p>
        </w:tc>
        <w:tc>
          <w:tcPr>
            <w:tcW w:type="dxa" w:w="1500"/>
          </w:tcPr>
          <w:p>
            <w:r>
              <w:t xml:space="preserve">0</w:t>
            </w:r>
          </w:p>
        </w:tc>
        <w:tc>
          <w:tcPr>
            <w:tcW w:type="dxa" w:w="1500"/>
          </w:tcPr>
          <w:p>
            <w:r>
              <w:t xml:space="preserve">7,519</w:t>
            </w:r>
          </w:p>
        </w:tc>
        <w:tc>
          <w:tcPr>
            <w:tcW w:type="dxa" w:w="1500"/>
          </w:tcPr>
          <w:p>
            <w:r>
              <w:t xml:space="preserve">107</w:t>
            </w:r>
          </w:p>
        </w:tc>
      </w:tr>
      <w:tr>
        <w:tc>
          <w:tcPr>
            <w:tcW w:type="dxa" w:w="1500"/>
          </w:tcPr>
          <w:p>
            <w:r>
              <w:t xml:space="preserve">3</w:t>
            </w:r>
          </w:p>
        </w:tc>
        <w:tc>
          <w:tcPr>
            <w:tcW w:type="dxa" w:w="1500"/>
          </w:tcPr>
          <w:p>
            <w:r>
              <w:t xml:space="preserve">2021-06-23</w:t>
            </w:r>
          </w:p>
        </w:tc>
        <w:tc>
          <w:tcPr>
            <w:tcW w:type="dxa" w:w="1500"/>
          </w:tcPr>
          <w:p>
            <w:r>
              <w:t xml:space="preserve">7</w:t>
            </w:r>
          </w:p>
        </w:tc>
        <w:tc>
          <w:tcPr>
            <w:tcW w:type="dxa" w:w="1500"/>
          </w:tcPr>
          <w:p>
            <w:r>
              <w:t xml:space="preserve">0</w:t>
            </w:r>
          </w:p>
        </w:tc>
        <w:tc>
          <w:tcPr>
            <w:tcW w:type="dxa" w:w="1500"/>
          </w:tcPr>
          <w:p>
            <w:r>
              <w:t xml:space="preserve">7,526</w:t>
            </w:r>
          </w:p>
        </w:tc>
        <w:tc>
          <w:tcPr>
            <w:tcW w:type="dxa" w:w="1500"/>
          </w:tcPr>
          <w:p>
            <w:r>
              <w:t xml:space="preserve">107</w:t>
            </w:r>
          </w:p>
        </w:tc>
      </w:tr>
      <w:tr>
        <w:tc>
          <w:tcPr>
            <w:tcW w:type="dxa" w:w="1500"/>
          </w:tcPr>
          <w:p>
            <w:r>
              <w:t xml:space="preserve">4</w:t>
            </w:r>
          </w:p>
        </w:tc>
        <w:tc>
          <w:tcPr>
            <w:tcW w:type="dxa" w:w="1500"/>
          </w:tcPr>
          <w:p>
            <w:r>
              <w:t xml:space="preserve">2021-06-30</w:t>
            </w:r>
          </w:p>
        </w:tc>
        <w:tc>
          <w:tcPr>
            <w:tcW w:type="dxa" w:w="1500"/>
          </w:tcPr>
          <w:p>
            <w:r>
              <w:t xml:space="preserve">10</w:t>
            </w:r>
          </w:p>
        </w:tc>
        <w:tc>
          <w:tcPr>
            <w:tcW w:type="dxa" w:w="1500"/>
          </w:tcPr>
          <w:p>
            <w:r>
              <w:t xml:space="preserve">0</w:t>
            </w:r>
          </w:p>
        </w:tc>
        <w:tc>
          <w:tcPr>
            <w:tcW w:type="dxa" w:w="1500"/>
          </w:tcPr>
          <w:p>
            <w:r>
              <w:t xml:space="preserve">7,536</w:t>
            </w:r>
          </w:p>
        </w:tc>
        <w:tc>
          <w:tcPr>
            <w:tcW w:type="dxa" w:w="1500"/>
          </w:tcPr>
          <w:p>
            <w:r>
              <w:t xml:space="preserve">107</w:t>
            </w:r>
          </w:p>
        </w:tc>
      </w:tr>
      <w:tr>
        <w:tc>
          <w:tcPr>
            <w:tcW w:type="dxa" w:w="1500"/>
          </w:tcPr>
          <w:p>
            <w:r>
              <w:t xml:space="preserve">5</w:t>
            </w:r>
          </w:p>
        </w:tc>
        <w:tc>
          <w:tcPr>
            <w:tcW w:type="dxa" w:w="1500"/>
          </w:tcPr>
          <w:p>
            <w:r>
              <w:t xml:space="preserve">2021-07-07</w:t>
            </w:r>
          </w:p>
        </w:tc>
        <w:tc>
          <w:tcPr>
            <w:tcW w:type="dxa" w:w="1500"/>
          </w:tcPr>
          <w:p>
            <w:r>
              <w:t xml:space="preserve">17</w:t>
            </w:r>
          </w:p>
        </w:tc>
        <w:tc>
          <w:tcPr>
            <w:tcW w:type="dxa" w:w="1500"/>
          </w:tcPr>
          <w:p>
            <w:r>
              <w:t xml:space="preserve">2</w:t>
            </w:r>
          </w:p>
        </w:tc>
        <w:tc>
          <w:tcPr>
            <w:tcW w:type="dxa" w:w="1500"/>
          </w:tcPr>
          <w:p>
            <w:r>
              <w:t xml:space="preserve">7,553</w:t>
            </w:r>
          </w:p>
        </w:tc>
        <w:tc>
          <w:tcPr>
            <w:tcW w:type="dxa" w:w="1500"/>
          </w:tcPr>
          <w:p>
            <w:r>
              <w:t xml:space="preserve">109</w:t>
            </w:r>
          </w:p>
        </w:tc>
      </w:tr>
      <w:tr>
        <w:tc>
          <w:tcPr>
            <w:tcW w:type="dxa" w:w="1500"/>
          </w:tcPr>
          <w:p>
            <w:r>
              <w:t xml:space="preserve">6</w:t>
            </w:r>
          </w:p>
        </w:tc>
        <w:tc>
          <w:tcPr>
            <w:tcW w:type="dxa" w:w="1500"/>
          </w:tcPr>
          <w:p>
            <w:r>
              <w:t xml:space="preserve">2021-07-14</w:t>
            </w:r>
          </w:p>
        </w:tc>
        <w:tc>
          <w:tcPr>
            <w:tcW w:type="dxa" w:w="1500"/>
          </w:tcPr>
          <w:p>
            <w:r>
              <w:t xml:space="preserve">13</w:t>
            </w:r>
          </w:p>
        </w:tc>
        <w:tc>
          <w:tcPr>
            <w:tcW w:type="dxa" w:w="1500"/>
          </w:tcPr>
          <w:p>
            <w:r>
              <w:t xml:space="preserve">1</w:t>
            </w:r>
          </w:p>
        </w:tc>
        <w:tc>
          <w:tcPr>
            <w:tcW w:type="dxa" w:w="1500"/>
          </w:tcPr>
          <w:p>
            <w:r>
              <w:t xml:space="preserve">7,566</w:t>
            </w:r>
          </w:p>
        </w:tc>
        <w:tc>
          <w:tcPr>
            <w:tcW w:type="dxa" w:w="1500"/>
          </w:tcPr>
          <w:p>
            <w:r>
              <w:t xml:space="preserve">110</w:t>
            </w:r>
          </w:p>
        </w:tc>
      </w:tr>
      <w:tr>
        <w:tc>
          <w:tcPr>
            <w:tcW w:type="dxa" w:w="1500"/>
          </w:tcPr>
          <w:p>
            <w:r>
              <w:t xml:space="preserve">7</w:t>
            </w:r>
          </w:p>
        </w:tc>
        <w:tc>
          <w:tcPr>
            <w:tcW w:type="dxa" w:w="1500"/>
          </w:tcPr>
          <w:p>
            <w:r>
              <w:t xml:space="preserve">2021-07-21</w:t>
            </w:r>
          </w:p>
        </w:tc>
        <w:tc>
          <w:tcPr>
            <w:tcW w:type="dxa" w:w="1500"/>
          </w:tcPr>
          <w:p>
            <w:r>
              <w:t xml:space="preserve">37</w:t>
            </w:r>
          </w:p>
        </w:tc>
        <w:tc>
          <w:tcPr>
            <w:tcW w:type="dxa" w:w="1500"/>
          </w:tcPr>
          <w:p>
            <w:r>
              <w:t xml:space="preserve">0</w:t>
            </w:r>
          </w:p>
        </w:tc>
        <w:tc>
          <w:tcPr>
            <w:tcW w:type="dxa" w:w="1500"/>
          </w:tcPr>
          <w:p>
            <w:r>
              <w:t xml:space="preserve">7,603</w:t>
            </w:r>
          </w:p>
        </w:tc>
        <w:tc>
          <w:tcPr>
            <w:tcW w:type="dxa" w:w="1500"/>
          </w:tcPr>
          <w:p>
            <w:r>
              <w:t xml:space="preserve">110</w:t>
            </w:r>
          </w:p>
        </w:tc>
      </w:tr>
      <w:tr>
        <w:tc>
          <w:tcPr>
            <w:tcW w:type="dxa" w:w="1500"/>
          </w:tcPr>
          <w:p>
            <w:r>
              <w:t xml:space="preserve">8</w:t>
            </w:r>
          </w:p>
        </w:tc>
        <w:tc>
          <w:tcPr>
            <w:tcW w:type="dxa" w:w="1500"/>
          </w:tcPr>
          <w:p>
            <w:r>
              <w:t xml:space="preserve">2021-07-28</w:t>
            </w:r>
          </w:p>
        </w:tc>
        <w:tc>
          <w:tcPr>
            <w:tcW w:type="dxa" w:w="1500"/>
          </w:tcPr>
          <w:p>
            <w:r>
              <w:t xml:space="preserve">67</w:t>
            </w:r>
          </w:p>
        </w:tc>
        <w:tc>
          <w:tcPr>
            <w:tcW w:type="dxa" w:w="1500"/>
          </w:tcPr>
          <w:p>
            <w:r>
              <w:t xml:space="preserve">0</w:t>
            </w:r>
          </w:p>
        </w:tc>
        <w:tc>
          <w:tcPr>
            <w:tcW w:type="dxa" w:w="1500"/>
          </w:tcPr>
          <w:p>
            <w:r>
              <w:t xml:space="preserve">7,670</w:t>
            </w:r>
          </w:p>
        </w:tc>
        <w:tc>
          <w:tcPr>
            <w:tcW w:type="dxa" w:w="1500"/>
          </w:tcPr>
          <w:p>
            <w:r>
              <w:t xml:space="preserve">110</w:t>
            </w:r>
          </w:p>
        </w:tc>
      </w:tr>
      <w:tr>
        <w:tc>
          <w:tcPr>
            <w:tcW w:type="dxa" w:w="1500"/>
          </w:tcPr>
          <w:p>
            <w:r>
              <w:t xml:space="preserve">9</w:t>
            </w:r>
          </w:p>
        </w:tc>
        <w:tc>
          <w:tcPr>
            <w:tcW w:type="dxa" w:w="1500"/>
          </w:tcPr>
          <w:p>
            <w:r>
              <w:t xml:space="preserve">2021-08-04</w:t>
            </w:r>
          </w:p>
        </w:tc>
        <w:tc>
          <w:tcPr>
            <w:tcW w:type="dxa" w:w="1500"/>
          </w:tcPr>
          <w:p>
            <w:r>
              <w:t xml:space="preserve">110</w:t>
            </w:r>
          </w:p>
        </w:tc>
        <w:tc>
          <w:tcPr>
            <w:tcW w:type="dxa" w:w="1500"/>
          </w:tcPr>
          <w:p>
            <w:r>
              <w:t xml:space="preserve">0</w:t>
            </w:r>
          </w:p>
        </w:tc>
        <w:tc>
          <w:tcPr>
            <w:tcW w:type="dxa" w:w="1500"/>
          </w:tcPr>
          <w:p>
            <w:r>
              <w:t xml:space="preserve">7,780</w:t>
            </w:r>
          </w:p>
        </w:tc>
        <w:tc>
          <w:tcPr>
            <w:tcW w:type="dxa" w:w="1500"/>
          </w:tcPr>
          <w:p>
            <w:r>
              <w:t xml:space="preserve">110</w:t>
            </w:r>
          </w:p>
        </w:tc>
      </w:tr>
      <w:tr>
        <w:tc>
          <w:tcPr>
            <w:tcW w:type="dxa" w:w="1500"/>
          </w:tcPr>
          <w:p>
            <w:r>
              <w:t xml:space="preserve">10</w:t>
            </w:r>
          </w:p>
        </w:tc>
        <w:tc>
          <w:tcPr>
            <w:tcW w:type="dxa" w:w="1500"/>
          </w:tcPr>
          <w:p>
            <w:r>
              <w:t xml:space="preserve">2021-08-11</w:t>
            </w:r>
          </w:p>
        </w:tc>
        <w:tc>
          <w:tcPr>
            <w:tcW w:type="dxa" w:w="1500"/>
          </w:tcPr>
          <w:p>
            <w:r>
              <w:t xml:space="preserve">196</w:t>
            </w:r>
          </w:p>
        </w:tc>
        <w:tc>
          <w:tcPr>
            <w:tcW w:type="dxa" w:w="1500"/>
          </w:tcPr>
          <w:p>
            <w:r>
              <w:t xml:space="preserve">1</w:t>
            </w:r>
          </w:p>
        </w:tc>
        <w:tc>
          <w:tcPr>
            <w:tcW w:type="dxa" w:w="1500"/>
          </w:tcPr>
          <w:p>
            <w:r>
              <w:t xml:space="preserve">7,976</w:t>
            </w:r>
          </w:p>
        </w:tc>
        <w:tc>
          <w:tcPr>
            <w:tcW w:type="dxa" w:w="1500"/>
          </w:tcPr>
          <w:p>
            <w:r>
              <w:t xml:space="preserve">111</w:t>
            </w:r>
          </w:p>
        </w:tc>
      </w:tr>
      <w:tr>
        <w:tc>
          <w:tcPr>
            <w:tcW w:type="dxa" w:w="1500"/>
          </w:tcPr>
          <w:p>
            <w:r>
              <w:t xml:space="preserve">11</w:t>
            </w:r>
          </w:p>
        </w:tc>
        <w:tc>
          <w:tcPr>
            <w:tcW w:type="dxa" w:w="1500"/>
          </w:tcPr>
          <w:p>
            <w:r>
              <w:t xml:space="preserve">2021-08-18</w:t>
            </w:r>
          </w:p>
        </w:tc>
        <w:tc>
          <w:tcPr>
            <w:tcW w:type="dxa" w:w="1500"/>
          </w:tcPr>
          <w:p>
            <w:r>
              <w:t xml:space="preserve">318</w:t>
            </w:r>
          </w:p>
        </w:tc>
        <w:tc>
          <w:tcPr>
            <w:tcW w:type="dxa" w:w="1500"/>
          </w:tcPr>
          <w:p>
            <w:r>
              <w:t xml:space="preserve">0</w:t>
            </w:r>
          </w:p>
        </w:tc>
        <w:tc>
          <w:tcPr>
            <w:tcW w:type="dxa" w:w="1500"/>
          </w:tcPr>
          <w:p>
            <w:r>
              <w:t xml:space="preserve">8,294</w:t>
            </w:r>
          </w:p>
        </w:tc>
        <w:tc>
          <w:tcPr>
            <w:tcW w:type="dxa" w:w="1500"/>
          </w:tcPr>
          <w:p>
            <w:r>
              <w:t xml:space="preserve">111</w:t>
            </w:r>
          </w:p>
        </w:tc>
      </w:tr>
      <w:tr>
        <w:tc>
          <w:tcPr>
            <w:tcW w:type="dxa" w:w="1500"/>
          </w:tcPr>
          <w:p>
            <w:r>
              <w:t xml:space="preserve">12</w:t>
            </w:r>
          </w:p>
        </w:tc>
        <w:tc>
          <w:tcPr>
            <w:tcW w:type="dxa" w:w="1500"/>
          </w:tcPr>
          <w:p>
            <w:r>
              <w:t xml:space="preserve">2021-08-25</w:t>
            </w:r>
          </w:p>
        </w:tc>
        <w:tc>
          <w:tcPr>
            <w:tcW w:type="dxa" w:w="1500"/>
          </w:tcPr>
          <w:p>
            <w:r>
              <w:t xml:space="preserve">284</w:t>
            </w:r>
          </w:p>
        </w:tc>
        <w:tc>
          <w:tcPr>
            <w:tcW w:type="dxa" w:w="1500"/>
          </w:tcPr>
          <w:p>
            <w:r>
              <w:t xml:space="preserve">2</w:t>
            </w:r>
          </w:p>
        </w:tc>
        <w:tc>
          <w:tcPr>
            <w:tcW w:type="dxa" w:w="1500"/>
          </w:tcPr>
          <w:p>
            <w:r>
              <w:t xml:space="preserve">8,578</w:t>
            </w:r>
          </w:p>
        </w:tc>
        <w:tc>
          <w:tcPr>
            <w:tcW w:type="dxa" w:w="1500"/>
          </w:tcPr>
          <w:p>
            <w:r>
              <w:t xml:space="preserve">113</w:t>
            </w:r>
          </w:p>
        </w:tc>
      </w:tr>
      <w:tr>
        <w:tc>
          <w:tcPr>
            <w:tcW w:type="dxa" w:w="1500"/>
          </w:tcPr>
          <w:p>
            <w:r>
              <w:t xml:space="preserve">13</w:t>
            </w:r>
          </w:p>
        </w:tc>
        <w:tc>
          <w:tcPr>
            <w:tcW w:type="dxa" w:w="1500"/>
          </w:tcPr>
          <w:p>
            <w:r>
              <w:t xml:space="preserve">2021-09-01</w:t>
            </w:r>
          </w:p>
        </w:tc>
        <w:tc>
          <w:tcPr>
            <w:tcW w:type="dxa" w:w="1500"/>
          </w:tcPr>
          <w:p>
            <w:r>
              <w:t xml:space="preserve">285</w:t>
            </w:r>
          </w:p>
        </w:tc>
        <w:tc>
          <w:tcPr>
            <w:tcW w:type="dxa" w:w="1500"/>
          </w:tcPr>
          <w:p>
            <w:r>
              <w:t xml:space="preserve">2</w:t>
            </w:r>
          </w:p>
        </w:tc>
        <w:tc>
          <w:tcPr>
            <w:tcW w:type="dxa" w:w="1500"/>
          </w:tcPr>
          <w:p>
            <w:r>
              <w:t xml:space="preserve">8,863</w:t>
            </w:r>
          </w:p>
        </w:tc>
        <w:tc>
          <w:tcPr>
            <w:tcW w:type="dxa" w:w="1500"/>
          </w:tcPr>
          <w:p>
            <w:r>
              <w:t xml:space="preserve">115</w:t>
            </w:r>
          </w:p>
        </w:tc>
      </w:tr>
      <w:tr>
        <w:tc>
          <w:tcPr>
            <w:tcW w:type="dxa" w:w="1500"/>
          </w:tcPr>
          <w:p>
            <w:r>
              <w:t xml:space="preserve">14</w:t>
            </w:r>
          </w:p>
        </w:tc>
        <w:tc>
          <w:tcPr>
            <w:tcW w:type="dxa" w:w="1500"/>
          </w:tcPr>
          <w:p>
            <w:r>
              <w:t xml:space="preserve">2021-09-08</w:t>
            </w:r>
          </w:p>
        </w:tc>
        <w:tc>
          <w:tcPr>
            <w:tcW w:type="dxa" w:w="1500"/>
          </w:tcPr>
          <w:p>
            <w:r>
              <w:t xml:space="preserve">224</w:t>
            </w:r>
          </w:p>
        </w:tc>
        <w:tc>
          <w:tcPr>
            <w:tcW w:type="dxa" w:w="1500"/>
          </w:tcPr>
          <w:p>
            <w:r>
              <w:t xml:space="preserve">3</w:t>
            </w:r>
          </w:p>
        </w:tc>
        <w:tc>
          <w:tcPr>
            <w:tcW w:type="dxa" w:w="1500"/>
          </w:tcPr>
          <w:p>
            <w:r>
              <w:t xml:space="preserve">9,087</w:t>
            </w:r>
          </w:p>
        </w:tc>
        <w:tc>
          <w:tcPr>
            <w:tcW w:type="dxa" w:w="1500"/>
          </w:tcPr>
          <w:p>
            <w:r>
              <w:t xml:space="preserve">118</w:t>
            </w:r>
          </w:p>
        </w:tc>
      </w:tr>
      <w:tr>
        <w:tc>
          <w:tcPr>
            <w:tcW w:type="dxa" w:w="1500"/>
          </w:tcPr>
          <w:p>
            <w:r>
              <w:t xml:space="preserve">15</w:t>
            </w:r>
          </w:p>
        </w:tc>
        <w:tc>
          <w:tcPr>
            <w:tcW w:type="dxa" w:w="1500"/>
          </w:tcPr>
          <w:p>
            <w:r>
              <w:t xml:space="preserve">2021-09-15</w:t>
            </w:r>
          </w:p>
        </w:tc>
        <w:tc>
          <w:tcPr>
            <w:tcW w:type="dxa" w:w="1500"/>
          </w:tcPr>
          <w:p>
            <w:r>
              <w:t xml:space="preserve">243</w:t>
            </w:r>
          </w:p>
        </w:tc>
        <w:tc>
          <w:tcPr>
            <w:tcW w:type="dxa" w:w="1500"/>
          </w:tcPr>
          <w:p>
            <w:r>
              <w:t xml:space="preserve">0</w:t>
            </w:r>
          </w:p>
        </w:tc>
        <w:tc>
          <w:tcPr>
            <w:tcW w:type="dxa" w:w="1500"/>
          </w:tcPr>
          <w:p>
            <w:r>
              <w:t xml:space="preserve">9,330</w:t>
            </w:r>
          </w:p>
        </w:tc>
        <w:tc>
          <w:tcPr>
            <w:tcW w:type="dxa" w:w="1500"/>
          </w:tcPr>
          <w:p>
            <w:r>
              <w:t xml:space="preserve">118</w:t>
            </w:r>
          </w:p>
        </w:tc>
      </w:tr>
      <w:tr>
        <w:tc>
          <w:tcPr>
            <w:tcW w:type="dxa" w:w="1500"/>
          </w:tcPr>
          <w:p>
            <w:r>
              <w:t xml:space="preserve">16</w:t>
            </w:r>
          </w:p>
        </w:tc>
        <w:tc>
          <w:tcPr>
            <w:tcW w:type="dxa" w:w="1500"/>
          </w:tcPr>
          <w:p>
            <w:r>
              <w:t xml:space="preserve">2021-09-22</w:t>
            </w:r>
          </w:p>
        </w:tc>
        <w:tc>
          <w:tcPr>
            <w:tcW w:type="dxa" w:w="1500"/>
          </w:tcPr>
          <w:p>
            <w:r>
              <w:t xml:space="preserve">378</w:t>
            </w:r>
          </w:p>
        </w:tc>
        <w:tc>
          <w:tcPr>
            <w:tcW w:type="dxa" w:w="1500"/>
          </w:tcPr>
          <w:p>
            <w:r>
              <w:t xml:space="preserve">3</w:t>
            </w:r>
          </w:p>
        </w:tc>
        <w:tc>
          <w:tcPr>
            <w:tcW w:type="dxa" w:w="1500"/>
          </w:tcPr>
          <w:p>
            <w:r>
              <w:t xml:space="preserve">9,708</w:t>
            </w:r>
          </w:p>
        </w:tc>
        <w:tc>
          <w:tcPr>
            <w:tcW w:type="dxa" w:w="1500"/>
          </w:tcPr>
          <w:p>
            <w:r>
              <w:t xml:space="preserve">121</w:t>
            </w:r>
          </w:p>
        </w:tc>
      </w:tr>
      <w:tr>
        <w:tc>
          <w:tcPr>
            <w:tcW w:type="dxa" w:w="1500"/>
          </w:tcPr>
          <w:p>
            <w:r>
              <w:t xml:space="preserve">17</w:t>
            </w:r>
          </w:p>
        </w:tc>
        <w:tc>
          <w:tcPr>
            <w:tcW w:type="dxa" w:w="1500"/>
          </w:tcPr>
          <w:p>
            <w:r>
              <w:t xml:space="preserve">2021-09-29</w:t>
            </w:r>
          </w:p>
        </w:tc>
        <w:tc>
          <w:tcPr>
            <w:tcW w:type="dxa" w:w="1500"/>
          </w:tcPr>
          <w:p>
            <w:r>
              <w:t xml:space="preserve">262</w:t>
            </w:r>
          </w:p>
        </w:tc>
        <w:tc>
          <w:tcPr>
            <w:tcW w:type="dxa" w:w="1500"/>
          </w:tcPr>
          <w:p>
            <w:r>
              <w:t xml:space="preserve">3</w:t>
            </w:r>
          </w:p>
        </w:tc>
        <w:tc>
          <w:tcPr>
            <w:tcW w:type="dxa" w:w="1500"/>
          </w:tcPr>
          <w:p>
            <w:r>
              <w:t xml:space="preserve">9,970</w:t>
            </w:r>
          </w:p>
        </w:tc>
        <w:tc>
          <w:tcPr>
            <w:tcW w:type="dxa" w:w="1500"/>
          </w:tcPr>
          <w:p>
            <w:r>
              <w:t xml:space="preserve">124</w:t>
            </w:r>
          </w:p>
        </w:tc>
      </w:tr>
      <w:tr>
        <w:tc>
          <w:tcPr>
            <w:tcW w:type="dxa" w:w="1500"/>
          </w:tcPr>
          <w:p>
            <w:r>
              <w:t xml:space="preserve">18</w:t>
            </w:r>
          </w:p>
        </w:tc>
        <w:tc>
          <w:tcPr>
            <w:tcW w:type="dxa" w:w="1500"/>
          </w:tcPr>
          <w:p>
            <w:r>
              <w:t xml:space="preserve">2021-10-06</w:t>
            </w:r>
          </w:p>
        </w:tc>
        <w:tc>
          <w:tcPr>
            <w:tcW w:type="dxa" w:w="1500"/>
          </w:tcPr>
          <w:p>
            <w:r>
              <w:t xml:space="preserve">244</w:t>
            </w:r>
          </w:p>
        </w:tc>
        <w:tc>
          <w:tcPr>
            <w:tcW w:type="dxa" w:w="1500"/>
          </w:tcPr>
          <w:p>
            <w:r>
              <w:t xml:space="preserve">2</w:t>
            </w:r>
          </w:p>
        </w:tc>
        <w:tc>
          <w:tcPr>
            <w:tcW w:type="dxa" w:w="1500"/>
          </w:tcPr>
          <w:p>
            <w:r>
              <w:t xml:space="preserve">10,214</w:t>
            </w:r>
          </w:p>
        </w:tc>
        <w:tc>
          <w:tcPr>
            <w:tcW w:type="dxa" w:w="1500"/>
          </w:tcPr>
          <w:p>
            <w:r>
              <w:t xml:space="preserve">126</w:t>
            </w:r>
          </w:p>
        </w:tc>
      </w:tr>
    </w:tbl>
    <w:p/>
    <w:p>
      <w:r>
        <w:rPr>
          <w:b/>
          <w:bCs/>
        </w:rPr>
        <w:t xml:space="preserve">Fitted model of record.</w:t>
      </w:r>
      <w:r>
        <w:t xml:space="preserve"> The district's epidemiologist fitted a single cubic to the </w:t>
      </w:r>
      <w:r>
        <w:rPr>
          <w:b/>
          <w:bCs/>
        </w:rPr>
        <w:t xml:space="preserve">New cases</w:t>
      </w:r>
      <w:r>
        <w:t xml:space="preserve"> column above by ordinary least squares, </w:t>
      </w:r>
      <w:r>
        <w:rPr>
          <w:rFonts w:ascii="Courier New" w:cs="Courier New" w:eastAsia="Courier New" w:hAnsi="Courier New"/>
        </w:rPr>
        <w:t xml:space="preserve">t</w:t>
      </w:r>
      <w:r>
        <w:t xml:space="preserve"> in weeks from the first row, coefficients rounded to four decimal places [S7]:</w:t>
      </w:r>
    </w:p>
    <w:p>
      <w:pPr>
        <w:shd w:fill="F0F0F0" w:val="clear"/>
      </w:pPr>
      <w:r>
        <w:rPr>
          <w:rFonts w:ascii="Courier New" w:cs="Courier New" w:eastAsia="Courier New" w:hAnsi="Courier New"/>
        </w:rPr>
        <w:t xml:space="preserve">P(t) = -0.3348 t^3 + 8.9975 t^2 - 42.0177 t + 38.2994</w:t>
      </w:r>
    </w:p>
    <w:p>
      <w:pPr>
        <w:pStyle w:val="Heading2"/>
        <w:spacing w:after="120" w:before="240"/>
      </w:pPr>
      <w:r>
        <w:t xml:space="preserve">Appendix B — The Current Wave: Weekly Reported Cases Through the Decision Week</w:t>
      </w:r>
    </w:p>
    <w:p>
      <w:r>
        <w:t xml:space="preserve">Same county, same published series [S1]. The current wave, from the week the previous window closed through the decision week. </w:t>
      </w:r>
      <w:r>
        <w:rPr>
          <w:rFonts w:ascii="Courier New" w:cs="Courier New" w:eastAsia="Courier New" w:hAnsi="Courier New"/>
        </w:rPr>
        <w:t xml:space="preserve">t</w:t>
      </w:r>
      <w:r>
        <w:t xml:space="preserve"> counts weeks from the first row of </w:t>
      </w:r>
      <w:r>
        <w:rPr>
          <w:b/>
          <w:bCs/>
        </w:rPr>
        <w:t xml:space="preserve">this</w:t>
      </w:r>
      <w:r>
        <w:t xml:space="preserve"> table, so </w:t>
      </w:r>
      <w:r>
        <w:rPr>
          <w:rFonts w:ascii="Courier New" w:cs="Courier New" w:eastAsia="Courier New" w:hAnsi="Courier New"/>
        </w:rPr>
        <w:t xml:space="preserve">t = 0</w:t>
      </w:r>
      <w:r>
        <w:t xml:space="preserve"> here is the same calendar week as </w:t>
      </w:r>
      <w:r>
        <w:rPr>
          <w:rFonts w:ascii="Courier New" w:cs="Courier New" w:eastAsia="Courier New" w:hAnsi="Courier New"/>
        </w:rPr>
        <w:t xml:space="preserve">t = 18</w:t>
      </w:r>
      <w:r>
        <w:t xml:space="preserve"> in Appendix A. The decision week is </w:t>
      </w:r>
      <w:r>
        <w:rPr>
          <w:rFonts w:ascii="Courier New" w:cs="Courier New" w:eastAsia="Courier New" w:hAnsi="Courier New"/>
        </w:rPr>
        <w:t xml:space="preserve">t = 11</w:t>
      </w:r>
      <w: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DDDDD" w:val="clear"/>
          </w:tcPr>
          <w:p>
            <w:r>
              <w:t xml:space="preserve">t</w:t>
            </w:r>
          </w:p>
        </w:tc>
        <w:tc>
          <w:tcPr>
            <w:tcW w:type="dxa" w:w="1500"/>
            <w:shd w:fill="DDDDDD" w:val="clear"/>
          </w:tcPr>
          <w:p>
            <w:r>
              <w:t xml:space="preserve">Week ending</w:t>
            </w:r>
          </w:p>
        </w:tc>
        <w:tc>
          <w:tcPr>
            <w:tcW w:type="dxa" w:w="1500"/>
            <w:shd w:fill="DDDDDD" w:val="clear"/>
          </w:tcPr>
          <w:p>
            <w:r>
              <w:t xml:space="preserve">New cases</w:t>
            </w:r>
          </w:p>
        </w:tc>
        <w:tc>
          <w:tcPr>
            <w:tcW w:type="dxa" w:w="1500"/>
            <w:shd w:fill="DDDDDD" w:val="clear"/>
          </w:tcPr>
          <w:p>
            <w:r>
              <w:t xml:space="preserve">New deaths</w:t>
            </w:r>
          </w:p>
        </w:tc>
        <w:tc>
          <w:tcPr>
            <w:tcW w:type="dxa" w:w="1500"/>
            <w:shd w:fill="DDDDDD" w:val="clear"/>
          </w:tcPr>
          <w:p>
            <w:r>
              <w:t xml:space="preserve">Cumulative cases</w:t>
            </w:r>
          </w:p>
        </w:tc>
        <w:tc>
          <w:tcPr>
            <w:tcW w:type="dxa" w:w="1500"/>
            <w:shd w:fill="DDDDDD" w:val="clear"/>
          </w:tcPr>
          <w:p>
            <w:r>
              <w:t xml:space="preserve">Cumulative deaths</w:t>
            </w:r>
          </w:p>
        </w:tc>
      </w:tr>
      <w:tr>
        <w:tc>
          <w:tcPr>
            <w:tcW w:type="dxa" w:w="1500"/>
          </w:tcPr>
          <w:p>
            <w:r>
              <w:t xml:space="preserve">0</w:t>
            </w:r>
          </w:p>
        </w:tc>
        <w:tc>
          <w:tcPr>
            <w:tcW w:type="dxa" w:w="1500"/>
          </w:tcPr>
          <w:p>
            <w:r>
              <w:t xml:space="preserve">2021-10-06</w:t>
            </w:r>
          </w:p>
        </w:tc>
        <w:tc>
          <w:tcPr>
            <w:tcW w:type="dxa" w:w="1500"/>
          </w:tcPr>
          <w:p>
            <w:r>
              <w:t xml:space="preserve">244</w:t>
            </w:r>
          </w:p>
        </w:tc>
        <w:tc>
          <w:tcPr>
            <w:tcW w:type="dxa" w:w="1500"/>
          </w:tcPr>
          <w:p>
            <w:r>
              <w:t xml:space="preserve">2</w:t>
            </w:r>
          </w:p>
        </w:tc>
        <w:tc>
          <w:tcPr>
            <w:tcW w:type="dxa" w:w="1500"/>
          </w:tcPr>
          <w:p>
            <w:r>
              <w:t xml:space="preserve">10,214</w:t>
            </w:r>
          </w:p>
        </w:tc>
        <w:tc>
          <w:tcPr>
            <w:tcW w:type="dxa" w:w="1500"/>
          </w:tcPr>
          <w:p>
            <w:r>
              <w:t xml:space="preserve">126</w:t>
            </w:r>
          </w:p>
        </w:tc>
      </w:tr>
      <w:tr>
        <w:tc>
          <w:tcPr>
            <w:tcW w:type="dxa" w:w="1500"/>
          </w:tcPr>
          <w:p>
            <w:r>
              <w:t xml:space="preserve">1</w:t>
            </w:r>
          </w:p>
        </w:tc>
        <w:tc>
          <w:tcPr>
            <w:tcW w:type="dxa" w:w="1500"/>
          </w:tcPr>
          <w:p>
            <w:r>
              <w:t xml:space="preserve">2021-10-13</w:t>
            </w:r>
          </w:p>
        </w:tc>
        <w:tc>
          <w:tcPr>
            <w:tcW w:type="dxa" w:w="1500"/>
          </w:tcPr>
          <w:p>
            <w:r>
              <w:t xml:space="preserve">281</w:t>
            </w:r>
          </w:p>
        </w:tc>
        <w:tc>
          <w:tcPr>
            <w:tcW w:type="dxa" w:w="1500"/>
          </w:tcPr>
          <w:p>
            <w:r>
              <w:t xml:space="preserve">0</w:t>
            </w:r>
          </w:p>
        </w:tc>
        <w:tc>
          <w:tcPr>
            <w:tcW w:type="dxa" w:w="1500"/>
          </w:tcPr>
          <w:p>
            <w:r>
              <w:t xml:space="preserve">10,495</w:t>
            </w:r>
          </w:p>
        </w:tc>
        <w:tc>
          <w:tcPr>
            <w:tcW w:type="dxa" w:w="1500"/>
          </w:tcPr>
          <w:p>
            <w:r>
              <w:t xml:space="preserve">126</w:t>
            </w:r>
          </w:p>
        </w:tc>
      </w:tr>
      <w:tr>
        <w:tc>
          <w:tcPr>
            <w:tcW w:type="dxa" w:w="1500"/>
          </w:tcPr>
          <w:p>
            <w:r>
              <w:t xml:space="preserve">2</w:t>
            </w:r>
          </w:p>
        </w:tc>
        <w:tc>
          <w:tcPr>
            <w:tcW w:type="dxa" w:w="1500"/>
          </w:tcPr>
          <w:p>
            <w:r>
              <w:t xml:space="preserve">2021-10-20</w:t>
            </w:r>
          </w:p>
        </w:tc>
        <w:tc>
          <w:tcPr>
            <w:tcW w:type="dxa" w:w="1500"/>
          </w:tcPr>
          <w:p>
            <w:r>
              <w:t xml:space="preserve">315</w:t>
            </w:r>
          </w:p>
        </w:tc>
        <w:tc>
          <w:tcPr>
            <w:tcW w:type="dxa" w:w="1500"/>
          </w:tcPr>
          <w:p>
            <w:r>
              <w:t xml:space="preserve">1</w:t>
            </w:r>
          </w:p>
        </w:tc>
        <w:tc>
          <w:tcPr>
            <w:tcW w:type="dxa" w:w="1500"/>
          </w:tcPr>
          <w:p>
            <w:r>
              <w:t xml:space="preserve">10,810</w:t>
            </w:r>
          </w:p>
        </w:tc>
        <w:tc>
          <w:tcPr>
            <w:tcW w:type="dxa" w:w="1500"/>
          </w:tcPr>
          <w:p>
            <w:r>
              <w:t xml:space="preserve">127</w:t>
            </w:r>
          </w:p>
        </w:tc>
      </w:tr>
      <w:tr>
        <w:tc>
          <w:tcPr>
            <w:tcW w:type="dxa" w:w="1500"/>
          </w:tcPr>
          <w:p>
            <w:r>
              <w:t xml:space="preserve">3</w:t>
            </w:r>
          </w:p>
        </w:tc>
        <w:tc>
          <w:tcPr>
            <w:tcW w:type="dxa" w:w="1500"/>
          </w:tcPr>
          <w:p>
            <w:r>
              <w:t xml:space="preserve">2021-10-27</w:t>
            </w:r>
          </w:p>
        </w:tc>
        <w:tc>
          <w:tcPr>
            <w:tcW w:type="dxa" w:w="1500"/>
          </w:tcPr>
          <w:p>
            <w:r>
              <w:t xml:space="preserve">282</w:t>
            </w:r>
          </w:p>
        </w:tc>
        <w:tc>
          <w:tcPr>
            <w:tcW w:type="dxa" w:w="1500"/>
          </w:tcPr>
          <w:p>
            <w:r>
              <w:t xml:space="preserve">1</w:t>
            </w:r>
          </w:p>
        </w:tc>
        <w:tc>
          <w:tcPr>
            <w:tcW w:type="dxa" w:w="1500"/>
          </w:tcPr>
          <w:p>
            <w:r>
              <w:t xml:space="preserve">11,092</w:t>
            </w:r>
          </w:p>
        </w:tc>
        <w:tc>
          <w:tcPr>
            <w:tcW w:type="dxa" w:w="1500"/>
          </w:tcPr>
          <w:p>
            <w:r>
              <w:t xml:space="preserve">128</w:t>
            </w:r>
          </w:p>
        </w:tc>
      </w:tr>
      <w:tr>
        <w:tc>
          <w:tcPr>
            <w:tcW w:type="dxa" w:w="1500"/>
          </w:tcPr>
          <w:p>
            <w:r>
              <w:t xml:space="preserve">4</w:t>
            </w:r>
          </w:p>
        </w:tc>
        <w:tc>
          <w:tcPr>
            <w:tcW w:type="dxa" w:w="1500"/>
          </w:tcPr>
          <w:p>
            <w:r>
              <w:t xml:space="preserve">2021-11-03</w:t>
            </w:r>
          </w:p>
        </w:tc>
        <w:tc>
          <w:tcPr>
            <w:tcW w:type="dxa" w:w="1500"/>
          </w:tcPr>
          <w:p>
            <w:r>
              <w:t xml:space="preserve">305</w:t>
            </w:r>
          </w:p>
        </w:tc>
        <w:tc>
          <w:tcPr>
            <w:tcW w:type="dxa" w:w="1500"/>
          </w:tcPr>
          <w:p>
            <w:r>
              <w:t xml:space="preserve">1</w:t>
            </w:r>
          </w:p>
        </w:tc>
        <w:tc>
          <w:tcPr>
            <w:tcW w:type="dxa" w:w="1500"/>
          </w:tcPr>
          <w:p>
            <w:r>
              <w:t xml:space="preserve">11,397</w:t>
            </w:r>
          </w:p>
        </w:tc>
        <w:tc>
          <w:tcPr>
            <w:tcW w:type="dxa" w:w="1500"/>
          </w:tcPr>
          <w:p>
            <w:r>
              <w:t xml:space="preserve">129</w:t>
            </w:r>
          </w:p>
        </w:tc>
      </w:tr>
      <w:tr>
        <w:tc>
          <w:tcPr>
            <w:tcW w:type="dxa" w:w="1500"/>
          </w:tcPr>
          <w:p>
            <w:r>
              <w:t xml:space="preserve">5</w:t>
            </w:r>
          </w:p>
        </w:tc>
        <w:tc>
          <w:tcPr>
            <w:tcW w:type="dxa" w:w="1500"/>
          </w:tcPr>
          <w:p>
            <w:r>
              <w:t xml:space="preserve">2021-11-10</w:t>
            </w:r>
          </w:p>
        </w:tc>
        <w:tc>
          <w:tcPr>
            <w:tcW w:type="dxa" w:w="1500"/>
          </w:tcPr>
          <w:p>
            <w:r>
              <w:t xml:space="preserve">352</w:t>
            </w:r>
          </w:p>
        </w:tc>
        <w:tc>
          <w:tcPr>
            <w:tcW w:type="dxa" w:w="1500"/>
          </w:tcPr>
          <w:p>
            <w:r>
              <w:t xml:space="preserve">2</w:t>
            </w:r>
          </w:p>
        </w:tc>
        <w:tc>
          <w:tcPr>
            <w:tcW w:type="dxa" w:w="1500"/>
          </w:tcPr>
          <w:p>
            <w:r>
              <w:t xml:space="preserve">11,749</w:t>
            </w:r>
          </w:p>
        </w:tc>
        <w:tc>
          <w:tcPr>
            <w:tcW w:type="dxa" w:w="1500"/>
          </w:tcPr>
          <w:p>
            <w:r>
              <w:t xml:space="preserve">131</w:t>
            </w:r>
          </w:p>
        </w:tc>
      </w:tr>
      <w:tr>
        <w:tc>
          <w:tcPr>
            <w:tcW w:type="dxa" w:w="1500"/>
          </w:tcPr>
          <w:p>
            <w:r>
              <w:t xml:space="preserve">6</w:t>
            </w:r>
          </w:p>
        </w:tc>
        <w:tc>
          <w:tcPr>
            <w:tcW w:type="dxa" w:w="1500"/>
          </w:tcPr>
          <w:p>
            <w:r>
              <w:t xml:space="preserve">2021-11-17</w:t>
            </w:r>
          </w:p>
        </w:tc>
        <w:tc>
          <w:tcPr>
            <w:tcW w:type="dxa" w:w="1500"/>
          </w:tcPr>
          <w:p>
            <w:r>
              <w:t xml:space="preserve">432</w:t>
            </w:r>
          </w:p>
        </w:tc>
        <w:tc>
          <w:tcPr>
            <w:tcW w:type="dxa" w:w="1500"/>
          </w:tcPr>
          <w:p>
            <w:r>
              <w:t xml:space="preserve">1</w:t>
            </w:r>
          </w:p>
        </w:tc>
        <w:tc>
          <w:tcPr>
            <w:tcW w:type="dxa" w:w="1500"/>
          </w:tcPr>
          <w:p>
            <w:r>
              <w:t xml:space="preserve">12,181</w:t>
            </w:r>
          </w:p>
        </w:tc>
        <w:tc>
          <w:tcPr>
            <w:tcW w:type="dxa" w:w="1500"/>
          </w:tcPr>
          <w:p>
            <w:r>
              <w:t xml:space="preserve">132</w:t>
            </w:r>
          </w:p>
        </w:tc>
      </w:tr>
      <w:tr>
        <w:tc>
          <w:tcPr>
            <w:tcW w:type="dxa" w:w="1500"/>
          </w:tcPr>
          <w:p>
            <w:r>
              <w:t xml:space="preserve">7</w:t>
            </w:r>
          </w:p>
        </w:tc>
        <w:tc>
          <w:tcPr>
            <w:tcW w:type="dxa" w:w="1500"/>
          </w:tcPr>
          <w:p>
            <w:r>
              <w:t xml:space="preserve">2021-11-24</w:t>
            </w:r>
          </w:p>
        </w:tc>
        <w:tc>
          <w:tcPr>
            <w:tcW w:type="dxa" w:w="1500"/>
          </w:tcPr>
          <w:p>
            <w:r>
              <w:t xml:space="preserve">456</w:t>
            </w:r>
          </w:p>
        </w:tc>
        <w:tc>
          <w:tcPr>
            <w:tcW w:type="dxa" w:w="1500"/>
          </w:tcPr>
          <w:p>
            <w:r>
              <w:t xml:space="preserve">2</w:t>
            </w:r>
          </w:p>
        </w:tc>
        <w:tc>
          <w:tcPr>
            <w:tcW w:type="dxa" w:w="1500"/>
          </w:tcPr>
          <w:p>
            <w:r>
              <w:t xml:space="preserve">12,637</w:t>
            </w:r>
          </w:p>
        </w:tc>
        <w:tc>
          <w:tcPr>
            <w:tcW w:type="dxa" w:w="1500"/>
          </w:tcPr>
          <w:p>
            <w:r>
              <w:t xml:space="preserve">134</w:t>
            </w:r>
          </w:p>
        </w:tc>
      </w:tr>
      <w:tr>
        <w:tc>
          <w:tcPr>
            <w:tcW w:type="dxa" w:w="1500"/>
          </w:tcPr>
          <w:p>
            <w:r>
              <w:t xml:space="preserve">8</w:t>
            </w:r>
          </w:p>
        </w:tc>
        <w:tc>
          <w:tcPr>
            <w:tcW w:type="dxa" w:w="1500"/>
          </w:tcPr>
          <w:p>
            <w:r>
              <w:t xml:space="preserve">2021-12-01</w:t>
            </w:r>
          </w:p>
        </w:tc>
        <w:tc>
          <w:tcPr>
            <w:tcW w:type="dxa" w:w="1500"/>
          </w:tcPr>
          <w:p>
            <w:r>
              <w:t xml:space="preserve">364</w:t>
            </w:r>
          </w:p>
        </w:tc>
        <w:tc>
          <w:tcPr>
            <w:tcW w:type="dxa" w:w="1500"/>
          </w:tcPr>
          <w:p>
            <w:r>
              <w:t xml:space="preserve">0</w:t>
            </w:r>
          </w:p>
        </w:tc>
        <w:tc>
          <w:tcPr>
            <w:tcW w:type="dxa" w:w="1500"/>
          </w:tcPr>
          <w:p>
            <w:r>
              <w:t xml:space="preserve">13,001</w:t>
            </w:r>
          </w:p>
        </w:tc>
        <w:tc>
          <w:tcPr>
            <w:tcW w:type="dxa" w:w="1500"/>
          </w:tcPr>
          <w:p>
            <w:r>
              <w:t xml:space="preserve">134</w:t>
            </w:r>
          </w:p>
        </w:tc>
      </w:tr>
      <w:tr>
        <w:tc>
          <w:tcPr>
            <w:tcW w:type="dxa" w:w="1500"/>
          </w:tcPr>
          <w:p>
            <w:r>
              <w:t xml:space="preserve">9</w:t>
            </w:r>
          </w:p>
        </w:tc>
        <w:tc>
          <w:tcPr>
            <w:tcW w:type="dxa" w:w="1500"/>
          </w:tcPr>
          <w:p>
            <w:r>
              <w:t xml:space="preserve">2021-12-08</w:t>
            </w:r>
          </w:p>
        </w:tc>
        <w:tc>
          <w:tcPr>
            <w:tcW w:type="dxa" w:w="1500"/>
          </w:tcPr>
          <w:p>
            <w:r>
              <w:t xml:space="preserve">556</w:t>
            </w:r>
          </w:p>
        </w:tc>
        <w:tc>
          <w:tcPr>
            <w:tcW w:type="dxa" w:w="1500"/>
          </w:tcPr>
          <w:p>
            <w:r>
              <w:t xml:space="preserve">1</w:t>
            </w:r>
          </w:p>
        </w:tc>
        <w:tc>
          <w:tcPr>
            <w:tcW w:type="dxa" w:w="1500"/>
          </w:tcPr>
          <w:p>
            <w:r>
              <w:t xml:space="preserve">13,557</w:t>
            </w:r>
          </w:p>
        </w:tc>
        <w:tc>
          <w:tcPr>
            <w:tcW w:type="dxa" w:w="1500"/>
          </w:tcPr>
          <w:p>
            <w:r>
              <w:t xml:space="preserve">135</w:t>
            </w:r>
          </w:p>
        </w:tc>
      </w:tr>
      <w:tr>
        <w:tc>
          <w:tcPr>
            <w:tcW w:type="dxa" w:w="1500"/>
          </w:tcPr>
          <w:p>
            <w:r>
              <w:t xml:space="preserve">10</w:t>
            </w:r>
          </w:p>
        </w:tc>
        <w:tc>
          <w:tcPr>
            <w:tcW w:type="dxa" w:w="1500"/>
          </w:tcPr>
          <w:p>
            <w:r>
              <w:t xml:space="preserve">2021-12-15</w:t>
            </w:r>
          </w:p>
        </w:tc>
        <w:tc>
          <w:tcPr>
            <w:tcW w:type="dxa" w:w="1500"/>
          </w:tcPr>
          <w:p>
            <w:r>
              <w:t xml:space="preserve">465</w:t>
            </w:r>
          </w:p>
        </w:tc>
        <w:tc>
          <w:tcPr>
            <w:tcW w:type="dxa" w:w="1500"/>
          </w:tcPr>
          <w:p>
            <w:r>
              <w:t xml:space="preserve">1</w:t>
            </w:r>
          </w:p>
        </w:tc>
        <w:tc>
          <w:tcPr>
            <w:tcW w:type="dxa" w:w="1500"/>
          </w:tcPr>
          <w:p>
            <w:r>
              <w:t xml:space="preserve">14,022</w:t>
            </w:r>
          </w:p>
        </w:tc>
        <w:tc>
          <w:tcPr>
            <w:tcW w:type="dxa" w:w="1500"/>
          </w:tcPr>
          <w:p>
            <w:r>
              <w:t xml:space="preserve">136</w:t>
            </w:r>
          </w:p>
        </w:tc>
      </w:tr>
      <w:tr>
        <w:tc>
          <w:tcPr>
            <w:tcW w:type="dxa" w:w="1500"/>
          </w:tcPr>
          <w:p>
            <w:r>
              <w:t xml:space="preserve">11</w:t>
            </w:r>
          </w:p>
        </w:tc>
        <w:tc>
          <w:tcPr>
            <w:tcW w:type="dxa" w:w="1500"/>
          </w:tcPr>
          <w:p>
            <w:r>
              <w:t xml:space="preserve">2021-12-22</w:t>
            </w:r>
          </w:p>
        </w:tc>
        <w:tc>
          <w:tcPr>
            <w:tcW w:type="dxa" w:w="1500"/>
          </w:tcPr>
          <w:p>
            <w:r>
              <w:t xml:space="preserve">631</w:t>
            </w:r>
          </w:p>
        </w:tc>
        <w:tc>
          <w:tcPr>
            <w:tcW w:type="dxa" w:w="1500"/>
          </w:tcPr>
          <w:p>
            <w:r>
              <w:t xml:space="preserve">4</w:t>
            </w:r>
          </w:p>
        </w:tc>
        <w:tc>
          <w:tcPr>
            <w:tcW w:type="dxa" w:w="1500"/>
          </w:tcPr>
          <w:p>
            <w:r>
              <w:t xml:space="preserve">14,653</w:t>
            </w:r>
          </w:p>
        </w:tc>
        <w:tc>
          <w:tcPr>
            <w:tcW w:type="dxa" w:w="1500"/>
          </w:tcPr>
          <w:p>
            <w:r>
              <w:t xml:space="preserve">140</w:t>
            </w:r>
          </w:p>
        </w:tc>
      </w:tr>
    </w:tbl>
    <w:p/>
    <w:p>
      <w:r>
        <w:rPr>
          <w:b/>
          <w:bCs/>
        </w:rPr>
        <w:t xml:space="preserve">Fitted model of record.</w:t>
      </w:r>
      <w:r>
        <w:t xml:space="preserve"> The same epidemiologist fitted a cubic to the </w:t>
      </w:r>
      <w:r>
        <w:rPr>
          <w:b/>
          <w:bCs/>
        </w:rPr>
        <w:t xml:space="preserve">New cases</w:t>
      </w:r>
      <w:r>
        <w:t xml:space="preserve"> column above by the same method, </w:t>
      </w:r>
      <w:r>
        <w:rPr>
          <w:rFonts w:ascii="Courier New" w:cs="Courier New" w:eastAsia="Courier New" w:hAnsi="Courier New"/>
        </w:rPr>
        <w:t xml:space="preserve">t</w:t>
      </w:r>
      <w:r>
        <w:t xml:space="preserve"> in weeks from the first row of this table, coefficients rounded to four decimal places [S8]:</w:t>
      </w:r>
    </w:p>
    <w:p>
      <w:pPr>
        <w:shd w:fill="F0F0F0" w:val="clear"/>
      </w:pPr>
      <w:r>
        <w:rPr>
          <w:rFonts w:ascii="Courier New" w:cs="Courier New" w:eastAsia="Courier New" w:hAnsi="Courier New"/>
        </w:rPr>
        <w:t xml:space="preserve">D(t) = 0.2174 t^3 - 1.8006 t^2 + 25.3255 t + 247.9597</w:t>
      </w:r>
    </w:p>
    <w:p>
      <w:r>
        <w:rPr>
          <w:b/>
          <w:bCs/>
        </w:rPr>
        <w:t xml:space="preserve">Instructional weeks.</w:t>
      </w:r>
      <w:r>
        <w:t xml:space="preserve"> Every week in the board's horizon is counted as five instructional days, and the closure budget is spent as whole weeks — see APPENDIX F, MA5, which also names the district -calendar caveat that goes with that simplification.</w:t>
      </w:r>
    </w:p>
    <w:p>
      <w:pPr>
        <w:pStyle w:val="Heading2"/>
        <w:spacing w:after="120" w:before="240"/>
      </w:pPr>
      <w:r>
        <w:t xml:space="preserve">Appendix C — The Board's Standing Rules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Rule</w:t>
            </w:r>
          </w:p>
        </w:tc>
        <w:tc>
          <w:tcPr>
            <w:tcW w:type="dxa" w:w="4500"/>
            <w:shd w:fill="DDDDDD" w:val="clear"/>
          </w:tcPr>
          <w:p>
            <w:r>
              <w:t xml:space="preserve">Value</w:t>
            </w:r>
          </w:p>
        </w:tc>
      </w:tr>
      <w:tr>
        <w:tc>
          <w:tcPr>
            <w:tcW w:type="dxa" w:w="4500"/>
          </w:tcPr>
          <w:p>
            <w:r>
              <w:t xml:space="preserve">Population denominator used for every case rate in this case</w:t>
            </w:r>
          </w:p>
        </w:tc>
        <w:tc>
          <w:tcPr>
            <w:tcW w:type="dxa" w:w="4500"/>
          </w:tcPr>
          <w:p>
            <w:r>
              <w:rPr>
                <w:b/>
                <w:bCs/>
              </w:rPr>
              <w:t xml:space="preserve">163,774</w:t>
            </w:r>
            <w:r>
              <w:t xml:space="preserve"> residents of Chittenden County, Vermont [S2] — CDC publishes this as the 2019 Census estimate and uses it as the denominator for its own county case rates [S3]</w:t>
            </w:r>
          </w:p>
        </w:tc>
      </w:tr>
      <w:tr>
        <w:tc>
          <w:tcPr>
            <w:tcW w:type="dxa" w:w="4500"/>
          </w:tcPr>
          <w:p>
            <w:r>
              <w:t xml:space="preserve">Reference case-rate tiers a health officer would recognise</w:t>
            </w:r>
          </w:p>
        </w:tc>
        <w:tc>
          <w:tcPr>
            <w:tcW w:type="dxa" w:w="4500"/>
          </w:tcPr>
          <w:p>
            <w:r>
              <w:t xml:space="preserve">CDC's community transmission levels, in total new cases per 100,000 population in the past 7 days: </w:t>
            </w:r>
            <w:r>
              <w:rPr>
                <w:b/>
                <w:bCs/>
              </w:rPr>
              <w:t xml:space="preserve">low</w:t>
            </w:r>
            <w:r>
              <w:t xml:space="preserve"> fewer than 10 · </w:t>
            </w:r>
            <w:r>
              <w:rPr>
                <w:b/>
                <w:bCs/>
              </w:rPr>
              <w:t xml:space="preserve">moderate</w:t>
            </w:r>
            <w:r>
              <w:t xml:space="preserve"> 10–49 · </w:t>
            </w:r>
            <w:r>
              <w:rPr>
                <w:b/>
                <w:bCs/>
              </w:rPr>
              <w:t xml:space="preserve">substantial</w:t>
            </w:r>
            <w:r>
              <w:t xml:space="preserve"> 50–99 · </w:t>
            </w:r>
            <w:r>
              <w:rPr>
                <w:b/>
                <w:bCs/>
              </w:rPr>
              <w:t xml:space="preserve">high</w:t>
            </w:r>
            <w:r>
              <w:t xml:space="preserve"> 100 or more [S4]</w:t>
            </w:r>
          </w:p>
        </w:tc>
      </w:tr>
      <w:tr>
        <w:tc>
          <w:tcPr>
            <w:tcW w:type="dxa" w:w="4500"/>
          </w:tcPr>
          <w:p>
            <w:r>
              <w:t xml:space="preserve">Board's own written closure level (the Tripwire)</w:t>
            </w:r>
          </w:p>
        </w:tc>
        <w:tc>
          <w:tcPr>
            <w:tcW w:type="dxa" w:w="4500"/>
          </w:tcPr>
          <w:p>
            <w:r>
              <w:rPr>
                <w:b/>
                <w:bCs/>
              </w:rPr>
              <w:t xml:space="preserve">500</w:t>
            </w:r>
            <w:r>
              <w:t xml:space="preserve"> reported cases per 100,000 per week — see APPENDIX F, MA2</w:t>
            </w:r>
          </w:p>
        </w:tc>
      </w:tr>
      <w:tr>
        <w:tc>
          <w:tcPr>
            <w:tcW w:type="dxa" w:w="4500"/>
          </w:tcPr>
          <w:p>
            <w:r>
              <w:t xml:space="preserve">Closure budget (length of the one authorised closure)</w:t>
            </w:r>
          </w:p>
        </w:tc>
        <w:tc>
          <w:tcPr>
            <w:tcW w:type="dxa" w:w="4500"/>
          </w:tcPr>
          <w:p>
            <w:r>
              <w:rPr>
                <w:b/>
                <w:bCs/>
              </w:rPr>
              <w:t xml:space="preserve">two weeks</w:t>
            </w:r>
            <w:r>
              <w:t xml:space="preserve">, once per term — see APPENDIX F, MA3</w:t>
            </w:r>
          </w:p>
        </w:tc>
      </w:tr>
      <w:tr>
        <w:tc>
          <w:tcPr>
            <w:tcW w:type="dxa" w:w="4500"/>
          </w:tcPr>
          <w:p>
            <w:r>
              <w:t xml:space="preserve">Evaluation horizon</w:t>
            </w:r>
          </w:p>
        </w:tc>
        <w:tc>
          <w:tcPr>
            <w:tcW w:type="dxa" w:w="4500"/>
          </w:tcPr>
          <w:p>
            <w:r>
              <w:t xml:space="preserve">the </w:t>
            </w:r>
            <w:r>
              <w:rPr>
                <w:b/>
                <w:bCs/>
              </w:rPr>
              <w:t xml:space="preserve">six</w:t>
            </w:r>
            <w:r>
              <w:t xml:space="preserve"> weeks after the decision week, </w:t>
            </w:r>
            <w:r>
              <w:rPr>
                <w:rFonts w:ascii="Courier New" w:cs="Courier New" w:eastAsia="Courier New" w:hAnsi="Courier New"/>
              </w:rPr>
              <w:t xml:space="preserve">t = 12</w:t>
            </w:r>
            <w:r>
              <w:t xml:space="preserve"> through </w:t>
            </w:r>
            <w:r>
              <w:rPr>
                <w:rFonts w:ascii="Courier New" w:cs="Courier New" w:eastAsia="Courier New" w:hAnsi="Courier New"/>
              </w:rPr>
              <w:t xml:space="preserve">t = 17</w:t>
            </w:r>
            <w:r>
              <w:t xml:space="preserve"> on Appendix B's clock — see APPENDIX F, MA4</w:t>
            </w:r>
          </w:p>
        </w:tc>
      </w:tr>
    </w:tbl>
    <w:p/>
    <w:p>
      <w:r>
        <w:t xml:space="preserve">Read the tier scale above against the county's own numbers before you use it. Every single week in Appendix A's late rows and every week in Appendix B sits above the top of that four-level national scale, which is why the board had to write a level of its own rather than borrow one.</w:t>
      </w:r>
    </w:p>
    <w:p>
      <w:pPr>
        <w:pStyle w:val="Heading2"/>
        <w:spacing w:after="120" w:before="240"/>
      </w:pPr>
      <w:r>
        <w:t xml:space="preserve">Appendix D — The Prevention Model and the Metric</w:t>
      </w:r>
    </w:p>
    <w:p>
      <w:r>
        <w:t xml:space="preserve">Every quantity below is either cited in APPENDIX E or stated in APPENDIX F. Nothing else enters the arithmetic, and no step is hidden: a Hero can reproduce the whole decision table from this appendix, Appendix B and Appendix C in one pass.</w:t>
      </w:r>
    </w:p>
    <w:p>
      <w:r>
        <w:rPr>
          <w:b/>
          <w:bCs/>
        </w:rPr>
        <w:t xml:space="preserve">Step 1 — case rate.</w:t>
      </w:r>
      <w:r>
        <w:t xml:space="preserve"> For any week </w:t>
      </w:r>
      <w:r>
        <w:rPr>
          <w:rFonts w:ascii="Courier New" w:cs="Courier New" w:eastAsia="Courier New" w:hAnsi="Courier New"/>
        </w:rPr>
        <w:t xml:space="preserve">t</w:t>
      </w:r>
      <w:r>
        <w:t xml:space="preserve"> in the horizon, the reported weekly case rate per 100,000 is </w:t>
      </w:r>
      <w:r>
        <w:rPr>
          <w:rFonts w:ascii="Courier New" w:cs="Courier New" w:eastAsia="Courier New" w:hAnsi="Courier New"/>
        </w:rPr>
        <w:t xml:space="preserve">R(t) = D(t) / POP × 100,000</w:t>
      </w:r>
      <w:r>
        <w:t xml:space="preserve">, where </w:t>
      </w:r>
      <w:r>
        <w:rPr>
          <w:rFonts w:ascii="Courier New" w:cs="Courier New" w:eastAsia="Courier New" w:hAnsi="Courier New"/>
        </w:rPr>
        <w:t xml:space="preserve">D(t)</w:t>
      </w:r>
      <w:r>
        <w:t xml:space="preserve"> is the current-wave model of record (Appendix B) and </w:t>
      </w:r>
      <w:r>
        <w:rPr>
          <w:rFonts w:ascii="Courier New" w:cs="Courier New" w:eastAsia="Courier New" w:hAnsi="Courier New"/>
        </w:rPr>
        <w:t xml:space="preserve">POP</w:t>
      </w:r>
      <w:r>
        <w:t xml:space="preserve"> is the population denominator (Appendix C).</w:t>
      </w:r>
    </w:p>
    <w:p>
      <w:r>
        <w:rPr>
          <w:b/>
          <w:bCs/>
        </w:rPr>
        <w:t xml:space="preserve">Step 2 — the growth rate the district plans on.</w:t>
      </w:r>
      <w:r>
        <w:t xml:space="preserve"> </w:t>
      </w:r>
      <w:r>
        <w:rPr>
          <w:rFonts w:ascii="Courier New" w:cs="Courier New" w:eastAsia="Courier New" w:hAnsi="Courier New"/>
        </w:rPr>
        <w:t xml:space="preserve">g = D'(t_dec) / D(t_dec)</w:t>
      </w:r>
      <w:r>
        <w:t xml:space="preserve">, the model's own relative rate of change at the decision week </w:t>
      </w:r>
      <w:r>
        <w:rPr>
          <w:rFonts w:ascii="Courier New" w:cs="Courier New" w:eastAsia="Courier New" w:hAnsi="Courier New"/>
        </w:rPr>
        <w:t xml:space="preserve">t_dec = 11</w:t>
      </w:r>
      <w:r>
        <w:t xml:space="preserve">. This is a derived number, not a stated one: a Hero computes it from the derivative found in D1.</w:t>
      </w:r>
    </w:p>
    <w:p>
      <w:r>
        <w:rPr>
          <w:b/>
          <w:bCs/>
        </w:rPr>
        <w:t xml:space="preserve">Step 3 — the chain multiplier.</w:t>
      </w:r>
      <w:r>
        <w:t xml:space="preserve"> A transmission prevented in week </w:t>
      </w:r>
      <w:r>
        <w:rPr>
          <w:rFonts w:ascii="Courier New" w:cs="Courier New" w:eastAsia="Courier New" w:hAnsi="Courier New"/>
        </w:rPr>
        <w:t xml:space="preserve">t</w:t>
      </w:r>
      <w:r>
        <w:t xml:space="preserve"> also prevents the transmissions it would have gone on to cause before the horizon closes. The board's rule credits that chain as a finite geometric series at the planning growth rate:</w:t>
      </w:r>
    </w:p>
    <w:p>
      <w:pPr>
        <w:shd w:fill="F0F0F0" w:val="clear"/>
      </w:pPr>
      <w:r>
        <w:rPr>
          <w:rFonts w:ascii="Courier New" w:cs="Courier New" w:eastAsia="Courier New" w:hAnsi="Courier New"/>
        </w:rPr>
        <w:t xml:space="preserve">w(t) = ( (1 + g)^(H - t + 1) - 1 ) / g</w:t>
      </w:r>
    </w:p>
    <w:p>
      <w:r>
        <w:t xml:space="preserve">where </w:t>
      </w:r>
      <w:r>
        <w:rPr>
          <w:rFonts w:ascii="Courier New" w:cs="Courier New" w:eastAsia="Courier New" w:hAnsi="Courier New"/>
        </w:rPr>
        <w:t xml:space="preserve">H</w:t>
      </w:r>
      <w:r>
        <w:t xml:space="preserve"> is the last week of the horizon. </w:t>
      </w:r>
      <w:r>
        <w:rPr>
          <w:rFonts w:ascii="Courier New" w:cs="Courier New" w:eastAsia="Courier New" w:hAnsi="Courier New"/>
        </w:rPr>
        <w:t xml:space="preserve">w(H) = 1</w:t>
      </w:r>
      <w:r>
        <w:t xml:space="preserve"> — a transmission prevented in the last week prevents only itself.</w:t>
      </w:r>
    </w:p>
    <w:p>
      <w:r>
        <w:rPr>
          <w:b/>
          <w:bCs/>
        </w:rPr>
        <w:t xml:space="preserve">Step 4 — chain-weighted in-school transmissions.</w:t>
      </w:r>
      <w:r>
        <w:t xml:space="preserve"> For each week </w:t>
      </w:r>
      <w:r>
        <w:rPr>
          <w:rFonts w:ascii="Courier New" w:cs="Courier New" w:eastAsia="Courier New" w:hAnsi="Courier New"/>
        </w:rPr>
        <w:t xml:space="preserve">t</w:t>
      </w:r>
      <w:r>
        <w:t xml:space="preserve"> in the horizon,</w:t>
      </w:r>
    </w:p>
    <w:p>
      <w:pPr>
        <w:shd w:fill="F0F0F0" w:val="clear"/>
      </w:pPr>
      <w:r>
        <w:rPr>
          <w:rFonts w:ascii="Courier New" w:cs="Courier New" w:eastAsia="Courier New" w:hAnsi="Courier New"/>
        </w:rPr>
        <w:t xml:space="preserve">X(t) = k × R(t) / 100 × w(t)</w:t>
      </w:r>
    </w:p>
    <w:p>
      <w:r>
        <w:t xml:space="preserve">in chain-weighted transmissions per one thousand students, where </w:t>
      </w:r>
      <w:r>
        <w:rPr>
          <w:rFonts w:ascii="Courier New" w:cs="Courier New" w:eastAsia="Courier New" w:hAnsi="Courier New"/>
        </w:rPr>
        <w:t xml:space="preserve">k</w:t>
      </w:r>
      <w:r>
        <w:t xml:space="preserve"> is the in-school transmission coefficient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Input</w:t>
            </w:r>
          </w:p>
        </w:tc>
        <w:tc>
          <w:tcPr>
            <w:tcW w:type="dxa" w:w="4500"/>
            <w:shd w:fill="DDDDDD" w:val="clear"/>
          </w:tcPr>
          <w:p>
            <w:r>
              <w:t xml:space="preserve">Value</w:t>
            </w:r>
          </w:p>
        </w:tc>
      </w:tr>
      <w:tr>
        <w:tc>
          <w:tcPr>
            <w:tcW w:type="dxa" w:w="4500"/>
          </w:tcPr>
          <w:p>
            <w:r>
              <w:t xml:space="preserve">In-school transmission coefficient </w:t>
            </w:r>
            <w:r>
              <w:rPr>
                <w:rFonts w:ascii="Courier New" w:cs="Courier New" w:eastAsia="Courier New" w:hAnsi="Courier New"/>
              </w:rPr>
              <w:t xml:space="preserve">k</w:t>
            </w:r>
          </w:p>
        </w:tc>
        <w:tc>
          <w:tcPr>
            <w:tcW w:type="dxa" w:w="4500"/>
          </w:tcPr>
          <w:p>
            <w:r>
              <w:rPr>
                <w:b/>
                <w:bCs/>
              </w:rPr>
              <w:t xml:space="preserve">0.5</w:t>
            </w:r>
            <w:r>
              <w:t xml:space="preserve"> in-school transmissions per 1,000 students in one open week when the community reported rate is 100 per 100,000 that week — see APPENDIX F, MA6, which reasons this down from the real school secondary attack rates in [S6]</w:t>
            </w:r>
          </w:p>
        </w:tc>
      </w:tr>
      <w:tr>
        <w:tc>
          <w:tcPr>
            <w:tcW w:type="dxa" w:w="4500"/>
          </w:tcPr>
          <w:p>
            <w:r>
              <w:t xml:space="preserve">Rapid antigen test performance in asymptomatic screening</w:t>
            </w:r>
          </w:p>
        </w:tc>
        <w:tc>
          <w:tcPr>
            <w:tcW w:type="dxa" w:w="4500"/>
          </w:tcPr>
          <w:p>
            <w:r>
              <w:t xml:space="preserve">average sensitivity </w:t>
            </w:r>
            <w:r>
              <w:rPr>
                <w:b/>
                <w:bCs/>
              </w:rPr>
              <w:t xml:space="preserve">55.0%</w:t>
            </w:r>
            <w:r>
              <w:t xml:space="preserve"> (95% CI 50.9%–59.0%) against RT-PCR in asymptomatic people, average specificity 99.5% [S5]</w:t>
            </w:r>
          </w:p>
        </w:tc>
      </w:tr>
      <w:tr>
        <w:tc>
          <w:tcPr>
            <w:tcW w:type="dxa" w:w="4500"/>
          </w:tcPr>
          <w:p>
            <w:r>
              <w:t xml:space="preserve">Programme effectiveness </w:t>
            </w:r>
            <w:r>
              <w:rPr>
                <w:rFonts w:ascii="Courier New" w:cs="Courier New" w:eastAsia="Courier New" w:hAnsi="Courier New"/>
              </w:rPr>
              <w:t xml:space="preserve">e</w:t>
            </w:r>
            <w:r>
              <w:t xml:space="preserve"> of twice-weekly on-site testing</w:t>
            </w:r>
          </w:p>
        </w:tc>
        <w:tc>
          <w:tcPr>
            <w:tcW w:type="dxa" w:w="4500"/>
          </w:tcPr>
          <w:p>
            <w:r>
              <w:rPr>
                <w:b/>
                <w:bCs/>
              </w:rPr>
              <w:t xml:space="preserve">0.10</w:t>
            </w:r>
            <w:r>
              <w:t xml:space="preserve"> — the share of in-school transmission the screening programme removes in an open week; see APPENDIX F, MA7, which builds it down from [S5]</w:t>
            </w:r>
          </w:p>
        </w:tc>
      </w:tr>
    </w:tbl>
    <w:p/>
    <w:p>
      <w:r>
        <w:rPr>
          <w:b/>
          <w:bCs/>
        </w:rPr>
        <w:t xml:space="preserve">Step 5 — the two plans.</w:t>
      </w:r>
    </w:p>
    <w:p>
      <w:pPr>
        <w:shd w:fill="F0F0F0" w:val="clear"/>
      </w:pPr>
      <w:r>
        <w:rPr>
          <w:rFonts w:ascii="Courier New" w:cs="Courier New" w:eastAsia="Courier New" w:hAnsi="Courier New"/>
        </w:rPr>
        <w:t xml:space="preserve">Total       = sum of X(t) over every week t in the horizon        (no action at all)
Early Brake = Total - [ X(t0) + X(t0+1) ]                          t0 = first week of the horizon
Tripwire    = Total - [ X(tB) + X(tB+1) + e × sum of X(t) over every horizon week outside the closure ]
              where tB is the first horizon week with R(t) &gt;= the board's written level</w:t>
      </w:r>
    </w:p>
    <w:p>
      <w:r>
        <w:rPr>
          <w:b/>
          <w:bCs/>
        </w:rPr>
        <w:t xml:space="preserve">The primary metric is the number each plan leaves behind</w:t>
      </w:r>
      <w:r>
        <w:t xml:space="preserve"> — chain-weighted in-school transmissions per one thousand students over the horizon. Lower is better. Both plans spend the same closure budget, so the metric compares what the budget buys, not what it costs.</w:t>
      </w:r>
    </w:p>
    <w:p>
      <w:pPr>
        <w:pStyle w:val="Heading2"/>
        <w:spacing w:after="120" w:before="240"/>
      </w:pPr>
      <w:r>
        <w:t xml:space="preserve">Appendix E — Sources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DDDDD" w:val="clear"/>
          </w:tcPr>
          <w:p>
            <w:r>
              <w:t xml:space="preserve">id</w:t>
            </w:r>
          </w:p>
        </w:tc>
        <w:tc>
          <w:tcPr>
            <w:tcW w:type="dxa" w:w="1500"/>
            <w:shd w:fill="DDDDDD" w:val="clear"/>
          </w:tcPr>
          <w:p>
            <w:r>
              <w:t xml:space="preserve">Claim</w:t>
            </w:r>
          </w:p>
        </w:tc>
        <w:tc>
          <w:tcPr>
            <w:tcW w:type="dxa" w:w="1500"/>
            <w:shd w:fill="DDDDDD" w:val="clear"/>
          </w:tcPr>
          <w:p>
            <w:r>
              <w:t xml:space="preserve">Value</w:t>
            </w:r>
          </w:p>
        </w:tc>
        <w:tc>
          <w:tcPr>
            <w:tcW w:type="dxa" w:w="1500"/>
            <w:shd w:fill="DDDDDD" w:val="clear"/>
          </w:tcPr>
          <w:p>
            <w:r>
              <w:t xml:space="preserve">Source</w:t>
            </w:r>
          </w:p>
        </w:tc>
        <w:tc>
          <w:tcPr>
            <w:tcW w:type="dxa" w:w="1500"/>
            <w:shd w:fill="DDDDDD" w:val="clear"/>
          </w:tcPr>
          <w:p>
            <w:r>
              <w:t xml:space="preserve">Accessed</w:t>
            </w:r>
          </w:p>
        </w:tc>
        <w:tc>
          <w:tcPr>
            <w:tcW w:type="dxa" w:w="1500"/>
            <w:shd w:fill="DDDDDD" w:val="clear"/>
          </w:tcPr>
          <w:p>
            <w:r>
              <w:t xml:space="preserve">Confidence</w:t>
            </w:r>
          </w:p>
        </w:tc>
      </w:tr>
      <w:tr>
        <w:tc>
          <w:tcPr>
            <w:tcW w:type="dxa" w:w="1500"/>
          </w:tcPr>
          <w:p>
            <w:r>
              <w:t xml:space="preserve">S1</w:t>
            </w:r>
          </w:p>
        </w:tc>
        <w:tc>
          <w:tcPr>
            <w:tcW w:type="dxa" w:w="1500"/>
          </w:tcPr>
          <w:p>
            <w:r>
              <w:t xml:space="preserve">Weekly reported COVID-19 cases and deaths, Chittenden County, Vermont, weeks ending 2021-06-02 to 2021-12-22</w:t>
            </w:r>
          </w:p>
        </w:tc>
        <w:tc>
          <w:tcPr>
            <w:tcW w:type="dxa" w:w="1500"/>
          </w:tcPr>
          <w:p>
            <w:r>
              <w:t xml:space="preserve">the New cases / New deaths / Cumulative columns reproduced in Appendices A and B</w:t>
            </w:r>
          </w:p>
        </w:tc>
        <w:tc>
          <w:tcPr>
            <w:tcW w:type="dxa" w:w="1500"/>
          </w:tcPr>
          <w:p>
            <w:r>
              <w:t xml:space="preserve">CDC COVID-19 Response, "Weekly United States COVID-19 Cases and Deaths by County - ARCHIVED", dataset </w:t>
            </w:r>
            <w:r>
              <w:rPr>
                <w:rFonts w:ascii="Courier New" w:cs="Courier New" w:eastAsia="Courier New" w:hAnsi="Courier New"/>
              </w:rPr>
              <w:t xml:space="preserve">yviw-z6j5</w:t>
            </w:r>
            <w:r>
              <w:t xml:space="preserve"> (</w:t>
            </w:r>
            <w:hyperlink w:history="1" r:id="rIdrg04hglfdgoakg9ndrvy3">
              <w:r>
                <w:rPr>
                  <w:rStyle w:val="Hyperlink"/>
                </w:rPr>
                <w:t xml:space="preserve">link</w:t>
              </w:r>
            </w:hyperlink>
            <w:r>
              <w:t xml:space="preserve">)</w:t>
            </w:r>
          </w:p>
        </w:tc>
        <w:tc>
          <w:tcPr>
            <w:tcW w:type="dxa" w:w="1500"/>
          </w:tcPr>
          <w:p>
            <w:r>
              <w:t xml:space="preserve">2026-08-12</w:t>
            </w:r>
          </w:p>
        </w:tc>
        <w:tc>
          <w:tcPr>
            <w:tcW w:type="dxa" w:w="1500"/>
          </w:tcPr>
          <w:p>
            <w:r>
              <w:t xml:space="preserve">HIGH — primary publisher; series frozen, reporting discontinued 2023-05-11</w:t>
            </w:r>
          </w:p>
        </w:tc>
      </w:tr>
      <w:tr>
        <w:tc>
          <w:tcPr>
            <w:tcW w:type="dxa" w:w="1500"/>
          </w:tcPr>
          <w:p>
            <w:r>
              <w:t xml:space="preserve">S2</w:t>
            </w:r>
          </w:p>
        </w:tc>
        <w:tc>
          <w:tcPr>
            <w:tcW w:type="dxa" w:w="1500"/>
          </w:tcPr>
          <w:p>
            <w:r>
              <w:t xml:space="preserve">Chittenden County, Vermont population denominator</w:t>
            </w:r>
          </w:p>
        </w:tc>
        <w:tc>
          <w:tcPr>
            <w:tcW w:type="dxa" w:w="1500"/>
          </w:tcPr>
          <w:p>
            <w:r>
              <w:t xml:space="preserve">163,774</w:t>
            </w:r>
          </w:p>
        </w:tc>
        <w:tc>
          <w:tcPr>
            <w:tcW w:type="dxa" w:w="1500"/>
          </w:tcPr>
          <w:p>
            <w:r>
              <w:t xml:space="preserve">CDC, "United States COVID-19 Community Levels by County", dataset </w:t>
            </w:r>
            <w:r>
              <w:rPr>
                <w:rFonts w:ascii="Courier New" w:cs="Courier New" w:eastAsia="Courier New" w:hAnsi="Courier New"/>
              </w:rPr>
              <w:t xml:space="preserve">3nnm-4jni</w:t>
            </w:r>
            <w:r>
              <w:t xml:space="preserve">, column </w:t>
            </w:r>
            <w:r>
              <w:rPr>
                <w:rFonts w:ascii="Courier New" w:cs="Courier New" w:eastAsia="Courier New" w:hAnsi="Courier New"/>
              </w:rPr>
              <w:t xml:space="preserve">county_population</w:t>
            </w:r>
            <w:r>
              <w:t xml:space="preserve"> (</w:t>
            </w:r>
            <w:hyperlink w:history="1" r:id="rIdvo22meafhl44ohbh57q_p">
              <w:r>
                <w:rPr>
                  <w:rStyle w:val="Hyperlink"/>
                </w:rPr>
                <w:t xml:space="preserve">link</w:t>
              </w:r>
            </w:hyperlink>
            <w:r>
              <w:t xml:space="preserve">)</w:t>
            </w:r>
          </w:p>
        </w:tc>
        <w:tc>
          <w:tcPr>
            <w:tcW w:type="dxa" w:w="1500"/>
          </w:tcPr>
          <w:p>
            <w:r>
              <w:t xml:space="preserve">2026-08-12</w:t>
            </w:r>
          </w:p>
        </w:tc>
        <w:tc>
          <w:tcPr>
            <w:tcW w:type="dxa" w:w="1500"/>
          </w:tcPr>
          <w:p>
            <w:r>
              <w:t xml:space="preserve">HIGH</w:t>
            </w:r>
          </w:p>
        </w:tc>
      </w:tr>
      <w:tr>
        <w:tc>
          <w:tcPr>
            <w:tcW w:type="dxa" w:w="1500"/>
          </w:tcPr>
          <w:p>
            <w:r>
              <w:t xml:space="preserve">S3</w:t>
            </w:r>
          </w:p>
        </w:tc>
        <w:tc>
          <w:tcPr>
            <w:tcW w:type="dxa" w:w="1500"/>
          </w:tcPr>
          <w:p>
            <w:r>
              <w:t xml:space="preserve">Definition and vintage of that denominator</w:t>
            </w:r>
          </w:p>
        </w:tc>
        <w:tc>
          <w:tcPr>
            <w:tcW w:type="dxa" w:w="1500"/>
          </w:tcPr>
          <w:p>
            <w:r>
              <w:t xml:space="preserve">"County population (2019 Census estimate)"</w:t>
            </w:r>
          </w:p>
        </w:tc>
        <w:tc>
          <w:tcPr>
            <w:tcW w:type="dxa" w:w="1500"/>
          </w:tcPr>
          <w:p>
            <w:r>
              <w:t xml:space="preserve">CDC, dataset metadata for </w:t>
            </w:r>
            <w:r>
              <w:rPr>
                <w:rFonts w:ascii="Courier New" w:cs="Courier New" w:eastAsia="Courier New" w:hAnsi="Courier New"/>
              </w:rPr>
              <w:t xml:space="preserve">3nnm-4jni</w:t>
            </w:r>
            <w:r>
              <w:t xml:space="preserve"> (</w:t>
            </w:r>
            <w:hyperlink w:history="1" r:id="rId7dj0anzd7oudv8njfisvj">
              <w:r>
                <w:rPr>
                  <w:rStyle w:val="Hyperlink"/>
                </w:rPr>
                <w:t xml:space="preserve">link</w:t>
              </w:r>
            </w:hyperlink>
            <w:r>
              <w:t xml:space="preserve">)</w:t>
            </w:r>
          </w:p>
        </w:tc>
        <w:tc>
          <w:tcPr>
            <w:tcW w:type="dxa" w:w="1500"/>
          </w:tcPr>
          <w:p>
            <w:r>
              <w:t xml:space="preserve">2026-08-12</w:t>
            </w:r>
          </w:p>
        </w:tc>
        <w:tc>
          <w:tcPr>
            <w:tcW w:type="dxa" w:w="1500"/>
          </w:tcPr>
          <w:p>
            <w:r>
              <w:t xml:space="preserve">HIGH — CDC republishing a Census estimate, vintage stated on the column itself</w:t>
            </w:r>
          </w:p>
        </w:tc>
      </w:tr>
      <w:tr>
        <w:tc>
          <w:tcPr>
            <w:tcW w:type="dxa" w:w="1500"/>
          </w:tcPr>
          <w:p>
            <w:r>
              <w:t xml:space="preserve">S4</w:t>
            </w:r>
          </w:p>
        </w:tc>
        <w:tc>
          <w:tcPr>
            <w:tcW w:type="dxa" w:w="1500"/>
          </w:tcPr>
          <w:p>
            <w:r>
              <w:t xml:space="preserve">CDC community transmission levels, in total new cases per 100,000 in the past 7 days</w:t>
            </w:r>
          </w:p>
        </w:tc>
        <w:tc>
          <w:tcPr>
            <w:tcW w:type="dxa" w:w="1500"/>
          </w:tcPr>
          <w:p>
            <w:r>
              <w:t xml:space="preserve">low fewer than 10 · moderate 10–49 · substantial 50–99 · high 100 or more</w:t>
            </w:r>
          </w:p>
        </w:tc>
        <w:tc>
          <w:tcPr>
            <w:tcW w:type="dxa" w:w="1500"/>
          </w:tcPr>
          <w:p>
            <w:r>
              <w:t xml:space="preserve">CDC, dataset metadata for "United States COVID-19 County Level of Community Transmission Historical Changes - ARCHIVED", </w:t>
            </w:r>
            <w:r>
              <w:rPr>
                <w:rFonts w:ascii="Courier New" w:cs="Courier New" w:eastAsia="Courier New" w:hAnsi="Courier New"/>
              </w:rPr>
              <w:t xml:space="preserve">nra9-vzzn</w:t>
            </w:r>
            <w:r>
              <w:t xml:space="preserve"> (</w:t>
            </w:r>
            <w:hyperlink w:history="1" r:id="rIdwmxqwe9cxnfxq3oopwksx">
              <w:r>
                <w:rPr>
                  <w:rStyle w:val="Hyperlink"/>
                </w:rPr>
                <w:t xml:space="preserve">link</w:t>
              </w:r>
            </w:hyperlink>
            <w:r>
              <w:t xml:space="preserve">)</w:t>
            </w:r>
          </w:p>
        </w:tc>
        <w:tc>
          <w:tcPr>
            <w:tcW w:type="dxa" w:w="1500"/>
          </w:tcPr>
          <w:p>
            <w:r>
              <w:t xml:space="preserve">2026-08-12</w:t>
            </w:r>
          </w:p>
        </w:tc>
        <w:tc>
          <w:tcPr>
            <w:tcW w:type="dxa" w:w="1500"/>
          </w:tcPr>
          <w:p>
            <w:r>
              <w:t xml:space="preserve">HIGH</w:t>
            </w:r>
          </w:p>
        </w:tc>
      </w:tr>
      <w:tr>
        <w:tc>
          <w:tcPr>
            <w:tcW w:type="dxa" w:w="1500"/>
          </w:tcPr>
          <w:p>
            <w:r>
              <w:t xml:space="preserve">S5</w:t>
            </w:r>
          </w:p>
        </w:tc>
        <w:tc>
          <w:tcPr>
            <w:tcW w:type="dxa" w:w="1500"/>
          </w:tcPr>
          <w:p>
            <w:r>
              <w:t xml:space="preserve">Rapid antigen test accuracy in people without symptoms</w:t>
            </w:r>
          </w:p>
        </w:tc>
        <w:tc>
          <w:tcPr>
            <w:tcW w:type="dxa" w:w="1500"/>
          </w:tcPr>
          <w:p>
            <w:r>
              <w:t xml:space="preserve">sensitivity 55.0% (95% CI 50.9%–59.0%); specificity 99.5% (95% CI 99.5%–99.6%)</w:t>
            </w:r>
          </w:p>
        </w:tc>
        <w:tc>
          <w:tcPr>
            <w:tcW w:type="dxa" w:w="1500"/>
          </w:tcPr>
          <w:p>
            <w:r>
              <w:t xml:space="preserve">Cochrane, Dinnes J, Berhane S, Walsh J et al., "Rapid, point-of-care antigen tests for diagnosis of SARS-CoV-2 infection", CD013705, 28 November 2025 (</w:t>
            </w:r>
            <w:hyperlink w:history="1" r:id="rIdllix2leu56ifbam0fse5x">
              <w:r>
                <w:rPr>
                  <w:rStyle w:val="Hyperlink"/>
                </w:rPr>
                <w:t xml:space="preserve">link</w:t>
              </w:r>
            </w:hyperlink>
            <w:r>
              <w:t xml:space="preserve">)</w:t>
            </w:r>
          </w:p>
        </w:tc>
        <w:tc>
          <w:tcPr>
            <w:tcW w:type="dxa" w:w="1500"/>
          </w:tcPr>
          <w:p>
            <w:r>
              <w:t xml:space="preserve">2026-08-12</w:t>
            </w:r>
          </w:p>
        </w:tc>
        <w:tc>
          <w:tcPr>
            <w:tcW w:type="dxa" w:w="1500"/>
          </w:tcPr>
          <w:p>
            <w:r>
              <w:t xml:space="preserve">HIGH</w:t>
            </w:r>
          </w:p>
        </w:tc>
      </w:tr>
      <w:tr>
        <w:tc>
          <w:tcPr>
            <w:tcW w:type="dxa" w:w="1500"/>
          </w:tcPr>
          <w:p>
            <w:r>
              <w:t xml:space="preserve">S6</w:t>
            </w:r>
          </w:p>
        </w:tc>
        <w:tc>
          <w:tcPr>
            <w:tcW w:type="dxa" w:w="1500"/>
          </w:tcPr>
          <w:p>
            <w:r>
              <w:t xml:space="preserve">Real school-associated secondary attack rates</w:t>
            </w:r>
          </w:p>
        </w:tc>
        <w:tc>
          <w:tcPr>
            <w:tcW w:type="dxa" w:w="1500"/>
          </w:tcPr>
          <w:p>
            <w:r>
              <w:t xml:space="preserve">0.38% and 6.46% (Italian primary / secondary schools) · 0.7% (Utah elementary) · 1.5% among 1,035 students (Lake County, Illinois) · 2% of school contacts (St. Louis)</w:t>
            </w:r>
          </w:p>
        </w:tc>
        <w:tc>
          <w:tcPr>
            <w:tcW w:type="dxa" w:w="1500"/>
          </w:tcPr>
          <w:p>
            <w:r>
              <w:t xml:space="preserve">CDC, "Science Brief: Transmission of SARS-CoV-2 in K-12 Schools and Early Care and Education Programs — Updated", last updated 17 December 2021 (</w:t>
            </w:r>
            <w:hyperlink w:history="1" r:id="rIdynelz87udosgtmci4sopi">
              <w:r>
                <w:rPr>
                  <w:rStyle w:val="Hyperlink"/>
                </w:rPr>
                <w:t xml:space="preserve">link</w:t>
              </w:r>
            </w:hyperlink>
            <w:r>
              <w:t xml:space="preserve">)</w:t>
            </w:r>
          </w:p>
        </w:tc>
        <w:tc>
          <w:tcPr>
            <w:tcW w:type="dxa" w:w="1500"/>
          </w:tcPr>
          <w:p>
            <w:r>
              <w:t xml:space="preserve">2026-08-12</w:t>
            </w:r>
          </w:p>
        </w:tc>
        <w:tc>
          <w:tcPr>
            <w:tcW w:type="dxa" w:w="1500"/>
          </w:tcPr>
          <w:p>
            <w:r>
              <w:t xml:space="preserve">HIGH</w:t>
            </w:r>
          </w:p>
        </w:tc>
      </w:tr>
      <w:tr>
        <w:tc>
          <w:tcPr>
            <w:tcW w:type="dxa" w:w="1500"/>
          </w:tcPr>
          <w:p>
            <w:r>
              <w:t xml:space="preserve">S7</w:t>
            </w:r>
          </w:p>
        </w:tc>
        <w:tc>
          <w:tcPr>
            <w:tcW w:type="dxa" w:w="1500"/>
          </w:tcPr>
          <w:p>
            <w:r>
              <w:t xml:space="preserve">Previous-wave cubic P(t)</w:t>
            </w:r>
          </w:p>
        </w:tc>
        <w:tc>
          <w:tcPr>
            <w:tcW w:type="dxa" w:w="1500"/>
          </w:tcPr>
          <w:p>
            <w:r>
              <w:t xml:space="preserve">-0.3348, 8.9975, -42.0177, 38.2994</w:t>
            </w:r>
          </w:p>
        </w:tc>
        <w:tc>
          <w:tcPr>
            <w:tcW w:type="dxa" w:w="1500"/>
          </w:tcPr>
          <w:p>
            <w:r>
              <w:rPr>
                <w:b/>
                <w:bCs/>
              </w:rPr>
              <w:t xml:space="preserve">Derived</w:t>
            </w:r>
            <w:r>
              <w:t xml:space="preserve"> — ordinary least squares on Appendix A's New cases column, from S1 (</w:t>
            </w:r>
            <w:hyperlink w:history="1" r:id="rId1egiodufwm17m1luifnd2">
              <w:r>
                <w:rPr>
                  <w:rStyle w:val="Hyperlink"/>
                </w:rPr>
                <w:t xml:space="preserve">link</w:t>
              </w:r>
            </w:hyperlink>
            <w:r>
              <w:t xml:space="preserve">)</w:t>
            </w:r>
          </w:p>
        </w:tc>
        <w:tc>
          <w:tcPr>
            <w:tcW w:type="dxa" w:w="1500"/>
          </w:tcPr>
          <w:p>
            <w:r>
              <w:t xml:space="preserve">2026-08-12</w:t>
            </w:r>
          </w:p>
        </w:tc>
        <w:tc>
          <w:tcPr>
            <w:tcW w:type="dxa" w:w="1500"/>
          </w:tcPr>
          <w:p>
            <w:r>
              <w:t xml:space="preserve">HIGH — reproducible from the cited series with any least-squares tool</w:t>
            </w:r>
          </w:p>
        </w:tc>
      </w:tr>
      <w:tr>
        <w:tc>
          <w:tcPr>
            <w:tcW w:type="dxa" w:w="1500"/>
          </w:tcPr>
          <w:p>
            <w:r>
              <w:t xml:space="preserve">S8</w:t>
            </w:r>
          </w:p>
        </w:tc>
        <w:tc>
          <w:tcPr>
            <w:tcW w:type="dxa" w:w="1500"/>
          </w:tcPr>
          <w:p>
            <w:r>
              <w:t xml:space="preserve">Current-wave cubic D(t)</w:t>
            </w:r>
          </w:p>
        </w:tc>
        <w:tc>
          <w:tcPr>
            <w:tcW w:type="dxa" w:w="1500"/>
          </w:tcPr>
          <w:p>
            <w:r>
              <w:t xml:space="preserve">0.2174, -1.8006, 25.3255, 247.9597</w:t>
            </w:r>
          </w:p>
        </w:tc>
        <w:tc>
          <w:tcPr>
            <w:tcW w:type="dxa" w:w="1500"/>
          </w:tcPr>
          <w:p>
            <w:r>
              <w:rPr>
                <w:b/>
                <w:bCs/>
              </w:rPr>
              <w:t xml:space="preserve">Derived</w:t>
            </w:r>
            <w:r>
              <w:t xml:space="preserve"> — ordinary least squares on Appendix B's New cases column, from S1 (</w:t>
            </w:r>
            <w:hyperlink w:history="1" r:id="rIditt-wuhdwew1jiastu28n">
              <w:r>
                <w:rPr>
                  <w:rStyle w:val="Hyperlink"/>
                </w:rPr>
                <w:t xml:space="preserve">link</w:t>
              </w:r>
            </w:hyperlink>
            <w:r>
              <w:t xml:space="preserve">)</w:t>
            </w:r>
          </w:p>
        </w:tc>
        <w:tc>
          <w:tcPr>
            <w:tcW w:type="dxa" w:w="1500"/>
          </w:tcPr>
          <w:p>
            <w:r>
              <w:t xml:space="preserve">2026-08-12</w:t>
            </w:r>
          </w:p>
        </w:tc>
        <w:tc>
          <w:tcPr>
            <w:tcW w:type="dxa" w:w="1500"/>
          </w:tcPr>
          <w:p>
            <w:r>
              <w:t xml:space="preserve">HIGH — reproducible from the cited series with any least-squares tool</w:t>
            </w:r>
          </w:p>
        </w:tc>
      </w:tr>
    </w:tbl>
    <w:p/>
    <w:p>
      <w:r>
        <w:rPr>
          <w:b/>
          <w:bCs/>
        </w:rPr>
        <w:t xml:space="preserve">One widely repeated figure this case deliberately does not use.</w:t>
      </w:r>
      <w:r>
        <w:t xml:space="preserve"> "Schools drive community transmission" is asserted constantly in both directions and was not usable here: the CDC science brief [S6] states the opposite about sequencing — "Neither increases in case incidence among school-aged children nor school reopenings for in-person learning appear to pre-date increases in community transmission" — while the classroom attack rates in the same brief range from 0.38% to 6.46% depending on age band, variant and mitigation. A single number for "how much transmission happens in schools" does not exist, so this case does not print one. It states a coefficient in the open instead (MA6) and tells you what happens to the answer when it is wrong.</w:t>
      </w:r>
    </w:p>
    <w:p>
      <w:pPr>
        <w:pStyle w:val="Heading2"/>
        <w:spacing w:after="120" w:before="240"/>
      </w:pPr>
      <w:r>
        <w:t xml:space="preserve">Appendix F — Modeling Assumptions</w:t>
      </w:r>
    </w:p>
    <w:p>
      <w:pPr>
        <w:ind w:left="480"/>
      </w:pPr>
      <w:r>
        <w:t xml:space="preserve">These figures are </w:t>
      </w:r>
      <w:r>
        <w:rPr>
          <w:b/>
          <w:bCs/>
        </w:rPr>
        <w:t xml:space="preserve">not sourced</w:t>
      </w:r>
      <w:r>
        <w:t xml:space="preserve">. They are stated scenario assumptions chosen by the case author, each with a real basis named below. A Hero may challenge any of them in discussion — that is a legitimate move, and Appendix H names the skills a Hero would need to test one.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DDDDD" w:val="clear"/>
          </w:tcPr>
          <w:p>
            <w:r>
              <w:t xml:space="preserve">#</w:t>
            </w:r>
          </w:p>
        </w:tc>
        <w:tc>
          <w:tcPr>
            <w:tcW w:type="dxa" w:w="1800"/>
            <w:shd w:fill="DDDDDD" w:val="clear"/>
          </w:tcPr>
          <w:p>
            <w:r>
              <w:t xml:space="preserve">Assumption</w:t>
            </w:r>
          </w:p>
        </w:tc>
        <w:tc>
          <w:tcPr>
            <w:tcW w:type="dxa" w:w="1800"/>
            <w:shd w:fill="DDDDDD" w:val="clear"/>
          </w:tcPr>
          <w:p>
            <w:r>
              <w:t xml:space="preserve">Value used</w:t>
            </w:r>
          </w:p>
        </w:tc>
        <w:tc>
          <w:tcPr>
            <w:tcW w:type="dxa" w:w="1800"/>
            <w:shd w:fill="DDDDDD" w:val="clear"/>
          </w:tcPr>
          <w:p>
            <w:r>
              <w:t xml:space="preserve">Basis</w:t>
            </w:r>
          </w:p>
        </w:tc>
        <w:tc>
          <w:tcPr>
            <w:tcW w:type="dxa" w:w="1800"/>
            <w:shd w:fill="DDDDDD" w:val="clear"/>
          </w:tcPr>
          <w:p>
            <w:r>
              <w:t xml:space="preserve">Sensitivity</w:t>
            </w:r>
          </w:p>
        </w:tc>
      </w:tr>
      <w:tr>
        <w:tc>
          <w:tcPr>
            <w:tcW w:type="dxa" w:w="1800"/>
          </w:tcPr>
          <w:p>
            <w:r>
              <w:t xml:space="preserve">MA1</w:t>
            </w:r>
          </w:p>
        </w:tc>
        <w:tc>
          <w:tcPr>
            <w:tcW w:type="dxa" w:w="1800"/>
          </w:tcPr>
          <w:p>
            <w:r>
              <w:t xml:space="preserve">Birchmont Unified School District, Dr. Renata Vance, the board and its rules</w:t>
            </w:r>
          </w:p>
        </w:tc>
        <w:tc>
          <w:tcPr>
            <w:tcW w:type="dxa" w:w="1800"/>
          </w:tcPr>
          <w:p>
            <w:r>
              <w:t xml:space="preserve">invented</w:t>
            </w:r>
          </w:p>
        </w:tc>
        <w:tc>
          <w:tcPr>
            <w:tcW w:type="dxa" w:w="1800"/>
          </w:tcPr>
          <w:p>
            <w:r>
              <w:t xml:space="preserve">The county, the weekly series [S1] and the population denominator [S2] are real and cited. The district, the officer and the decision are not, and the case says so in Background rather than implying a real body made this call.</w:t>
            </w:r>
          </w:p>
        </w:tc>
        <w:tc>
          <w:tcPr>
            <w:tcW w:type="dxa" w:w="1800"/>
          </w:tcPr>
          <w:p>
            <w:r>
              <w:t xml:space="preserve">Not numeric. Governs how every other row should be read: real data, invented governance.</w:t>
            </w:r>
          </w:p>
        </w:tc>
      </w:tr>
      <w:tr>
        <w:tc>
          <w:tcPr>
            <w:tcW w:type="dxa" w:w="1800"/>
          </w:tcPr>
          <w:p>
            <w:r>
              <w:t xml:space="preserve">MA2</w:t>
            </w:r>
          </w:p>
        </w:tc>
        <w:tc>
          <w:tcPr>
            <w:tcW w:type="dxa" w:w="1800"/>
          </w:tcPr>
          <w:p>
            <w:r>
              <w:t xml:space="preserve">The board's own written closure level (the Tripwire's trigger)</w:t>
            </w:r>
          </w:p>
        </w:tc>
        <w:tc>
          <w:tcPr>
            <w:tcW w:type="dxa" w:w="1800"/>
          </w:tcPr>
          <w:p>
            <w:r>
              <w:rPr>
                <w:b/>
                <w:bCs/>
              </w:rPr>
              <w:t xml:space="preserve">500</w:t>
            </w:r>
            <w:r>
              <w:t xml:space="preserve"> reported cases per 100,000 per week</w:t>
            </w:r>
          </w:p>
        </w:tc>
        <w:tc>
          <w:tcPr>
            <w:tcW w:type="dxa" w:w="1800"/>
          </w:tcPr>
          <w:p>
            <w:r>
              <w:t xml:space="preserve">No public "Birchmont board threshold" exists. CDC's four-level national scale [S4] tops out at "100 or more", and Chittenden County sat above that top tier in every week of Appendix B — so a district needing an </w:t>
            </w:r>
            <w:r>
              <w:rPr>
                <w:i/>
                <w:iCs/>
              </w:rPr>
              <w:t xml:space="preserve">escalation</w:t>
            </w:r>
            <w:r>
              <w:t xml:space="preserve"> trigger has to set one above the top of the national scale. 500 is five times the CDC high-transmission floor, and sits between the two plans' computed closure weeks rather than on top of either.</w:t>
            </w:r>
          </w:p>
        </w:tc>
        <w:tc>
          <w:tcPr>
            <w:tcW w:type="dxa" w:w="1800"/>
          </w:tcPr>
          <w:p>
            <w:r>
              <w:rPr>
                <w:b/>
                <w:bCs/>
              </w:rPr>
              <w:t xml:space="preserve">The single most consequential number in the case, and deliberately not swept in the ±50% sensitivity run</w:t>
            </w:r>
            <w:r>
              <w:t xml:space="preserve"> — halving a plan's own written trigger produces a different Option B, not a sensitivity test. It is swept and disclosed anyway: at 250 the Tripwire fires the same week the Early Brake would, and the two plans then differ only by the screening removal rate; at 750 the model's forecast never reaches it inside the horizon and the Tripwire never fires at all. Recompute the metric at both levels and see what happens to your recommendation. Argue about this number; it is where the case actually lives.</w:t>
            </w:r>
          </w:p>
        </w:tc>
      </w:tr>
      <w:tr>
        <w:tc>
          <w:tcPr>
            <w:tcW w:type="dxa" w:w="1800"/>
          </w:tcPr>
          <w:p>
            <w:r>
              <w:t xml:space="preserve">MA3</w:t>
            </w:r>
          </w:p>
        </w:tc>
        <w:tc>
          <w:tcPr>
            <w:tcW w:type="dxa" w:w="1800"/>
          </w:tcPr>
          <w:p>
            <w:r>
              <w:t xml:space="preserve">Closure budget</w:t>
            </w:r>
          </w:p>
        </w:tc>
        <w:tc>
          <w:tcPr>
            <w:tcW w:type="dxa" w:w="1800"/>
          </w:tcPr>
          <w:p>
            <w:r>
              <w:rPr>
                <w:b/>
                <w:bCs/>
              </w:rPr>
              <w:t xml:space="preserve">two weeks</w:t>
            </w:r>
            <w:r>
              <w:t xml:space="preserve"> (ten instructional days), once per term</w:t>
            </w:r>
          </w:p>
        </w:tc>
        <w:tc>
          <w:tcPr>
            <w:tcW w:type="dxa" w:w="1800"/>
          </w:tcPr>
          <w:p>
            <w:r>
              <w:t xml:space="preserve">A real board constraint of this shape existed in many districts, but no public document fixes a number for a fictional district. Fixing it at two weeks makes the two plans cost the same, which is what lets the primary metric compare what the budget </w:t>
            </w:r>
            <w:r>
              <w:rPr>
                <w:i/>
                <w:iCs/>
              </w:rPr>
              <w:t xml:space="preserve">buys</w:t>
            </w:r>
            <w:r>
              <w:t xml:space="preserve"> rather than what it costs.</w:t>
            </w:r>
          </w:p>
        </w:tc>
        <w:tc>
          <w:tcPr>
            <w:tcW w:type="dxa" w:w="1800"/>
          </w:tcPr>
          <w:p>
            <w:r>
              <w:t xml:space="preserve">Not swept: three weeks or one week is a different board rule, not a different estimate. It cancels out of the comparison as long as both plans spend the same budget.</w:t>
            </w:r>
          </w:p>
        </w:tc>
      </w:tr>
      <w:tr>
        <w:tc>
          <w:tcPr>
            <w:tcW w:type="dxa" w:w="1800"/>
          </w:tcPr>
          <w:p>
            <w:r>
              <w:t xml:space="preserve">MA4</w:t>
            </w:r>
          </w:p>
        </w:tc>
        <w:tc>
          <w:tcPr>
            <w:tcW w:type="dxa" w:w="1800"/>
          </w:tcPr>
          <w:p>
            <w:r>
              <w:t xml:space="preserve">Evaluation horizon</w:t>
            </w:r>
          </w:p>
        </w:tc>
        <w:tc>
          <w:tcPr>
            <w:tcW w:type="dxa" w:w="1800"/>
          </w:tcPr>
          <w:p>
            <w:r>
              <w:t xml:space="preserve">the </w:t>
            </w:r>
            <w:r>
              <w:rPr>
                <w:b/>
                <w:bCs/>
              </w:rPr>
              <w:t xml:space="preserve">six</w:t>
            </w:r>
            <w:r>
              <w:t xml:space="preserve"> weeks after the decision week</w:t>
            </w:r>
          </w:p>
        </w:tc>
        <w:tc>
          <w:tcPr>
            <w:tcW w:type="dxa" w:w="1800"/>
          </w:tcPr>
          <w:p>
            <w:r>
              <w:t xml:space="preserve">Chosen to be long enough for the chain multiplier to differ meaningfully across the horizon and short enough that a board would actually score it.</w:t>
            </w:r>
          </w:p>
        </w:tc>
        <w:tc>
          <w:tcPr>
            <w:tcW w:type="dxa" w:w="1800"/>
          </w:tcPr>
          <w:p>
            <w:r>
              <w:t xml:space="preserve">Not swept, for the same reason as MA3. A longer horizon raises every chain multiplier and widens the gap between the plans; a shorter one narrows it.</w:t>
            </w:r>
          </w:p>
        </w:tc>
      </w:tr>
      <w:tr>
        <w:tc>
          <w:tcPr>
            <w:tcW w:type="dxa" w:w="1800"/>
          </w:tcPr>
          <w:p>
            <w:r>
              <w:t xml:space="preserve">MA5</w:t>
            </w:r>
          </w:p>
        </w:tc>
        <w:tc>
          <w:tcPr>
            <w:tcW w:type="dxa" w:w="1800"/>
          </w:tcPr>
          <w:p>
            <w:r>
              <w:t xml:space="preserve">Instructional days per horizon week</w:t>
            </w:r>
          </w:p>
        </w:tc>
        <w:tc>
          <w:tcPr>
            <w:tcW w:type="dxa" w:w="1800"/>
          </w:tcPr>
          <w:p>
            <w:r>
              <w:rPr>
                <w:b/>
                <w:bCs/>
              </w:rPr>
              <w:t xml:space="preserve">five</w:t>
            </w:r>
            <w:r>
              <w:t xml:space="preserve">, every week</w:t>
            </w:r>
          </w:p>
        </w:tc>
        <w:tc>
          <w:tcPr>
            <w:tcW w:type="dxa" w:w="1800"/>
          </w:tcPr>
          <w:p>
            <w:r>
              <w:t xml:space="preserve">The district's real calendar has a winter break inside this horizon, and this case ignores it. That is a simplification, not an oversight.</w:t>
            </w:r>
          </w:p>
        </w:tc>
        <w:tc>
          <w:tcPr>
            <w:tcW w:type="dxa" w:w="1800"/>
          </w:tcPr>
          <w:p>
            <w:r>
              <w:t xml:space="preserve">Does not enter the primary metric at all — both plans spend the same closure budget, so instructional days never appear in the arithmetic. It would matter immediately if the metric charged days, and a Hero who raises it has found a real edge of the model.</w:t>
            </w:r>
          </w:p>
        </w:tc>
      </w:tr>
      <w:tr>
        <w:tc>
          <w:tcPr>
            <w:tcW w:type="dxa" w:w="1800"/>
          </w:tcPr>
          <w:p>
            <w:r>
              <w:t xml:space="preserve">MA6</w:t>
            </w:r>
          </w:p>
        </w:tc>
        <w:tc>
          <w:tcPr>
            <w:tcW w:type="dxa" w:w="1800"/>
          </w:tcPr>
          <w:p>
            <w:r>
              <w:t xml:space="preserve">In-school transmission coefficient </w:t>
            </w:r>
            <w:r>
              <w:rPr>
                <w:rFonts w:ascii="Courier New" w:cs="Courier New" w:eastAsia="Courier New" w:hAnsi="Courier New"/>
              </w:rPr>
              <w:t xml:space="preserve">k</w:t>
            </w:r>
          </w:p>
        </w:tc>
        <w:tc>
          <w:tcPr>
            <w:tcW w:type="dxa" w:w="1800"/>
          </w:tcPr>
          <w:p>
            <w:r>
              <w:rPr>
                <w:b/>
                <w:bCs/>
              </w:rPr>
              <w:t xml:space="preserve">0.5</w:t>
            </w:r>
            <w:r>
              <w:t xml:space="preserve"> in-school transmissions per 1,000 students in an open week at a community rate of 100 per 100,000 that week</w:t>
            </w:r>
          </w:p>
        </w:tc>
        <w:tc>
          <w:tcPr>
            <w:tcW w:type="dxa" w:w="1800"/>
          </w:tcPr>
          <w:p>
            <w:r>
              <w:t xml:space="preserve">Reasoned down from real figures in [S6]: at 100 reported cases per 100,000 per week, roughly one reported case per 1,000 students per week; roughly twenty in-school close contacts per case; school-associated secondary attack rates of 0.7%–2% in mitigated K-12 settings; and reported cases undercounting infections. Those give a range around 0.3–0.8; 0.5 sits inside it.</w:t>
            </w:r>
          </w:p>
        </w:tc>
        <w:tc>
          <w:tcPr>
            <w:tcW w:type="dxa" w:w="1800"/>
          </w:tcPr>
          <w:p>
            <w:r>
              <w:rPr>
                <w:b/>
                <w:bCs/>
              </w:rPr>
              <w:t xml:space="preserve">Cancels out of the comparison entirely.</w:t>
            </w:r>
            <w:r>
              <w:t xml:space="preserve"> Both plans scale linearly in </w:t>
            </w:r>
            <w:r>
              <w:rPr>
                <w:rFonts w:ascii="Courier New" w:cs="Courier New" w:eastAsia="Courier New" w:hAnsi="Courier New"/>
              </w:rPr>
              <w:t xml:space="preserve">k</w:t>
            </w:r>
            <w:r>
              <w:t xml:space="preserve">, so the margin between them is identical at 0.25 and at 0.75. Flexed ±50%: the winner and the margin do not move at all. It sets the size of the numbers, not the answer.</w:t>
            </w:r>
          </w:p>
        </w:tc>
      </w:tr>
      <w:tr>
        <w:tc>
          <w:tcPr>
            <w:tcW w:type="dxa" w:w="1800"/>
          </w:tcPr>
          <w:p>
            <w:r>
              <w:t xml:space="preserve">MA7</w:t>
            </w:r>
          </w:p>
        </w:tc>
        <w:tc>
          <w:tcPr>
            <w:tcW w:type="dxa" w:w="1800"/>
          </w:tcPr>
          <w:p>
            <w:r>
              <w:t xml:space="preserve">Screening programme effectiveness </w:t>
            </w:r>
            <w:r>
              <w:rPr>
                <w:rFonts w:ascii="Courier New" w:cs="Courier New" w:eastAsia="Courier New" w:hAnsi="Courier New"/>
              </w:rPr>
              <w:t xml:space="preserve">e</w:t>
            </w:r>
          </w:p>
        </w:tc>
        <w:tc>
          <w:tcPr>
            <w:tcW w:type="dxa" w:w="1800"/>
          </w:tcPr>
          <w:p>
            <w:r>
              <w:rPr>
                <w:b/>
                <w:bCs/>
              </w:rPr>
              <w:t xml:space="preserve">0.10</w:t>
            </w:r>
            <w:r>
              <w:t xml:space="preserve"> of in-school transmission removed per open week</w:t>
            </w:r>
          </w:p>
        </w:tc>
        <w:tc>
          <w:tcPr>
            <w:tcW w:type="dxa" w:w="1800"/>
          </w:tcPr>
          <w:p>
            <w:r>
              <w:t xml:space="preserve">Built down from [S5]: 55.0% average sensitivity in asymptomatic people is the ceiling, and a real programme loses further ground to partial consent, a twice-weekly cadence against an infectious period shorter than the gap between tests, and time-to-result. 0.10 is a deliberately conservative programme-level figure, not the test's sensitivity.</w:t>
            </w:r>
          </w:p>
        </w:tc>
        <w:tc>
          <w:tcPr>
            <w:tcW w:type="dxa" w:w="1800"/>
          </w:tcPr>
          <w:p>
            <w:r>
              <w:t xml:space="preserve">The largest genuinely-estimated lever. Flexed ±50% (0.05–0.15): the winner does not change and the margin ranges 6.5%–16.3%.</w:t>
            </w:r>
          </w:p>
        </w:tc>
      </w:tr>
      <w:tr>
        <w:tc>
          <w:tcPr>
            <w:tcW w:type="dxa" w:w="1800"/>
          </w:tcPr>
          <w:p>
            <w:r>
              <w:t xml:space="preserve">MA8</w:t>
            </w:r>
          </w:p>
        </w:tc>
        <w:tc>
          <w:tcPr>
            <w:tcW w:type="dxa" w:w="1800"/>
          </w:tcPr>
          <w:p>
            <w:r>
              <w:t xml:space="preserve">The chain multiplier convention</w:t>
            </w:r>
          </w:p>
        </w:tc>
        <w:tc>
          <w:tcPr>
            <w:tcW w:type="dxa" w:w="1800"/>
          </w:tcPr>
          <w:p>
            <w:r>
              <w:t xml:space="preserve">a prevented transmission is credited with the geometric chain it would have started, at the planning growth rate </w:t>
            </w:r>
            <w:r>
              <w:rPr>
                <w:rFonts w:ascii="Courier New" w:cs="Courier New" w:eastAsia="Courier New" w:hAnsi="Courier New"/>
              </w:rPr>
              <w:t xml:space="preserve">g</w:t>
            </w:r>
            <w:r>
              <w:t xml:space="preserve">, truncated at the horizon</w:t>
            </w:r>
          </w:p>
        </w:tc>
        <w:tc>
          <w:tcPr>
            <w:tcW w:type="dxa" w:w="1800"/>
          </w:tcPr>
          <w:p>
            <w:r>
              <w:t xml:space="preserve">This is a modelling choice, not a measurement: it asserts that onward spread compounds at the same relative rate the fitted curve is growing at on the decision week, and that the credit stops at the horizon. It is the entire quantitative reason early action can beat late action, and it is asserted, not proven.</w:t>
            </w:r>
          </w:p>
        </w:tc>
        <w:tc>
          <w:tcPr>
            <w:tcW w:type="dxa" w:w="1800"/>
          </w:tcPr>
          <w:p>
            <w:r>
              <w:t xml:space="preserve">Flexed ±50% on </w:t>
            </w:r>
            <w:r>
              <w:rPr>
                <w:rFonts w:ascii="Courier New" w:cs="Courier New" w:eastAsia="Courier New" w:hAnsi="Courier New"/>
              </w:rPr>
              <w:t xml:space="preserve">g</w:t>
            </w:r>
            <w:r>
              <w:t xml:space="preserve">: the winner does not change and the margin ranges 7.8%–15.6%. A Hero who argues the chain should be credited at a </w:t>
            </w:r>
            <w:r>
              <w:rPr>
                <w:i/>
                <w:iCs/>
              </w:rPr>
              <w:t xml:space="preserve">falling</w:t>
            </w:r>
            <w:r>
              <w:t xml:space="preserve"> rate once a wave peaks has made a real argument this case cannot refute.</w:t>
            </w:r>
          </w:p>
        </w:tc>
      </w:tr>
      <w:tr>
        <w:tc>
          <w:tcPr>
            <w:tcW w:type="dxa" w:w="1800"/>
          </w:tcPr>
          <w:p>
            <w:r>
              <w:t xml:space="preserve">MA9</w:t>
            </w:r>
          </w:p>
        </w:tc>
        <w:tc>
          <w:tcPr>
            <w:tcW w:type="dxa" w:w="1800"/>
          </w:tcPr>
          <w:p>
            <w:r>
              <w:t xml:space="preserve">Timing convention — when the Tripwire's closure starts once its level is crossed</w:t>
            </w:r>
          </w:p>
        </w:tc>
        <w:tc>
          <w:tcPr>
            <w:tcW w:type="dxa" w:w="1800"/>
          </w:tcPr>
          <w:p>
            <w:r>
              <w:t xml:space="preserve">the closure covers week </w:t>
            </w:r>
            <w:r>
              <w:rPr>
                <w:rFonts w:ascii="Courier New" w:cs="Courier New" w:eastAsia="Courier New" w:hAnsi="Courier New"/>
              </w:rPr>
              <w:t xml:space="preserve">tB</w:t>
            </w:r>
            <w:r>
              <w:t xml:space="preserve"> </w:t>
            </w:r>
            <w:r>
              <w:rPr>
                <w:b/>
                <w:bCs/>
              </w:rPr>
              <w:t xml:space="preserve">itself</w:t>
            </w:r>
            <w:r>
              <w:t xml:space="preserve"> and </w:t>
            </w:r>
            <w:r>
              <w:rPr>
                <w:rFonts w:ascii="Courier New" w:cs="Courier New" w:eastAsia="Courier New" w:hAnsi="Courier New"/>
              </w:rPr>
              <w:t xml:space="preserve">tB+1</w:t>
            </w:r>
            <w:r>
              <w:t xml:space="preserve">; </w:t>
            </w:r>
            <w:r>
              <w:rPr>
                <w:b/>
                <w:bCs/>
              </w:rPr>
              <w:t xml:space="preserve">no reporting or decision lag</w:t>
            </w:r>
          </w:p>
        </w:tc>
        <w:tc>
          <w:tcPr>
            <w:tcW w:type="dxa" w:w="1800"/>
          </w:tcPr>
          <w:p>
            <w:r>
              <w:t xml:space="preserve">APPENDIX D, Step 5 writes this out as </w:t>
            </w:r>
            <w:r>
              <w:rPr>
                <w:rFonts w:ascii="Courier New" w:cs="Courier New" w:eastAsia="Courier New" w:hAnsi="Courier New"/>
              </w:rPr>
              <w:t xml:space="preserve">X(tB) + X(tB+1)</w:t>
            </w:r>
            <w:r>
              <w:t xml:space="preserve">, and both plans are scored the same way: the Early Brake's window is the first two horizon weeks, the Tripwire's is the first two weeks from its crossing. It is the reading most </w:t>
            </w:r>
            <w:r>
              <w:rPr>
                <w:i/>
                <w:iCs/>
              </w:rPr>
              <w:t xml:space="preserve">generous</w:t>
            </w:r>
            <w:r>
              <w:t xml:space="preserve"> to the Tripwire, because a level read off reported data cannot in reality be acted on until the week it describes has finished. It is written down here because it is a choice, not a measurement.</w:t>
            </w:r>
          </w:p>
        </w:tc>
        <w:tc>
          <w:tcPr>
            <w:tcW w:type="dxa" w:w="1800"/>
          </w:tcPr>
          <w:p>
            <w:r>
              <w:rPr>
                <w:b/>
                <w:bCs/>
              </w:rPr>
              <w:t xml:space="preserve">Load-bearing: the stated margin holds only under it.</w:t>
            </w:r>
            <w:r>
              <w:t xml:space="preserve"> Push the Tripwire's window one week later — either by charging it a one-week reporting lag, or by reading its crossing week off D2's tangent line instead of off the curve — and its closure lands on a later pair of weeks, changing its total by enough to move the margin past this project's 20% balance cap. Which plan that favours, and by how much, is exactly what D2 and D6 ask you to compute: work the comparison under </w:t>
            </w:r>
            <w:r>
              <w:rPr>
                <w:b/>
                <w:bCs/>
              </w:rPr>
              <w:t xml:space="preserve">both</w:t>
            </w:r>
            <w:r>
              <w:t xml:space="preserve"> timing conventions and say which one you would defend to the board. A Hero who charges the Tripwire a reporting lag has found the real seam in this case.</w:t>
            </w:r>
          </w:p>
        </w:tc>
      </w:tr>
    </w:tbl>
    <w:p/>
    <w:p>
      <w:pPr>
        <w:pStyle w:val="Heading2"/>
        <w:spacing w:after="120" w:before="240"/>
      </w:pPr>
      <w:r>
        <w:t xml:space="preserve">Appendix G — Learn More: Further Reading</w:t>
      </w:r>
    </w:p>
    <w:p>
      <w:r>
        <w:t xml:space="preserve">This case sticks to the county's published case counts and the board's own rules. If you want to go beyond what the Dilemma and Challenges require, these are real, freely available resources on the subject the case is built from — reading them is optional and does not affect any grade.</w:t>
      </w:r>
    </w:p>
    <w:p>
      <w:pPr>
        <w:ind w:left="360"/>
      </w:pPr>
      <w:r>
        <w:t xml:space="preserve">- </w:t>
      </w:r>
      <w:hyperlink w:history="1" r:id="rId-a5juunyu_ycqwbbk8n6u">
        <w:r>
          <w:rPr>
            <w:rStyle w:val="Hyperlink"/>
          </w:rPr>
          <w:t xml:space="preserve">Epidemic curve — Wikipedia</w:t>
        </w:r>
      </w:hyperlink>
      <w:r>
        <w:t xml:space="preserve"> — a plain-language overview of what an epidemic curve is and how epidemiologists read its shape, the same kind of chart Appendices A and B are built from.</w:t>
      </w:r>
    </w:p>
    <w:p>
      <w:pPr>
        <w:ind w:left="360"/>
      </w:pPr>
      <w:r>
        <w:t xml:space="preserve">- </w:t>
      </w:r>
      <w:hyperlink w:history="1" r:id="rIdkailcabjcyhgu_4dkylc7">
        <w:r>
          <w:rPr>
            <w:rStyle w:val="Hyperlink"/>
          </w:rPr>
          <w:t xml:space="preserve">Concavity introduction — Khan Academy</w:t>
        </w:r>
      </w:hyperlink>
      <w:r>
        <w:t xml:space="preserve"> — a short video walking through what it means for a curve to be concave up or down, the exact idea behind "the curve's turn."</w:t>
      </w:r>
    </w:p>
    <w:p>
      <w:pPr>
        <w:ind w:left="360"/>
      </w:pPr>
      <w:r>
        <w:t xml:space="preserve">- </w:t>
      </w:r>
      <w:hyperlink w:history="1" r:id="rIdb9ct7h2pj9bnzsivptxtt">
        <w:r>
          <w:rPr>
            <w:rStyle w:val="Hyperlink"/>
          </w:rPr>
          <w:t xml:space="preserve">Operational Guidance for K-12 Schools and Early Care and Education Programs — CDC</w:t>
        </w:r>
      </w:hyperlink>
      <w:r>
        <w:t xml:space="preserve"> — the CDC's own guidance on when and how schools used diagnostic and screening testing, the real-world basis for the Tripwire's testing programme.</w:t>
      </w:r>
    </w:p>
    <w:p>
      <w:pPr>
        <w:ind w:left="360"/>
      </w:pPr>
      <w:r>
        <w:t xml:space="preserve">- </w:t>
      </w:r>
      <w:hyperlink w:history="1" r:id="rIdb7iak_5-9us58nyjfq4ih">
        <w:r>
          <w:rPr>
            <w:rStyle w:val="Hyperlink"/>
          </w:rPr>
          <w:t xml:space="preserve">Chittenden County, Vermont — COVID-19 data, USAFacts</w:t>
        </w:r>
      </w:hyperlink>
      <w:r>
        <w:t xml:space="preserve"> — a public dashboard of the same county's reported case and death totals referenced in Appendices A, B and E.</w:t>
      </w:r>
    </w:p>
    <w:p>
      <w:pPr>
        <w:ind w:left="360"/>
      </w:pPr>
      <w:r>
        <w:t xml:space="preserve">- </w:t>
      </w:r>
      <w:hyperlink w:history="1" r:id="rId3m2p-njv2bhm092wsxflg">
        <w:r>
          <w:rPr>
            <w:rStyle w:val="Hyperlink"/>
          </w:rPr>
          <w:t xml:space="preserve">COVID-19 pandemic in Vermont — Wikipedia</w:t>
        </w:r>
      </w:hyperlink>
      <w:r>
        <w:t xml:space="preserve"> — background on how the pandemic unfolded statewide, for context beyond the single county this case follows.</w:t>
      </w:r>
    </w:p>
    <w:p>
      <w:pPr>
        <w:pStyle w:val="Heading2"/>
        <w:spacing w:after="120" w:before="240"/>
      </w:pPr>
      <w:r>
        <w:t xml:space="preserve">Story Vocabulary — Public-Health &amp; School-Policy Terms</w:t>
      </w:r>
    </w:p>
    <w:p>
      <w:r>
        <w:t xml:space="preserve">This case also uses real public-health and epidemiology vocabulary you may not have met in a math class. These terms appear in the Overview, Background and Appendices above; each is defined here in plain English, with a real source if you want to read further. This is separate from the math vocabulary in Appendix H.</w:t>
      </w:r>
    </w:p>
    <w:p>
      <w:pPr>
        <w:ind w:left="360"/>
      </w:pPr>
      <w:r>
        <w:t xml:space="preserve">- </w:t>
      </w:r>
      <w:r>
        <w:rPr>
          <w:b/>
          <w:bCs/>
        </w:rPr>
        <w:t xml:space="preserve">Case rate</w:t>
      </w:r>
      <w:r>
        <w:t xml:space="preserve"> — how many new cases show up relative to the size of the population, usually per   100,000 people over a set time like a week. Unlike a raw case count, a rate lets you compare   different places or times fairly. </w:t>
      </w:r>
      <w:hyperlink w:history="1" r:id="rId_8tfobaax0mxlklg4a4sz">
        <w:r>
          <w:rPr>
            <w:rStyle w:val="Hyperlink"/>
          </w:rPr>
          <w:t xml:space="preserve">CDC, Principles of Epidemiology in Public Health Practice, Lesson 3</w:t>
        </w:r>
      </w:hyperlink>
    </w:p>
    <w:p>
      <w:pPr>
        <w:ind w:left="360"/>
      </w:pPr>
      <w:r>
        <w:t xml:space="preserve">- </w:t>
      </w:r>
      <w:r>
        <w:rPr>
          <w:b/>
          <w:bCs/>
        </w:rPr>
        <w:t xml:space="preserve">Revised (data)</w:t>
      </w:r>
      <w:r>
        <w:t xml:space="preserve"> — early case reports get corrected as more complete information reaches health   departments; a week's count reported today is often adjusted up or down in the weeks that follow,   which is why the Overview calls the reported line "reported, revised, ragged." </w:t>
      </w:r>
      <w:hyperlink w:history="1" r:id="rIdtavlaav0v03xrvs8x9-yt">
        <w:r>
          <w:rPr>
            <w:rStyle w:val="Hyperlink"/>
          </w:rPr>
          <w:t xml:space="preserve">CDC, FAQ: COVID-19 Data and Surveillance</w:t>
        </w:r>
      </w:hyperlink>
    </w:p>
    <w:p>
      <w:pPr>
        <w:ind w:left="360"/>
      </w:pPr>
      <w:r>
        <w:t xml:space="preserve">- </w:t>
      </w:r>
      <w:r>
        <w:rPr>
          <w:b/>
          <w:bCs/>
        </w:rPr>
        <w:t xml:space="preserve">Community transmission level</w:t>
      </w:r>
      <w:r>
        <w:t xml:space="preserve"> — CDC's four-tier scale (low, moderate, substantial, high) for   how much a virus is spreading in a county, based on new cases per 100,000 residents in the past 7   days. </w:t>
      </w:r>
      <w:hyperlink w:history="1" r:id="rIdlwaogqqjczrnyw65s-s6q">
        <w:r>
          <w:rPr>
            <w:rStyle w:val="Hyperlink"/>
          </w:rPr>
          <w:t xml:space="preserve">CDC, MMWR: Guidance for Implementing COVID-19 Prevention Strategies</w:t>
        </w:r>
      </w:hyperlink>
    </w:p>
    <w:p>
      <w:pPr>
        <w:ind w:left="360"/>
      </w:pPr>
      <w:r>
        <w:t xml:space="preserve">- </w:t>
      </w:r>
      <w:r>
        <w:rPr>
          <w:b/>
          <w:bCs/>
        </w:rPr>
        <w:t xml:space="preserve">Secondary attack rate</w:t>
      </w:r>
      <w:r>
        <w:t xml:space="preserve"> — the share of a known case's close contacts (classmates, housemates)   who go on to catch the disease themselves — a measure of how easily something spreads once it is   already inside a group. </w:t>
      </w:r>
      <w:hyperlink w:history="1" r:id="rIdvxzffylzsr3tqa0ogkoud">
        <w:r>
          <w:rPr>
            <w:rStyle w:val="Hyperlink"/>
          </w:rPr>
          <w:t xml:space="preserve">CDC, Principles of Epidemiology in Public Health Practice, Lesson 3</w:t>
        </w:r>
      </w:hyperlink>
    </w:p>
    <w:p>
      <w:pPr>
        <w:ind w:left="360"/>
      </w:pPr>
      <w:r>
        <w:t xml:space="preserve">- </w:t>
      </w:r>
      <w:r>
        <w:rPr>
          <w:b/>
          <w:bCs/>
        </w:rPr>
        <w:t xml:space="preserve">Sensitivity (test accuracy)</w:t>
      </w:r>
      <w:r>
        <w:t xml:space="preserve"> — how often a test correctly flags someone who truly has the   infection; a highly sensitive test misses few real cases. </w:t>
      </w:r>
      <w:hyperlink w:history="1" r:id="rId5fbs_od5fxgw1ogxu2qaa">
        <w:r>
          <w:rPr>
            <w:rStyle w:val="Hyperlink"/>
          </w:rPr>
          <w:t xml:space="preserve">NCBI Bookshelf, Measures of Diagnostic Performance</w:t>
        </w:r>
      </w:hyperlink>
    </w:p>
    <w:p>
      <w:pPr>
        <w:ind w:left="360"/>
      </w:pPr>
      <w:r>
        <w:t xml:space="preserve">- </w:t>
      </w:r>
      <w:r>
        <w:rPr>
          <w:b/>
          <w:bCs/>
        </w:rPr>
        <w:t xml:space="preserve">Specificity (test accuracy)</w:t>
      </w:r>
      <w:r>
        <w:t xml:space="preserve"> — how often a test correctly clears someone who does not have the   infection; a highly specific test gives few false alarms. No test is perfect at both. </w:t>
      </w:r>
      <w:hyperlink w:history="1" r:id="rIds_i5yiudokjvfct9vi5st">
        <w:r>
          <w:rPr>
            <w:rStyle w:val="Hyperlink"/>
          </w:rPr>
          <w:t xml:space="preserve">NCBI Bookshelf, Measures of Diagnostic Performance</w:t>
        </w:r>
      </w:hyperlink>
    </w:p>
    <w:p>
      <w:pPr>
        <w:ind w:left="360"/>
      </w:pPr>
      <w:r>
        <w:t xml:space="preserve">- </w:t>
      </w:r>
      <w:r>
        <w:rPr>
          <w:b/>
          <w:bCs/>
        </w:rPr>
        <w:t xml:space="preserve">Epidemic curve</w:t>
      </w:r>
      <w:r>
        <w:t xml:space="preserve"> — a chart of new cases over time showing the shape of an outbreak as it rises,   peaks and falls — the exact kind of chart Appendices A and B are built from. </w:t>
      </w:r>
      <w:hyperlink w:history="1" r:id="rIdz8tzfygzmm3q30rq0kqfk">
        <w:r>
          <w:rPr>
            <w:rStyle w:val="Hyperlink"/>
          </w:rPr>
          <w:t xml:space="preserve">Epidemic curve — Wikipedia</w:t>
        </w:r>
      </w:hyperlink>
    </w:p>
    <w:p>
      <w:pPr>
        <w:pStyle w:val="Heading2"/>
        <w:spacing w:after="120" w:before="240"/>
      </w:pPr>
      <w:r>
        <w:t xml:space="preserve">Appendix H — "How To…" Math Questions To Research</w:t>
      </w:r>
    </w:p>
    <w:p>
      <w:r>
        <w:rPr>
          <w:b/>
          <w:bCs/>
        </w:rPr>
        <w:t xml:space="preserve">Vocabulary terms</w:t>
      </w:r>
    </w:p>
    <w:p>
      <w:pPr>
        <w:ind w:left="360"/>
      </w:pPr>
      <w:r>
        <w:t xml:space="preserve">- Derivative</w:t>
      </w:r>
    </w:p>
    <w:p>
      <w:pPr>
        <w:ind w:left="360"/>
      </w:pPr>
      <w:r>
        <w:t xml:space="preserve">- Instantaneous Rate Of Change</w:t>
      </w:r>
    </w:p>
    <w:p>
      <w:pPr>
        <w:ind w:left="360"/>
      </w:pPr>
      <w:r>
        <w:t xml:space="preserve">- Tangent Line</w:t>
      </w:r>
    </w:p>
    <w:p>
      <w:pPr>
        <w:ind w:left="360"/>
      </w:pPr>
      <w:r>
        <w:t xml:space="preserve">- Differentiable</w:t>
      </w:r>
    </w:p>
    <w:p>
      <w:pPr>
        <w:ind w:left="360"/>
      </w:pPr>
      <w:r>
        <w:t xml:space="preserve">- Critical Point</w:t>
      </w:r>
    </w:p>
    <w:p>
      <w:pPr>
        <w:ind w:left="360"/>
      </w:pPr>
      <w:r>
        <w:t xml:space="preserve">- Local Maximum</w:t>
      </w:r>
    </w:p>
    <w:p>
      <w:pPr>
        <w:ind w:left="360"/>
      </w:pPr>
      <w:r>
        <w:t xml:space="preserve">- Local Minimum</w:t>
      </w:r>
    </w:p>
    <w:p>
      <w:pPr>
        <w:ind w:left="360"/>
      </w:pPr>
      <w:r>
        <w:t xml:space="preserve">- Concavity</w:t>
      </w:r>
    </w:p>
    <w:p>
      <w:r>
        <w:rPr>
          <w:b/>
          <w:bCs/>
        </w:rPr>
        <w:t xml:space="preserve">"How to…" questions</w:t>
      </w:r>
    </w:p>
    <w:p>
      <w:pPr>
        <w:ind w:left="360"/>
      </w:pPr>
      <w:r>
        <w:t xml:space="preserve">- How to find a derivative using the power rule</w:t>
      </w:r>
    </w:p>
    <w:p>
      <w:pPr>
        <w:ind w:left="360"/>
      </w:pPr>
      <w:r>
        <w:t xml:space="preserve">- How to find the equation of a tangent line at a point</w:t>
      </w:r>
    </w:p>
    <w:p>
      <w:pPr>
        <w:ind w:left="360"/>
      </w:pPr>
      <w:r>
        <w:t xml:space="preserve">- How to find critical points of a function</w:t>
      </w:r>
    </w:p>
    <w:p>
      <w:pPr>
        <w:ind w:left="360"/>
      </w:pPr>
      <w:r>
        <w:t xml:space="preserve">- How to use the first derivative test to classify a critical point</w:t>
      </w:r>
    </w:p>
    <w:p>
      <w:pPr>
        <w:ind w:left="360"/>
      </w:pPr>
      <w:r>
        <w:t xml:space="preserve">- How to solve an optimization problem using derivatives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g04hglfdgoakg9ndrvy3" Type="http://schemas.openxmlformats.org/officeDocument/2006/relationships/hyperlink" Target="https://data.cdc.gov/resource/yviw-z6j5.json?$order=date&amp;$limit=40&amp;fips_code=50007&amp;$where=date%20between%20%272021-05-29T00:00:00%27%20and%20%272021-12-26T00:00:00%27" TargetMode="External"/><Relationship Id="rIdvo22meafhl44ohbh57q_p" Type="http://schemas.openxmlformats.org/officeDocument/2006/relationships/hyperlink" Target="https://data.cdc.gov/resource/3nnm-4jni.json?$select=county,county_fips,state,county_population,health_service_area_population&amp;$limit=2&amp;county_fips=50007" TargetMode="External"/><Relationship Id="rId7dj0anzd7oudv8njfisvj" Type="http://schemas.openxmlformats.org/officeDocument/2006/relationships/hyperlink" Target="https://data.cdc.gov/api/views/3nnm-4jni.json" TargetMode="External"/><Relationship Id="rIdwmxqwe9cxnfxq3oopwksx" Type="http://schemas.openxmlformats.org/officeDocument/2006/relationships/hyperlink" Target="https://data.cdc.gov/api/views/nra9-vzzn.json" TargetMode="External"/><Relationship Id="rIdllix2leu56ifbam0fse5x" Type="http://schemas.openxmlformats.org/officeDocument/2006/relationships/hyperlink" Target="https://www.cochrane.org/evidence/CD013705_how-accurate-are-rapid-antigen-tests-diagnosing-covid-19" TargetMode="External"/><Relationship Id="rIdynelz87udosgtmci4sopi" Type="http://schemas.openxmlformats.org/officeDocument/2006/relationships/hyperlink" Target="https://www.ncbi.nlm.nih.gov/books/NBK570438/" TargetMode="External"/><Relationship Id="rId1egiodufwm17m1luifnd2" Type="http://schemas.openxmlformats.org/officeDocument/2006/relationships/hyperlink" Target="https://data.cdc.gov/resource/yviw-z6j5.json?$order=date&amp;$limit=40&amp;fips_code=50007&amp;$where=date%20between%20%272021-05-29T00:00:00%27%20and%20%272021-12-26T00:00:00%27" TargetMode="External"/><Relationship Id="rIditt-wuhdwew1jiastu28n" Type="http://schemas.openxmlformats.org/officeDocument/2006/relationships/hyperlink" Target="https://data.cdc.gov/resource/yviw-z6j5.json?$order=date&amp;$limit=40&amp;fips_code=50007&amp;$where=date%20between%20%272021-05-29T00:00:00%27%20and%20%272021-12-26T00:00:00%27" TargetMode="External"/><Relationship Id="rId-a5juunyu_ycqwbbk8n6u" Type="http://schemas.openxmlformats.org/officeDocument/2006/relationships/hyperlink" Target="https://en.wikipedia.org/wiki/Epidemic_curve" TargetMode="External"/><Relationship Id="rIdkailcabjcyhgu_4dkylc7" Type="http://schemas.openxmlformats.org/officeDocument/2006/relationships/hyperlink" Target="https://www.khanacademy.org/math/differential-calculus/derivative-applications/concavity-inflection-points/v/concavity-concave-upwards-and-concave-downwards-intervals" TargetMode="External"/><Relationship Id="rIdb9ct7h2pj9bnzsivptxtt" Type="http://schemas.openxmlformats.org/officeDocument/2006/relationships/hyperlink" Target="https://archive.cdc.gov/www_cdc_gov/coronavirus/2019-ncov/community/schools-childcare/k-12-childcare-guidance.html" TargetMode="External"/><Relationship Id="rIdb7iak_5-9us58nyjfq4ih" Type="http://schemas.openxmlformats.org/officeDocument/2006/relationships/hyperlink" Target="https://usafacts.org/visualizations/coronavirus-covid-19-spread-map/state/vermont/county/chittenden-county/" TargetMode="External"/><Relationship Id="rId3m2p-njv2bhm092wsxflg" Type="http://schemas.openxmlformats.org/officeDocument/2006/relationships/hyperlink" Target="https://en.wikipedia.org/wiki/COVID-19_pandemic_in_Vermont" TargetMode="External"/><Relationship Id="rId_8tfobaax0mxlklg4a4sz" Type="http://schemas.openxmlformats.org/officeDocument/2006/relationships/hyperlink" Target="https://archive.cdc.gov/www_cdc_gov/csels/dsepd/ss1978/lesson3/section2.html" TargetMode="External"/><Relationship Id="rIdtavlaav0v03xrvs8x9-yt" Type="http://schemas.openxmlformats.org/officeDocument/2006/relationships/hyperlink" Target="https://archive.cdc.gov/www_cdc_gov/coronavirus/2019-ncov/covid-data/faq-surveillance.html" TargetMode="External"/><Relationship Id="rIdlwaogqqjczrnyw65s-s6q" Type="http://schemas.openxmlformats.org/officeDocument/2006/relationships/hyperlink" Target="https://www.cdc.gov/mmwr/volumes/70/wr/mm7030e2.htm" TargetMode="External"/><Relationship Id="rIdvxzffylzsr3tqa0ogkoud" Type="http://schemas.openxmlformats.org/officeDocument/2006/relationships/hyperlink" Target="https://archive.cdc.gov/www_cdc_gov/csels/dsepd/ss1978/lesson3/section2.html" TargetMode="External"/><Relationship Id="rId5fbs_od5fxgw1ogxu2qaa" Type="http://schemas.openxmlformats.org/officeDocument/2006/relationships/hyperlink" Target="https://www.ncbi.nlm.nih.gov/books/NBK605677/" TargetMode="External"/><Relationship Id="rIds_i5yiudokjvfct9vi5st" Type="http://schemas.openxmlformats.org/officeDocument/2006/relationships/hyperlink" Target="https://www.ncbi.nlm.nih.gov/books/NBK605677/" TargetMode="External"/><Relationship Id="rIdz8tzfygzmm3q30rq0kqfk" Type="http://schemas.openxmlformats.org/officeDocument/2006/relationships/hyperlink" Target="https://en.wikipedia.org/wiki/Epidemic_curve"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2026-09-03T21:28:13.532Z</dcterms:created>
  <dcterms:modified xsi:type="dcterms:W3CDTF">2026-09-03T21:28:13.536Z</dcterms:modified>
</cp:coreProperties>
</file>

<file path=docProps/custom.xml><?xml version="1.0" encoding="utf-8"?>
<Properties xmlns="http://schemas.openxmlformats.org/officeDocument/2006/custom-properties" xmlns:vt="http://schemas.openxmlformats.org/officeDocument/2006/docPropsVTypes"/>
</file>