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a3a5c"/>
          <w:sz w:val="40"/>
          <w:szCs w:val="40"/>
        </w:rPr>
        <w:t xml:space="preserve">Facilitator Guide: Cardiology</w:t>
      </w:r>
    </w:p>
    <w:p>
      <w:pPr>
        <w:spacing w:after="100"/>
      </w:pPr>
      <w:r>
        <w:rPr>
          <w:b/>
          <w:bCs/>
          <w:color w:val="C0392B"/>
          <w:sz w:val="20"/>
          <w:szCs w:val="20"/>
        </w:rPr>
        <w:t xml:space="preserve">FACILITATOR-ONLY — DO NOT DISTRIBUTE TO STUDENTS</w:t>
      </w:r>
    </w:p>
    <w:p>
      <w:pPr>
        <w:spacing w:after="260"/>
      </w:pPr>
      <w:r>
        <w:rPr>
          <w:color w:val="5b6472"/>
          <w:sz w:val="20"/>
          <w:szCs w:val="20"/>
        </w:rPr>
        <w:t xml:space="preserve">Tier T3  ·  Band MS-stretch/HS-entry  ·  Heroes Academy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360"/>
            <w:tcBorders>
              <w:top w:val="single" w:color="C0392B" w:sz="8"/>
              <w:left w:val="single" w:color="C0392B" w:sz="8"/>
              <w:bottom w:val="single" w:color="C0392B" w:sz="8"/>
              <w:right w:val="single" w:color="C0392B" w:sz="8"/>
            </w:tcBorders>
            <w:shd w:fill="FBEEEC" w:color="auto" w:val="clear"/>
            <w:tcMar>
              <w:top w:type="dxa" w:w="140"/>
              <w:left w:type="dxa" w:w="160"/>
              <w:bottom w:type="dxa" w:w="140"/>
              <w:right w:type="dxa" w:w="160"/>
            </w:tcMar>
          </w:tcPr>
          <w:p>
            <w:pPr>
              <w:spacing w:after="60"/>
            </w:pPr>
            <w:r>
              <w:rPr>
                <w:b/>
                <w:bCs/>
                <w:color w:val="C0392B"/>
                <w:sz w:val="19"/>
                <w:szCs w:val="19"/>
              </w:rPr>
              <w:t xml:space="preserve">SENSITIVITY NOTE (SPEC §6)</w:t>
            </w:r>
          </w:p>
          <w:p>
            <w:pPr>
              <w:spacing w:after="0"/>
            </w:pPr>
            <w:r>
              <w:rPr>
                <w:sz w:val="19"/>
                <w:szCs w:val="19"/>
              </w:rPr>
              <w:t xml:space="preserve">Real medical decision-making with a named patient facing a life-or-death treatment choice. Keep the discussion frame on the real trial data and Paul's own stated risk factors — steer away from personal medical anecdotes from the room, which can turn a math discussion into something a facilitator isn't equipped to hold.</w:t>
            </w:r>
          </w:p>
        </w:tc>
      </w:tr>
    </w:tbl>
    <w:p>
      <w:pPr>
        <w:spacing w:after="260"/>
      </w:pPr>
    </w:p>
    <w:p>
      <w:pPr>
        <w:spacing w:after="200"/>
      </w:pPr>
      <w:r>
        <w:rPr>
          <w:i/>
          <w:iCs/>
          <w:sz w:val="19"/>
          <w:szCs w:val="19"/>
        </w:rPr>
        <w:t xml:space="preserve">Legacy conversion, 2026-08-02, built from the original case study docx and its real career-log workbook — the mortality table and Paul's lab values are real, cited data. Cost figures were not in the original materials and are a disclosed modeling convention (case.md Appendix C).</w:t>
      </w:r>
    </w:p>
    <w:p>
      <w:pPr>
        <w:pBdr>
          <w:bottom w:val="single" w:color="dfe4ea" w:sz="6" w:space="4"/>
        </w:pBdr>
        <w:spacing w:after="200" w:before="100"/>
      </w:pPr>
    </w:p>
    <w:p>
      <w:pPr>
        <w:pStyle w:val="Heading1"/>
        <w:pBdr>
          <w:left w:val="single" w:color="c9a227" w:sz="24" w:space="8"/>
        </w:pBdr>
        <w:spacing w:after="160" w:before="300"/>
      </w:pPr>
      <w:r>
        <w:rPr>
          <w:b/>
          <w:bCs/>
          <w:color w:val="1a3a5c"/>
          <w:sz w:val="30"/>
          <w:szCs w:val="30"/>
        </w:rPr>
        <w:t xml:space="preserve">Intro</w:t>
      </w:r>
    </w:p>
    <w:p>
      <w:pPr>
        <w:spacing w:after="200"/>
      </w:pPr>
      <w:r>
        <w:rPr>
          <w:sz w:val="21"/>
          <w:szCs w:val="21"/>
        </w:rPr>
        <w:t xml:space="preserve">Frame the format: this is a real treatment decision for a real kind of patient, built on a real published trial, not a worksheet. Name the opener — "Two therapies. Both real, both studied. One patient who has to live with whichever one gets recommended."</w:t>
      </w:r>
    </w:p>
    <w:p>
      <w:pPr>
        <w:pStyle w:val="Heading1"/>
        <w:pBdr>
          <w:left w:val="single" w:color="c9a227" w:sz="24" w:space="8"/>
        </w:pBdr>
        <w:spacing w:after="160" w:before="300"/>
      </w:pPr>
      <w:r>
        <w:rPr>
          <w:b/>
          <w:bCs/>
          <w:color w:val="1a3a5c"/>
          <w:sz w:val="30"/>
          <w:szCs w:val="30"/>
        </w:rPr>
        <w:t xml:space="preserve">Launch</w:t>
      </w:r>
    </w:p>
    <w:p>
      <w:pPr>
        <w:spacing w:after="200"/>
      </w:pPr>
      <w:r>
        <w:rPr>
          <w:sz w:val="21"/>
          <w:szCs w:val="21"/>
        </w:rPr>
        <w:t xml:space="preserve">Read Paul's real risk profile aloud (98% occlusion, family history, daily smoker) with no numbers from Appendix A yet. Ask: "Just from this profile, does this feel like a close call to you?" Do not confirm or correct answers here.</w:t>
      </w:r>
    </w:p>
    <w:p>
      <w:pPr>
        <w:pStyle w:val="Heading1"/>
        <w:pBdr>
          <w:left w:val="single" w:color="c9a227" w:sz="24" w:space="8"/>
        </w:pBdr>
        <w:spacing w:after="160" w:before="300"/>
      </w:pPr>
      <w:r>
        <w:rPr>
          <w:b/>
          <w:bCs/>
          <w:color w:val="1a3a5c"/>
          <w:sz w:val="30"/>
          <w:szCs w:val="30"/>
        </w:rPr>
        <w:t xml:space="preserve">Anchor 1 — Take a stand and vote</w:t>
      </w:r>
    </w:p>
    <w:p>
      <w:pPr>
        <w:spacing w:after="200"/>
      </w:pPr>
      <w:r>
        <w:rPr>
          <w:b/>
          <w:bCs/>
          <w:sz w:val="21"/>
          <w:szCs w:val="21"/>
        </w:rPr>
        <w:t xml:space="preserve">TAKE A STAND AND VOTE. No reasoning yet, just commit.</w:t>
      </w:r>
    </w:p>
    <w:p>
      <w:pPr>
        <w:spacing w:after="200"/>
      </w:pPr>
      <w:r>
        <w:rPr>
          <w:sz w:val="21"/>
          <w:szCs w:val="21"/>
        </w:rPr>
        <w:t xml:space="preserve">"Who recommends MT? Who recommends CABG?" Show of hands, no discussion. Record the count — Close will ask them to vote again.</w:t>
      </w:r>
    </w:p>
    <w:p>
      <w:pPr>
        <w:pStyle w:val="Heading1"/>
        <w:pBdr>
          <w:left w:val="single" w:color="c9a227" w:sz="24" w:space="8"/>
        </w:pBdr>
        <w:spacing w:after="160" w:before="300"/>
      </w:pPr>
      <w:r>
        <w:rPr>
          <w:b/>
          <w:bCs/>
          <w:color w:val="1a3a5c"/>
          <w:sz w:val="30"/>
          <w:szCs w:val="30"/>
        </w:rPr>
        <w:t xml:space="preserve">Anchor 2 — What is the problem we're solving?</w:t>
      </w:r>
    </w:p>
    <w:p>
      <w:pPr>
        <w:spacing w:after="200"/>
      </w:pPr>
      <w:r>
        <w:rPr>
          <w:b/>
          <w:bCs/>
          <w:sz w:val="21"/>
          <w:szCs w:val="21"/>
        </w:rPr>
        <w:t xml:space="preserve">"Is this the right question?" · "What do we need to consider in order to decide?"</w:t>
      </w:r>
    </w:p>
    <w:p>
      <w:pPr>
        <w:spacing w:after="200"/>
      </w:pPr>
      <w:r>
        <w:rPr>
          <w:sz w:val="21"/>
          <w:szCs w:val="21"/>
        </w:rPr>
        <w:t xml:space="preserve">Push on what "best" means here for a doctor, not a hospital administrator: survival odds, quality of life, cost to the patient, and the patient's own stated risk factors are all real considerations Dr. Hotchkiss has to weigh — not just one number.</w:t>
      </w:r>
    </w:p>
    <w:p>
      <w:pPr>
        <w:pStyle w:val="Heading1"/>
        <w:pBdr>
          <w:left w:val="single" w:color="c9a227" w:sz="24" w:space="8"/>
        </w:pBdr>
        <w:spacing w:after="160" w:before="300"/>
      </w:pPr>
      <w:r>
        <w:rPr>
          <w:b/>
          <w:bCs/>
          <w:color w:val="1a3a5c"/>
          <w:sz w:val="30"/>
          <w:szCs w:val="30"/>
        </w:rPr>
        <w:t xml:space="preserve">Anchor 3 — What is the process?</w:t>
      </w:r>
    </w:p>
    <w:p>
      <w:pPr>
        <w:spacing w:after="200"/>
      </w:pPr>
      <w:r>
        <w:rPr>
          <w:b/>
          <w:bCs/>
          <w:sz w:val="21"/>
          <w:szCs w:val="21"/>
        </w:rPr>
        <w:t xml:space="preserve">"Do we consider all of these factors, focus on 2-3, or focus on only one? Which one(s)?"</w:t>
      </w:r>
    </w:p>
    <w:p>
      <w:pPr>
        <w:spacing w:after="200"/>
      </w:pPr>
      <w:r>
        <w:rPr>
          <w:sz w:val="21"/>
          <w:szCs w:val="21"/>
        </w:rPr>
        <w:t xml:space="preserve">Once the room has picked its deciding factor(s), ask them to name the actual steps: survival rate from the trial table, Ejection Fraction from Paul's own SV/EDV, five-year cost for each therapy, and the slope/intercept of each cost line. Re-ask: "Do we agree that's the right process for the factor we picked?"</w:t>
      </w:r>
    </w:p>
    <w:p>
      <w:pPr>
        <w:pStyle w:val="Heading1"/>
        <w:pBdr>
          <w:left w:val="single" w:color="c9a227" w:sz="24" w:space="8"/>
        </w:pBdr>
        <w:spacing w:after="160" w:before="300"/>
      </w:pPr>
      <w:r>
        <w:rPr>
          <w:b/>
          <w:bCs/>
          <w:color w:val="1a3a5c"/>
          <w:sz w:val="30"/>
          <w:szCs w:val="30"/>
        </w:rPr>
        <w:t xml:space="preserve">Anchor 4 — What don't we know?</w:t>
      </w:r>
    </w:p>
    <w:p>
      <w:pPr>
        <w:spacing w:after="200"/>
      </w:pPr>
      <w:r>
        <w:rPr>
          <w:b/>
          <w:bCs/>
          <w:sz w:val="21"/>
          <w:szCs w:val="21"/>
        </w:rPr>
        <w:t xml:space="preserve">"Do we need to make assumptions? Which ones are critical?"</w:t>
      </w:r>
    </w:p>
    <w:p>
      <w:pPr>
        <w:spacing w:after="200"/>
      </w:pPr>
      <w:r>
        <w:rPr>
          <w:sz w:val="21"/>
          <w:szCs w:val="21"/>
        </w:rPr>
        <w:t xml:space="preserve">Surface the two real conventions: the cost figures (Appendix C) are a stated modeling assumption, not trial data, and the cost model assumes no medication-price changes or inflation over five years. Ask which one actually matters more to the final recommendation.</w:t>
      </w:r>
    </w:p>
    <w:p>
      <w:pPr>
        <w:pStyle w:val="Heading1"/>
        <w:pBdr>
          <w:left w:val="single" w:color="c9a227" w:sz="24" w:space="8"/>
        </w:pBdr>
        <w:spacing w:after="160" w:before="300"/>
      </w:pPr>
      <w:r>
        <w:rPr>
          <w:b/>
          <w:bCs/>
          <w:color w:val="1a3a5c"/>
          <w:sz w:val="30"/>
          <w:szCs w:val="30"/>
        </w:rPr>
        <w:t xml:space="preserve">Data Deep Dive</w:t>
      </w:r>
    </w:p>
    <w:p>
      <w:pPr>
        <w:spacing w:after="200"/>
      </w:pPr>
      <w:r>
        <w:rPr>
          <w:sz w:val="21"/>
          <w:szCs w:val="21"/>
        </w:rPr>
        <w:t xml:space="preserve">Now, and only now, the numbers. Walk D1's survival-rate comparison and D2's Ejection Fraction calculation together as a room, cold-calling for the SV/EDV division specifically — this is where a Hero who divides the wrong way (EDV/SV instead of SV/EDV) will get a real, visibly wrong (impossibly high) Ejection Fraction instead of Paul's real value from Appendix B.</w:t>
      </w:r>
    </w:p>
    <w:p>
      <w:pPr>
        <w:pStyle w:val="Heading1"/>
        <w:pBdr>
          <w:left w:val="single" w:color="c9a227" w:sz="24" w:space="8"/>
        </w:pBdr>
        <w:spacing w:after="160" w:before="300"/>
      </w:pPr>
      <w:r>
        <w:rPr>
          <w:b/>
          <w:bCs/>
          <w:color w:val="1a3a5c"/>
          <w:sz w:val="30"/>
          <w:szCs w:val="30"/>
        </w:rPr>
        <w:t xml:space="preserve">Twist — drop this at ~15 minutes into the discussion</w:t>
      </w:r>
    </w:p>
    <w:p>
      <w:pPr>
        <w:spacing w:after="200"/>
      </w:pPr>
      <w:r>
        <w:rPr>
          <w:i/>
          <w:iCs/>
          <w:sz w:val="21"/>
          <w:szCs w:val="21"/>
        </w:rPr>
        <w:t xml:space="preserve">Deliver slowly, with pauses:</w:t>
      </w:r>
    </w:p>
    <w:p>
      <w:pPr>
        <w:spacing w:after="200"/>
      </w:pPr>
      <w:r>
        <w:rPr>
          <w:i/>
          <w:iCs/>
          <w:sz w:val="21"/>
          <w:szCs w:val="21"/>
        </w:rPr>
        <w:t xml:space="preserve">"Paul asks Dr. Hotchkiss one more question: 'What about ten years out, not just five?'"</w:t>
      </w:r>
    </w:p>
    <w:p>
      <w:pPr>
        <w:spacing w:after="200"/>
      </w:pPr>
      <w:r>
        <w:rPr>
          <w:b/>
          <w:bCs/>
          <w:sz w:val="21"/>
          <w:szCs w:val="21"/>
        </w:rPr>
        <w:t xml:space="preserve">FACILITATOR-ONLY.</w:t>
      </w:r>
    </w:p>
    <w:p>
      <w:pPr>
        <w:spacing w:after="200"/>
      </w:pPr>
      <w:r>
        <w:rPr>
          <w:sz w:val="21"/>
          <w:szCs w:val="21"/>
        </w:rPr>
        <w:t xml:space="preserve">The real trial's extended follow-up (the STICHES study, published five years after the original) reports 10-year outcomes: CABG's mortality rises to 58.9%, MT's to 66.1% — both much worse in absolute terms (an older, sicker cohort further out), but CABG's real advantage actually widens, from a 5.0-percentage-point gap at 5 years to a 7.2-point gap at 10 years. This is a genuine recompute with the trial's own additional real data, not a new invented number.</w:t>
      </w:r>
    </w:p>
    <w:p>
      <w:pPr>
        <w:spacing w:after="200"/>
      </w:pPr>
      <w:r>
        <w:rPr>
          <w:sz w:val="21"/>
          <w:szCs w:val="21"/>
        </w:rPr>
        <w:t xml:space="preserve">Here is the real detail that makes this twist land: the 5-year gap Dr. Hotchkiss and Paul are looking at right now, in this appointment, was not statistically significant (p=0.12 in the real trial — a real difference could easily just be noise at that sample size). The 10-year gap was significant (p=0.02). Dr. Hotchkiss has to make a real recommendation today on data that, strictly speaking, could not yet prove CABG was better — it took ten more years of real follow-up to confirm the difference was real. Ask: "Knowing the 5-year gap wasn't yet statistically proven — does that change how confidently you'd have recommended CABG at the time? And does it matter that the real world later showed the gap was real after all?"</w:t>
      </w:r>
    </w:p>
    <w:p>
      <w:pPr>
        <w:spacing w:after="200"/>
      </w:pPr>
      <w:r>
        <w:rPr>
          <w:i/>
          <w:iCs/>
          <w:sz w:val="21"/>
          <w:szCs w:val="21"/>
        </w:rPr>
        <w:t xml:space="preserve">Do not hand over a "correct" answer — reasonable people weigh a real-but-unproven advantage differently, and reasonable doctors have to recommend under exactly this kind of uncertainty all the time.</w:t>
      </w:r>
    </w:p>
    <w:p>
      <w:pPr>
        <w:pStyle w:val="Heading1"/>
        <w:pBdr>
          <w:left w:val="single" w:color="c9a227" w:sz="24" w:space="8"/>
        </w:pBdr>
        <w:spacing w:after="160" w:before="300"/>
      </w:pPr>
      <w:r>
        <w:rPr>
          <w:b/>
          <w:bCs/>
          <w:color w:val="1a3a5c"/>
          <w:sz w:val="30"/>
          <w:szCs w:val="30"/>
        </w:rPr>
        <w:t xml:space="preserve">Immediate recommit</w:t>
      </w:r>
    </w:p>
    <w:p>
      <w:pPr>
        <w:spacing w:after="200"/>
      </w:pPr>
      <w:r>
        <w:rPr>
          <w:sz w:val="21"/>
          <w:szCs w:val="21"/>
        </w:rPr>
        <w:t xml:space="preserve">Re-vote immediately. Ask by name: "Did the ten-year numbers change your recommendation, or did they just make you want to ask Paul more about his own priorities?"</w:t>
      </w:r>
    </w:p>
    <w:p>
      <w:pPr>
        <w:pStyle w:val="Heading1"/>
        <w:pBdr>
          <w:left w:val="single" w:color="c9a227" w:sz="24" w:space="8"/>
        </w:pBdr>
        <w:spacing w:after="160" w:before="300"/>
      </w:pPr>
      <w:r>
        <w:rPr>
          <w:b/>
          <w:bCs/>
          <w:color w:val="1a3a5c"/>
          <w:sz w:val="30"/>
          <w:szCs w:val="30"/>
        </w:rPr>
        <w:t xml:space="preserve">The two arguments (real numbers, for facilitator reference)</w:t>
      </w:r>
    </w:p>
    <w:p>
      <w:pPr>
        <w:pStyle w:val="Heading2"/>
        <w:spacing w:after="120" w:before="220"/>
      </w:pPr>
      <w:r>
        <w:rPr>
          <w:b/>
          <w:bCs/>
          <w:color w:val="1a3a5c"/>
          <w:sz w:val="24"/>
          <w:szCs w:val="24"/>
        </w:rPr>
        <w:t xml:space="preserve">Argument A — Medication Only (MT)</w:t>
      </w:r>
    </w:p>
    <w:p>
      <w:pPr>
        <w:spacing w:after="200"/>
      </w:pPr>
      <w:r>
        <w:rPr>
          <w:sz w:val="21"/>
          <w:szCs w:val="21"/>
        </w:rPr>
        <w:t xml:space="preserve">MT costs Paul $27,000 over 5 years against CABG's $94,000 — a real, disclosed difference driven almost entirely by CABG's one-time $85,000 surgical charge, not a pricing trick. MT still delivers a real 59% five-year survival rate in the actual trial data (and the real trial found the 5-year gap was NOT statistically significant, p=0.12 — a real, disclosed reason to doubt it's decisive), avoids surgical risk entirely, and is the therapy Paul is already on a path toward, requiring no new procedure.</w:t>
      </w:r>
    </w:p>
    <w:p>
      <w:pPr>
        <w:pStyle w:val="Heading2"/>
        <w:spacing w:after="120" w:before="220"/>
      </w:pPr>
      <w:r>
        <w:rPr>
          <w:b/>
          <w:bCs/>
          <w:color w:val="1a3a5c"/>
          <w:sz w:val="24"/>
          <w:szCs w:val="24"/>
        </w:rPr>
        <w:t xml:space="preserve">Argument B — Medication + CABG</w:t>
      </w:r>
    </w:p>
    <w:p>
      <w:pPr>
        <w:spacing w:after="200"/>
      </w:pPr>
      <w:r>
        <w:rPr>
          <w:sz w:val="21"/>
          <w:szCs w:val="21"/>
        </w:rPr>
        <w:t xml:space="preserve">CABG's 64% five-year survival rate is a real, trial-measured 5.0 percentage points higher than MT's 59% — for a patient with 98% occlusion of his left coronary artery, a family history of premature CAD, and an Ejection Fraction in the 30s, that gap is coming from the same landmark study Dr. Hotchkiss himself helped run. The extra cost is real and large, but it buys measurably better five-year odds in Paul's own risk category, and the real 10-year follow-up later confirmed the advantage is real and grows — Dr. Hotchkiss just doesn't have that confirmation yet at the time of this appointment.</w:t>
      </w:r>
    </w:p>
    <w:p>
      <w:pPr>
        <w:pStyle w:val="Heading2"/>
        <w:spacing w:after="120" w:before="220"/>
      </w:pPr>
      <w:r>
        <w:rPr>
          <w:b/>
          <w:bCs/>
          <w:color w:val="1a3a5c"/>
          <w:sz w:val="24"/>
          <w:szCs w:val="24"/>
        </w:rPr>
        <w:t xml:space="preserve">Graded margin</w:t>
      </w:r>
    </w:p>
    <w:p>
      <w:pPr>
        <w:spacing w:after="200"/>
      </w:pPr>
      <w:r>
        <w:rPr>
          <w:b/>
          <w:bCs/>
          <w:sz w:val="21"/>
          <w:szCs w:val="21"/>
        </w:rPr>
        <w:t xml:space="preserve">5.0 percentage points — 5-year survival rate, CABG (64%) vs. MT (59%), taken directly from the real STICH trial's own primary published report (Appendix A).</w:t>
      </w:r>
    </w:p>
    <w:p>
      <w:pPr>
        <w:pStyle w:val="Heading1"/>
        <w:pBdr>
          <w:left w:val="single" w:color="c9a227" w:sz="24" w:space="8"/>
        </w:pBdr>
        <w:spacing w:after="160" w:before="300"/>
      </w:pPr>
      <w:r>
        <w:rPr>
          <w:b/>
          <w:bCs/>
          <w:color w:val="1a3a5c"/>
          <w:sz w:val="30"/>
          <w:szCs w:val="30"/>
        </w:rPr>
        <w:t xml:space="preserve">Deep conflict — three threads (20-30 min)</w:t>
      </w:r>
    </w:p>
    <w:p>
      <w:pPr>
        <w:pStyle w:val="ListParagraph"/>
        <w:numPr>
          <w:ilvl w:val="0"/>
          <w:numId w:val="2"/>
        </w:numPr>
        <w:spacing w:after="140"/>
      </w:pPr>
      <w:r>
        <w:t xml:space="preserve">Survival rate vs. cost. CABG is safer by a real 5.0-percentage-point margin at 5 years (not yet statistically proven at that point); MT is cheaper by a real $67,000 over the same window. Is any cost difference large enough to outweigh a real, but not-yet-certain, survival-rate edge, or does that depend entirely on what the patient can actually afford?</w:t>
      </w:r>
    </w:p>
    <w:p>
      <w:pPr>
        <w:pStyle w:val="ListParagraph"/>
        <w:numPr>
          <w:ilvl w:val="0"/>
          <w:numId w:val="2"/>
        </w:numPr>
        <w:spacing w:after="140"/>
      </w:pPr>
      <w:r>
        <w:t xml:space="preserve">What the trial's average patient doesn't capture about Paul specifically. Paul's own risk factors (98% occlusion, family history, daily smoking) — does that make him more or less likely to benefit from CABG's survival edge than the trial's average participant?</w:t>
      </w:r>
    </w:p>
    <w:p>
      <w:pPr>
        <w:pStyle w:val="ListParagraph"/>
        <w:numPr>
          <w:ilvl w:val="0"/>
          <w:numId w:val="2"/>
        </w:numPr>
        <w:spacing w:after="140"/>
      </w:pPr>
      <w:r>
        <w:t xml:space="preserve">The disclosed referral fee. Dr. Hotchkiss's office earns 0.97% on every MT medication sale. Does that fact change how you'd want a doctor to present this decision to a patient, even if the trial data itself is real and unbiased?</w:t>
      </w:r>
    </w:p>
    <w:p>
      <w:pPr>
        <w:pStyle w:val="Heading1"/>
        <w:pBdr>
          <w:left w:val="single" w:color="c9a227" w:sz="24" w:space="8"/>
        </w:pBdr>
        <w:spacing w:after="160" w:before="300"/>
      </w:pPr>
      <w:r>
        <w:rPr>
          <w:b/>
          <w:bCs/>
          <w:color w:val="1a3a5c"/>
          <w:sz w:val="30"/>
          <w:szCs w:val="30"/>
        </w:rPr>
        <w:t xml:space="preserve">45-Minute Socratic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1a3a5c" w:color="auto" w:val="clear"/>
            <w:tcMar>
              <w:top w:type="dxa" w:w="80"/>
              <w:left w:type="dxa" w:w="100"/>
              <w:bottom w:type="dxa" w:w="80"/>
              <w:right w:type="dxa" w:w="100"/>
            </w:tcMar>
          </w:tcPr>
          <w:p>
            <w:r>
              <w:rPr>
                <w:b/>
                <w:bCs/>
                <w:color w:val="FFFFFF"/>
                <w:sz w:val="19"/>
                <w:szCs w:val="19"/>
              </w:rPr>
              <w:t xml:space="preserve">Time</w:t>
            </w:r>
          </w:p>
        </w:tc>
        <w:tc>
          <w:tcPr>
            <w:tcW w:type="dxa" w:w="7560"/>
            <w:shd w:fill="1a3a5c" w:color="auto" w:val="clear"/>
            <w:tcMar>
              <w:top w:type="dxa" w:w="80"/>
              <w:left w:type="dxa" w:w="100"/>
              <w:bottom w:type="dxa" w:w="80"/>
              <w:right w:type="dxa" w:w="100"/>
            </w:tcMar>
          </w:tcPr>
          <w:p>
            <w:r>
              <w:rPr>
                <w:b/>
                <w:bCs/>
                <w:color w:val="FFFFFF"/>
                <w:sz w:val="19"/>
                <w:szCs w:val="19"/>
              </w:rPr>
              <w:t xml:space="preserve">Move</w:t>
            </w:r>
          </w:p>
        </w:tc>
      </w:tr>
      <w:tr>
        <w:tc>
          <w:tcPr>
            <w:tcW w:type="dxa" w:w="1800"/>
            <w:tcMar>
              <w:top w:type="dxa" w:w="70"/>
              <w:left w:type="dxa" w:w="100"/>
              <w:bottom w:type="dxa" w:w="70"/>
              <w:right w:type="dxa" w:w="100"/>
            </w:tcMar>
          </w:tcPr>
          <w:p>
            <w:r>
              <w:rPr>
                <w:b w:val="false"/>
                <w:bCs w:val="false"/>
                <w:sz w:val="19"/>
                <w:szCs w:val="19"/>
              </w:rPr>
              <w:t xml:space="preserve">0:00–3:00</w:t>
            </w:r>
          </w:p>
        </w:tc>
        <w:tc>
          <w:tcPr>
            <w:tcW w:type="dxa" w:w="7560"/>
            <w:tcMar>
              <w:top w:type="dxa" w:w="70"/>
              <w:left w:type="dxa" w:w="100"/>
              <w:bottom w:type="dxa" w:w="70"/>
              <w:right w:type="dxa" w:w="100"/>
            </w:tcMar>
          </w:tcPr>
          <w:p>
            <w:r>
              <w:rPr>
                <w:b w:val="false"/>
                <w:bCs w:val="false"/>
                <w:sz w:val="19"/>
                <w:szCs w:val="19"/>
              </w:rPr>
              <w:t xml:space="preserve">Launch — read Paul's risk profile aloud, cold-call for a gut read, no trial numbers yet</w:t>
            </w:r>
          </w:p>
        </w:tc>
      </w:tr>
      <w:tr>
        <w:tc>
          <w:tcPr>
            <w:tcW w:type="dxa" w:w="1800"/>
            <w:shd w:fill="F7F9FB" w:color="auto" w:val="clear"/>
            <w:tcMar>
              <w:top w:type="dxa" w:w="70"/>
              <w:left w:type="dxa" w:w="100"/>
              <w:bottom w:type="dxa" w:w="70"/>
              <w:right w:type="dxa" w:w="100"/>
            </w:tcMar>
          </w:tcPr>
          <w:p>
            <w:r>
              <w:rPr>
                <w:b w:val="false"/>
                <w:bCs w:val="false"/>
                <w:sz w:val="19"/>
                <w:szCs w:val="19"/>
              </w:rPr>
              <w:t xml:space="preserve">3:00–10:00</w:t>
            </w:r>
          </w:p>
        </w:tc>
        <w:tc>
          <w:tcPr>
            <w:tcW w:type="dxa" w:w="7560"/>
            <w:shd w:fill="F7F9FB" w:color="auto" w:val="clear"/>
            <w:tcMar>
              <w:top w:type="dxa" w:w="70"/>
              <w:left w:type="dxa" w:w="100"/>
              <w:bottom w:type="dxa" w:w="70"/>
              <w:right w:type="dxa" w:w="100"/>
            </w:tcMar>
          </w:tcPr>
          <w:p>
            <w:r>
              <w:rPr>
                <w:b w:val="false"/>
                <w:bCs w:val="false"/>
                <w:sz w:val="19"/>
                <w:szCs w:val="19"/>
              </w:rPr>
              <w:t xml:space="preserve">Position defense — "Convince us your therapy is the right call for Paul specifically, not just 'the trial showed a difference'"</w:t>
            </w:r>
          </w:p>
        </w:tc>
      </w:tr>
      <w:tr>
        <w:tc>
          <w:tcPr>
            <w:tcW w:type="dxa" w:w="1800"/>
            <w:tcMar>
              <w:top w:type="dxa" w:w="70"/>
              <w:left w:type="dxa" w:w="100"/>
              <w:bottom w:type="dxa" w:w="70"/>
              <w:right w:type="dxa" w:w="100"/>
            </w:tcMar>
          </w:tcPr>
          <w:p>
            <w:r>
              <w:rPr>
                <w:b w:val="false"/>
                <w:bCs w:val="false"/>
                <w:sz w:val="19"/>
                <w:szCs w:val="19"/>
              </w:rPr>
              <w:t xml:space="preserve">10:00–15:00</w:t>
            </w:r>
          </w:p>
        </w:tc>
        <w:tc>
          <w:tcPr>
            <w:tcW w:type="dxa" w:w="7560"/>
            <w:tcMar>
              <w:top w:type="dxa" w:w="70"/>
              <w:left w:type="dxa" w:w="100"/>
              <w:bottom w:type="dxa" w:w="70"/>
              <w:right w:type="dxa" w:w="100"/>
            </w:tcMar>
          </w:tcPr>
          <w:p>
            <w:r>
              <w:rPr>
                <w:b w:val="false"/>
                <w:bCs w:val="false"/>
                <w:sz w:val="19"/>
                <w:szCs w:val="19"/>
              </w:rPr>
              <w:t xml:space="preserve">Pressure-test the models — "Which factor is actually deciding your vote — survival, cost, or something else?"</w:t>
            </w:r>
          </w:p>
        </w:tc>
      </w:tr>
      <w:tr>
        <w:tc>
          <w:tcPr>
            <w:tcW w:type="dxa" w:w="1800"/>
            <w:shd w:fill="F7F9FB" w:color="auto" w:val="clear"/>
            <w:tcMar>
              <w:top w:type="dxa" w:w="70"/>
              <w:left w:type="dxa" w:w="100"/>
              <w:bottom w:type="dxa" w:w="70"/>
              <w:right w:type="dxa" w:w="100"/>
            </w:tcMar>
          </w:tcPr>
          <w:p>
            <w:r>
              <w:rPr>
                <w:b/>
                <w:bCs/>
                <w:sz w:val="19"/>
                <w:szCs w:val="19"/>
              </w:rPr>
              <w:t xml:space="preserve">15:00</w:t>
            </w:r>
          </w:p>
        </w:tc>
        <w:tc>
          <w:tcPr>
            <w:tcW w:type="dxa" w:w="7560"/>
            <w:shd w:fill="F7F9FB" w:color="auto" w:val="clear"/>
            <w:tcMar>
              <w:top w:type="dxa" w:w="70"/>
              <w:left w:type="dxa" w:w="100"/>
              <w:bottom w:type="dxa" w:w="70"/>
              <w:right w:type="dxa" w:w="100"/>
            </w:tcMar>
          </w:tcPr>
          <w:p>
            <w:r>
              <w:rPr>
                <w:b/>
                <w:bCs/>
                <w:sz w:val="19"/>
                <w:szCs w:val="19"/>
              </w:rPr>
              <w:t xml:space="preserve">DROP THE TWIST — the 10-year numbers, delivered slowly</w:t>
            </w:r>
          </w:p>
        </w:tc>
      </w:tr>
      <w:tr>
        <w:tc>
          <w:tcPr>
            <w:tcW w:type="dxa" w:w="1800"/>
            <w:tcMar>
              <w:top w:type="dxa" w:w="70"/>
              <w:left w:type="dxa" w:w="100"/>
              <w:bottom w:type="dxa" w:w="70"/>
              <w:right w:type="dxa" w:w="100"/>
            </w:tcMar>
          </w:tcPr>
          <w:p>
            <w:r>
              <w:rPr>
                <w:b w:val="false"/>
                <w:bCs w:val="false"/>
                <w:sz w:val="19"/>
                <w:szCs w:val="19"/>
              </w:rPr>
              <w:t xml:space="preserve">15:00–20:00</w:t>
            </w:r>
          </w:p>
        </w:tc>
        <w:tc>
          <w:tcPr>
            <w:tcW w:type="dxa" w:w="7560"/>
            <w:tcMar>
              <w:top w:type="dxa" w:w="70"/>
              <w:left w:type="dxa" w:w="100"/>
              <w:bottom w:type="dxa" w:w="70"/>
              <w:right w:type="dxa" w:w="100"/>
            </w:tcMar>
          </w:tcPr>
          <w:p>
            <w:r>
              <w:rPr>
                <w:b w:val="false"/>
                <w:bCs w:val="false"/>
                <w:sz w:val="19"/>
                <w:szCs w:val="19"/>
              </w:rPr>
              <w:t xml:space="preserve">Immediate recommit — did the longer horizon change anyone's answer</w:t>
            </w:r>
          </w:p>
        </w:tc>
      </w:tr>
      <w:tr>
        <w:tc>
          <w:tcPr>
            <w:tcW w:type="dxa" w:w="1800"/>
            <w:shd w:fill="F7F9FB" w:color="auto" w:val="clear"/>
            <w:tcMar>
              <w:top w:type="dxa" w:w="70"/>
              <w:left w:type="dxa" w:w="100"/>
              <w:bottom w:type="dxa" w:w="70"/>
              <w:right w:type="dxa" w:w="100"/>
            </w:tcMar>
          </w:tcPr>
          <w:p>
            <w:r>
              <w:rPr>
                <w:b w:val="false"/>
                <w:bCs w:val="false"/>
                <w:sz w:val="19"/>
                <w:szCs w:val="19"/>
              </w:rPr>
              <w:t xml:space="preserve">20:00–30:00</w:t>
            </w:r>
          </w:p>
        </w:tc>
        <w:tc>
          <w:tcPr>
            <w:tcW w:type="dxa" w:w="7560"/>
            <w:shd w:fill="F7F9FB" w:color="auto" w:val="clear"/>
            <w:tcMar>
              <w:top w:type="dxa" w:w="70"/>
              <w:left w:type="dxa" w:w="100"/>
              <w:bottom w:type="dxa" w:w="70"/>
              <w:right w:type="dxa" w:w="100"/>
            </w:tcMar>
          </w:tcPr>
          <w:p>
            <w:r>
              <w:rPr>
                <w:b w:val="false"/>
                <w:bCs w:val="false"/>
                <w:sz w:val="19"/>
                <w:szCs w:val="19"/>
              </w:rPr>
              <w:t xml:space="preserve">Threaded deep conflict (survival vs. cost; Paul's specific risk profile; the disclosed referral fee)</w:t>
            </w:r>
          </w:p>
        </w:tc>
      </w:tr>
      <w:tr>
        <w:tc>
          <w:tcPr>
            <w:tcW w:type="dxa" w:w="1800"/>
            <w:tcMar>
              <w:top w:type="dxa" w:w="70"/>
              <w:left w:type="dxa" w:w="100"/>
              <w:bottom w:type="dxa" w:w="70"/>
              <w:right w:type="dxa" w:w="100"/>
            </w:tcMar>
          </w:tcPr>
          <w:p>
            <w:r>
              <w:rPr>
                <w:b w:val="false"/>
                <w:bCs w:val="false"/>
                <w:sz w:val="19"/>
                <w:szCs w:val="19"/>
              </w:rPr>
              <w:t xml:space="preserve">30:00–45:00</w:t>
            </w:r>
          </w:p>
        </w:tc>
        <w:tc>
          <w:tcPr>
            <w:tcW w:type="dxa" w:w="7560"/>
            <w:tcMar>
              <w:top w:type="dxa" w:w="70"/>
              <w:left w:type="dxa" w:w="100"/>
              <w:bottom w:type="dxa" w:w="70"/>
              <w:right w:type="dxa" w:w="100"/>
            </w:tcMar>
          </w:tcPr>
          <w:p>
            <w:r>
              <w:rPr>
                <w:b w:val="false"/>
                <w:bCs w:val="false"/>
                <w:sz w:val="19"/>
                <w:szCs w:val="19"/>
              </w:rPr>
              <w:t xml:space="preserve">Close, re-vote, reflection, lessons learned</w:t>
            </w:r>
          </w:p>
        </w:tc>
      </w:tr>
    </w:tbl>
    <w:p>
      <w:pPr>
        <w:spacing w:after="260"/>
      </w:pPr>
    </w:p>
    <w:p>
      <w:pPr>
        <w:pStyle w:val="Heading1"/>
        <w:pBdr>
          <w:left w:val="single" w:color="c9a227" w:sz="24" w:space="8"/>
        </w:pBdr>
        <w:spacing w:after="160" w:before="300"/>
      </w:pPr>
      <w:r>
        <w:rPr>
          <w:b/>
          <w:bCs/>
          <w:color w:val="1a3a5c"/>
          <w:sz w:val="30"/>
          <w:szCs w:val="30"/>
        </w:rPr>
        <w:t xml:space="preserve">The Trap</w:t>
      </w:r>
    </w:p>
    <w:p>
      <w:pPr>
        <w:spacing w:after="200"/>
      </w:pPr>
      <w:r>
        <w:rPr>
          <w:sz w:val="21"/>
          <w:szCs w:val="21"/>
        </w:rPr>
        <w:t xml:space="preserve">A Hero computes the cost difference, recommends MT on price alone, and never engages with the real survival-rate gap the trial actually measured — or the reverse, recommending CABG on survival alone without ever mentioning that $94,000 is a real number a real family has to find. The case's actual tension is that a cheaper option carries a real, disclosed survival cost — not that one option is simply "better."</w:t>
      </w:r>
    </w:p>
    <w:p>
      <w:pPr>
        <w:pStyle w:val="Heading1"/>
        <w:pBdr>
          <w:left w:val="single" w:color="c9a227" w:sz="24" w:space="8"/>
        </w:pBdr>
        <w:spacing w:after="160" w:before="300"/>
      </w:pPr>
      <w:r>
        <w:rPr>
          <w:b/>
          <w:bCs/>
          <w:color w:val="1a3a5c"/>
          <w:sz w:val="30"/>
          <w:szCs w:val="30"/>
        </w:rPr>
        <w:t xml:space="preserve">Socratic Questions</w:t>
      </w:r>
    </w:p>
    <w:p>
      <w:pPr>
        <w:pStyle w:val="ListParagraph"/>
        <w:numPr>
          <w:ilvl w:val="0"/>
          <w:numId w:val="3"/>
        </w:numPr>
        <w:spacing w:after="140"/>
      </w:pPr>
      <w:r>
        <w:t xml:space="preserve">CABG's five-year survival rate is 5.0 percentage points higher than MT's — how would you explain to Paul and Cindy why that gap is or isn't decisive on its own?</w:t>
      </w:r>
    </w:p>
    <w:p>
      <w:pPr>
        <w:pStyle w:val="ListParagraph"/>
        <w:numPr>
          <w:ilvl w:val="0"/>
          <w:numId w:val="3"/>
        </w:numPr>
        <w:spacing w:after="140"/>
      </w:pPr>
      <w:r>
        <w:t xml:space="preserve">CABG costs more than MT over five years — does a cost gap that size ever get to override a real survival-rate difference, and who should get to make that call: the doctor or the patient?</w:t>
      </w:r>
    </w:p>
    <w:p>
      <w:pPr>
        <w:pStyle w:val="ListParagraph"/>
        <w:numPr>
          <w:ilvl w:val="0"/>
          <w:numId w:val="3"/>
        </w:numPr>
        <w:spacing w:after="140"/>
      </w:pPr>
      <w:r>
        <w:t xml:space="preserve">Paul's Ejection Fraction is in the low 30s as a percent — using the "how to…" resource you researched, what does that number suggest about how sick his heart already is, independent of which therapy he picks?</w:t>
      </w:r>
    </w:p>
    <w:p>
      <w:pPr>
        <w:pStyle w:val="ListParagraph"/>
        <w:numPr>
          <w:ilvl w:val="0"/>
          <w:numId w:val="3"/>
        </w:numPr>
        <w:spacing w:after="140"/>
      </w:pPr>
      <w:r>
        <w:t xml:space="preserve">Dr. Hotchkiss's office earns money on every MT prescription. Does knowing that change how you'd weight his own stated recommendation, even though the trial data itself doesn't come from him?</w:t>
      </w:r>
    </w:p>
    <w:p>
      <w:pPr>
        <w:pStyle w:val="ListParagraph"/>
        <w:numPr>
          <w:ilvl w:val="0"/>
          <w:numId w:val="3"/>
        </w:numPr>
        <w:spacing w:after="140"/>
      </w:pPr>
      <w:r>
        <w:t xml:space="preserve">The ten-year numbers widen CABG's advantage from 5.0 to 7.2 percentage points, and only at ten years does the gap become statistically significant. What does it mean for a recommendation Dr. Hotchkiss has to make today, on data that can't yet prove itself?</w:t>
      </w:r>
    </w:p>
    <w:p>
      <w:pPr>
        <w:pStyle w:val="Heading1"/>
        <w:pBdr>
          <w:left w:val="single" w:color="c9a227" w:sz="24" w:space="8"/>
        </w:pBdr>
        <w:spacing w:after="160" w:before="300"/>
      </w:pPr>
      <w:r>
        <w:rPr>
          <w:b/>
          <w:bCs/>
          <w:color w:val="1a3a5c"/>
          <w:sz w:val="30"/>
          <w:szCs w:val="30"/>
        </w:rPr>
        <w:t xml:space="preserve">What A Strong Defense Sounds Like</w:t>
      </w:r>
    </w:p>
    <w:p>
      <w:pPr>
        <w:spacing w:after="200"/>
      </w:pPr>
      <w:r>
        <w:rPr>
          <w:sz w:val="21"/>
          <w:szCs w:val="21"/>
        </w:rPr>
        <w:t xml:space="preserve">Not a single "correct" pick — a strong write-up names the real number it's weighting heaviest and says why, engages honestly with at least one real number that cuts against its own conclusion (the cost gap, or the survival gap), and treats Paul's specific risk profile as real evidence, not decoration. A write-up that only ever cites numbers favoring its own side, or that never mentions the disclosed referral-fee detail at all, is weaker than one that does — even if they land on the same final recommendation.</w:t>
      </w:r>
    </w:p>
    <w:p>
      <w:pPr>
        <w:pStyle w:val="Heading1"/>
        <w:pBdr>
          <w:left w:val="single" w:color="c9a227" w:sz="24" w:space="8"/>
        </w:pBdr>
        <w:spacing w:after="160" w:before="300"/>
      </w:pPr>
      <w:r>
        <w:rPr>
          <w:b/>
          <w:bCs/>
          <w:color w:val="1a3a5c"/>
          <w:sz w:val="30"/>
          <w:szCs w:val="30"/>
        </w:rPr>
        <w:t xml:space="preserve">Close</w:t>
      </w:r>
    </w:p>
    <w:p>
      <w:pPr>
        <w:spacing w:after="200"/>
      </w:pPr>
      <w:r>
        <w:rPr>
          <w:b/>
          <w:bCs/>
          <w:sz w:val="21"/>
          <w:szCs w:val="21"/>
        </w:rPr>
        <w:t xml:space="preserve">VOTE AGAIN.</w:t>
      </w:r>
    </w:p>
    <w:p>
      <w:pPr>
        <w:spacing w:after="200"/>
      </w:pPr>
      <w:r>
        <w:rPr>
          <w:sz w:val="21"/>
          <w:szCs w:val="21"/>
        </w:rPr>
        <w:t xml:space="preserve">"Did we ask the right question at the start?" "What math was new to you tonight, and how did you actually attack it?" Compare the closing vote to Anchor 1's — a room that didn't move at all after the twist is worth asking about directly: did the ten-year numbers not feel like a real factor, or did the room already treat "five-year survival" as the number that mattered most?</w:t>
      </w:r>
    </w:p>
    <w:p>
      <w:pPr>
        <w:pStyle w:val="Heading1"/>
        <w:pBdr>
          <w:left w:val="single" w:color="c9a227" w:sz="24" w:space="8"/>
        </w:pBdr>
        <w:spacing w:after="160" w:before="300"/>
      </w:pPr>
      <w:r>
        <w:rPr>
          <w:b/>
          <w:bCs/>
          <w:color w:val="1a3a5c"/>
          <w:sz w:val="30"/>
          <w:szCs w:val="30"/>
        </w:rPr>
        <w:t xml:space="preserve">Standards Touched On</w:t>
      </w:r>
    </w:p>
    <w:p>
      <w:pPr>
        <w:spacing w:after="200"/>
      </w:pPr>
      <w:r>
        <w:rPr>
          <w:sz w:val="19"/>
          <w:szCs w:val="19"/>
        </w:rPr>
        <w:t xml:space="preserve">Percent · Ratio · Slope · Decimal · Data · Measurement · Mean · Unit · How to convert numbers to percents · How to find equivalent ratios · How to identify the slope of a line given a set of data · How to multiply decimal numbers · How to add decimal numbers · How to compare two or more values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abstractNum w:abstractNumId="3" w15:restartNumberingAfterBreak="0">
    <w:multiLevelType w:val="hybridMultilevel"/>
    <w:lvl w:ilvl="0" w15:tentative="1">
      <w:start w:val="1"/>
      <w:numFmt w:val="decimal"/>
      <w:lvlText w:val="%1."/>
      <w:lvlJc w:val="left"/>
      <w:pPr>
        <w:ind w:left="504" w:hanging="360"/>
      </w:pPr>
    </w:lvl>
  </w:abstractNum>
  <w:abstractNum w:abstractNumId="4" w15:restartNumberingAfterBreak="0">
    <w:multiLevelType w:val="hybridMultilevel"/>
    <w:lvl w:ilvl="0" w15:tentative="1">
      <w:start w:val="1"/>
      <w:numFmt w:val="decimal"/>
      <w:lvlText w:val="%1."/>
      <w:lvlJc w:val="left"/>
      <w:pPr>
        <w:ind w:left="504"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2026-08-04T05:33:39.881Z</dcterms:created>
  <dcterms:modified xsi:type="dcterms:W3CDTF">2026-08-04T05:33:39.881Z</dcterms:modified>
</cp:coreProperties>
</file>

<file path=docProps/custom.xml><?xml version="1.0" encoding="utf-8"?>
<Properties xmlns="http://schemas.openxmlformats.org/officeDocument/2006/custom-properties" xmlns:vt="http://schemas.openxmlformats.org/officeDocument/2006/docPropsVTypes"/>
</file>