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3a5c"/>
          <w:sz w:val="44"/>
          <w:szCs w:val="44"/>
        </w:rPr>
        <w:t xml:space="preserve">Case Study: Cold Chain</w:t>
      </w:r>
    </w:p>
    <w:p>
      <w:pPr>
        <w:pBdr>
          <w:bottom w:val="single" w:color="c9a227" w:sz="8"/>
        </w:pBdr>
        <w:spacing w:after="340"/>
      </w:pPr>
      <w:r>
        <w:rPr>
          <w:rFonts w:ascii="Georgia" w:cs="Georgia" w:eastAsia="Georgia" w:hAnsi="Georgia"/>
          <w:caps w:val="false"/>
          <w:color w:val="6b7280"/>
          <w:sz w:val="20"/>
          <w:szCs w:val="20"/>
        </w:rPr>
        <w:t xml:space="preserve">MS  |  Math  |  Case Study  |  2026-27  |  Heroes Academy</w:t>
      </w:r>
    </w:p>
    <w:p>
      <w:pPr>
        <w:pStyle w:val="Heading1"/>
        <w:spacing w:after="160" w:before="300"/>
      </w:pPr>
      <w:r>
        <w:rPr>
          <w:rFonts w:ascii="Georgia" w:cs="Georgia" w:eastAsia="Georgia" w:hAnsi="Georgia"/>
          <w:b/>
          <w:bCs/>
          <w:color w:val="1a3a5c"/>
          <w:sz w:val="32"/>
          <w:szCs w:val="32"/>
        </w:rPr>
        <w:t xml:space="preserve">Overview</w:t>
      </w:r>
    </w:p>
    <w:p>
      <w:pPr>
        <w:spacing w:after="130" w:line="300"/>
      </w:pPr>
      <w:r>
        <w:rPr>
          <w:rFonts w:ascii="Georgia" w:cs="Georgia" w:eastAsia="Georgia" w:hAnsi="Georgia"/>
          <w:sz w:val="22"/>
          <w:szCs w:val="22"/>
        </w:rPr>
        <w:t xml:space="preserve">The generator dies at 4:40 in the morning, and in the sudden quiet Adaeze Okonkwo can hear the rain starting on the storeroom's tin roof.</w:t>
      </w:r>
    </w:p>
    <w:p>
      <w:pPr>
        <w:spacing w:after="130" w:line="300"/>
      </w:pPr>
      <w:r>
        <w:rPr>
          <w:rFonts w:ascii="Georgia" w:cs="Georgia" w:eastAsia="Georgia" w:hAnsi="Georgia"/>
          <w:sz w:val="22"/>
          <w:szCs w:val="22"/>
        </w:rPr>
        <w:t xml:space="preserve">She does not move for a moment. Behind her, in the dark, the walk-in refrigerator holds every dose of measles vaccine the district will get this quarter, already three weeks late. The backup generator will hold. The backup generator has always held.</w:t>
      </w:r>
    </w:p>
    <w:p>
      <w:pPr>
        <w:spacing w:after="130" w:line="300"/>
      </w:pPr>
      <w:r>
        <w:rPr>
          <w:rFonts w:ascii="Georgia" w:cs="Georgia" w:eastAsia="Georgia" w:hAnsi="Georgia"/>
          <w:sz w:val="22"/>
          <w:szCs w:val="22"/>
        </w:rPr>
        <w:t xml:space="preserve">Her phone lights the room green as she checks it. Twenty-two minutes until the drivers arrive. Somewhere out past the district line, in six villages strung along a week of bad road that turns to soup when it rains like this, mothers have already started walking toward clinics that have had nothing to offer them since March.</w:t>
      </w:r>
    </w:p>
    <w:p>
      <w:pPr>
        <w:spacing w:after="130" w:line="300"/>
      </w:pPr>
      <w:r>
        <w:rPr>
          <w:rFonts w:ascii="Georgia" w:cs="Georgia" w:eastAsia="Georgia" w:hAnsi="Georgia"/>
          <w:sz w:val="22"/>
          <w:szCs w:val="22"/>
        </w:rPr>
        <w:t xml:space="preserve">On the desk in front of her are two purchase orders, both approved, both stamped, and she is allowed to submit exactly one. One buys four small cold boxes, light enough that a single health worker can strap one to the back of a motorcycle and take it up the footpaths to Bulera and Nyamirama, where no vehicle has ever gone. The other buys two large ones — far cheaper for every litre they carry, and far too heavy for anything but the truck.</w:t>
      </w:r>
    </w:p>
    <w:p>
      <w:pPr>
        <w:spacing w:after="130" w:line="300"/>
      </w:pPr>
      <w:r>
        <w:rPr>
          <w:rFonts w:ascii="Georgia" w:cs="Georgia" w:eastAsia="Georgia" w:hAnsi="Georgia"/>
          <w:sz w:val="22"/>
          <w:szCs w:val="22"/>
        </w:rPr>
        <w:t xml:space="preserve">The truck cannot reach Bulera. The truck has never reached Nyamirama.</w:t>
      </w:r>
    </w:p>
    <w:p>
      <w:pPr>
        <w:spacing w:after="130" w:line="300"/>
      </w:pPr>
      <w:r>
        <w:rPr>
          <w:rFonts w:ascii="Georgia" w:cs="Georgia" w:eastAsia="Georgia" w:hAnsi="Georgia"/>
          <w:sz w:val="22"/>
          <w:szCs w:val="22"/>
        </w:rPr>
        <w:t xml:space="preserve">Adaeze picks up both forms, one in each hand, and outside she hears the first engine turning over in the yard.</w:t>
      </w:r>
    </w:p>
    <w:p>
      <w:pPr>
        <w:pStyle w:val="Heading1"/>
        <w:spacing w:after="160" w:before="300"/>
      </w:pPr>
      <w:r>
        <w:rPr>
          <w:rFonts w:ascii="Georgia" w:cs="Georgia" w:eastAsia="Georgia" w:hAnsi="Georgia"/>
          <w:b/>
          <w:bCs/>
          <w:color w:val="1a3a5c"/>
          <w:sz w:val="32"/>
          <w:szCs w:val="32"/>
        </w:rPr>
        <w:t xml:space="preserve">Background</w:t>
      </w:r>
    </w:p>
    <w:p>
      <w:pPr>
        <w:spacing w:after="130" w:line="300"/>
      </w:pPr>
      <w:r>
        <w:rPr>
          <w:rFonts w:ascii="Georgia" w:cs="Georgia" w:eastAsia="Georgia" w:hAnsi="Georgia"/>
          <w:sz w:val="22"/>
          <w:szCs w:val="22"/>
        </w:rPr>
        <w:t xml:space="preserve">Adaeze Okonkwo is the District Vaccine Logistics Officer for Gomba District. She is responsible for getting vaccine from the district cold store to six rural health facilities and for every dose that spoils on the way. She reports quarterly on doses administered and doses wasted, and both numbers follow her.</w:t>
      </w:r>
    </w:p>
    <w:p>
      <w:pPr>
        <w:spacing w:after="130" w:line="300"/>
      </w:pPr>
      <w:r>
        <w:rPr>
          <w:rFonts w:ascii="Georgia" w:cs="Georgia" w:eastAsia="Georgia" w:hAnsi="Georgia"/>
          <w:sz w:val="22"/>
          <w:szCs w:val="22"/>
        </w:rPr>
        <w:t xml:space="preserve">This quarter's allocation is </w:t>
      </w:r>
      <w:r>
        <w:rPr>
          <w:rFonts w:ascii="Georgia" w:cs="Georgia" w:eastAsia="Georgia" w:hAnsi="Georgia"/>
          <w:b/>
          <w:bCs/>
          <w:sz w:val="22"/>
          <w:szCs w:val="22"/>
        </w:rPr>
        <w:t xml:space="preserve">9,000 doses of measles vaccine</w:t>
      </w:r>
      <w:r>
        <w:rPr>
          <w:rFonts w:ascii="Georgia" w:cs="Georgia" w:eastAsia="Georgia" w:hAnsi="Georgia"/>
          <w:sz w:val="22"/>
          <w:szCs w:val="22"/>
        </w:rPr>
        <w:t xml:space="preserve">. It must reach the six facilities on a single outreach circuit. Once the vaccine leaves the district cold store, it is travelling in </w:t>
      </w:r>
      <w:r>
        <w:rPr>
          <w:rFonts w:ascii="Georgia" w:cs="Georgia" w:eastAsia="Georgia" w:hAnsi="Georgia"/>
          <w:b/>
          <w:bCs/>
          <w:sz w:val="22"/>
          <w:szCs w:val="22"/>
        </w:rPr>
        <w:t xml:space="preserve">passive containers</w:t>
      </w:r>
      <w:r>
        <w:rPr>
          <w:rFonts w:ascii="Georgia" w:cs="Georgia" w:eastAsia="Georgia" w:hAnsi="Georgia"/>
          <w:sz w:val="22"/>
          <w:szCs w:val="22"/>
        </w:rPr>
        <w:t xml:space="preserve"> — insulated boxes chilled with frozen water-packs. There is no refrigeration on the vehicles. The cold is packed in at the start and it runs out.</w:t>
      </w:r>
    </w:p>
    <w:p>
      <w:pPr>
        <w:spacing w:after="130" w:line="300"/>
      </w:pPr>
      <w:r>
        <w:rPr>
          <w:rFonts w:ascii="Georgia" w:cs="Georgia" w:eastAsia="Georgia" w:hAnsi="Georgia"/>
          <w:sz w:val="22"/>
          <w:szCs w:val="22"/>
        </w:rPr>
        <w:t xml:space="preserve">The World Health Organization certifies these containers by a measurement called </w:t>
      </w:r>
      <w:r>
        <w:rPr>
          <w:rFonts w:ascii="Georgia" w:cs="Georgia" w:eastAsia="Georgia" w:hAnsi="Georgia"/>
          <w:b/>
          <w:bCs/>
          <w:sz w:val="22"/>
          <w:szCs w:val="22"/>
        </w:rPr>
        <w:t xml:space="preserve">cold life</w:t>
      </w:r>
      <w:r>
        <w:rPr>
          <w:rFonts w:ascii="Georgia" w:cs="Georgia" w:eastAsia="Georgia" w:hAnsi="Georgia"/>
          <w:sz w:val="22"/>
          <w:szCs w:val="22"/>
        </w:rPr>
        <w:t xml:space="preserve">: the number of hours from the moment the lid closes until the warmest point inside first reaches +10 °C, tested at a constant outside temperature of +43 °C (SEE APPENDIX A). Measles vaccine must be held between </w:t>
      </w:r>
      <w:r>
        <w:rPr>
          <w:rFonts w:ascii="Georgia" w:cs="Georgia" w:eastAsia="Georgia" w:hAnsi="Georgia"/>
          <w:b/>
          <w:bCs/>
          <w:sz w:val="22"/>
          <w:szCs w:val="22"/>
        </w:rPr>
        <w:t xml:space="preserve">+2 °C and +8 °C</w:t>
      </w:r>
      <w:r>
        <w:rPr>
          <w:rFonts w:ascii="Georgia" w:cs="Georgia" w:eastAsia="Georgia" w:hAnsi="Georgia"/>
          <w:sz w:val="22"/>
          <w:szCs w:val="22"/>
        </w:rPr>
        <w:t xml:space="preserve">; the target is the midpoint of that range. Any reading outside the range is a temperature excursion, and excursed doses cannot be administered (SEE APPENDIX B).</w:t>
      </w:r>
    </w:p>
    <w:p>
      <w:pPr>
        <w:spacing w:after="130" w:line="300"/>
      </w:pPr>
      <w:r>
        <w:rPr>
          <w:rFonts w:ascii="Georgia" w:cs="Georgia" w:eastAsia="Georgia" w:hAnsi="Georgia"/>
          <w:sz w:val="22"/>
          <w:szCs w:val="22"/>
        </w:rPr>
        <w:t xml:space="preserve">Her container budget is </w:t>
      </w:r>
      <w:r>
        <w:rPr>
          <w:rFonts w:ascii="Georgia" w:cs="Georgia" w:eastAsia="Georgia" w:hAnsi="Georgia"/>
          <w:b/>
          <w:bCs/>
          <w:sz w:val="22"/>
          <w:szCs w:val="22"/>
        </w:rPr>
        <w:t xml:space="preserve">$420</w:t>
      </w:r>
      <w:r>
        <w:rPr>
          <w:rFonts w:ascii="Georgia" w:cs="Georgia" w:eastAsia="Georgia" w:hAnsi="Georgia"/>
          <w:sz w:val="22"/>
          <w:szCs w:val="22"/>
        </w:rPr>
        <w:t xml:space="preserve">. The two approved purchase orders are:</w:t>
      </w:r>
    </w:p>
    <w:p>
      <w:pPr>
        <w:spacing w:after="80" w:before="160"/>
      </w:pPr>
      <w:r>
        <w:rPr>
          <w:rFonts w:ascii="Georgia" w:cs="Georgia" w:eastAsia="Georgia" w:hAnsi="Georgia"/>
          <w:b/>
          <w:bCs/>
          <w:sz w:val="22"/>
          <w:szCs w:val="22"/>
        </w:rPr>
        <w:t xml:space="preserve">Order A — The Light Fleet:</w:t>
      </w:r>
    </w:p>
    <w:p>
      <w:pPr>
        <w:spacing w:after="130" w:line="300"/>
      </w:pPr>
      <w:r>
        <w:rPr>
          <w:rFonts w:ascii="Georgia" w:cs="Georgia" w:eastAsia="Georgia" w:hAnsi="Georgia"/>
          <w:sz w:val="22"/>
          <w:szCs w:val="22"/>
        </w:rPr>
        <w:t xml:space="preserve">Four </w:t>
      </w:r>
      <w:r>
        <w:rPr>
          <w:rFonts w:ascii="Georgia" w:cs="Georgia" w:eastAsia="Georgia" w:hAnsi="Georgia"/>
          <w:b/>
          <w:bCs/>
          <w:sz w:val="22"/>
          <w:szCs w:val="22"/>
        </w:rPr>
        <w:t xml:space="preserve">AOV ACB-264SL</w:t>
      </w:r>
      <w:r>
        <w:rPr>
          <w:rFonts w:ascii="Georgia" w:cs="Georgia" w:eastAsia="Georgia" w:hAnsi="Georgia"/>
          <w:sz w:val="22"/>
          <w:szCs w:val="22"/>
        </w:rPr>
        <w:t xml:space="preserve"> cold boxes, $102.21 each — $408.84 total. 6 litres of vaccine capacity per box, 25.4 kg fully loaded. Adaeze's team plans to send </w:t>
      </w:r>
      <w:r>
        <w:rPr>
          <w:rFonts w:ascii="Georgia" w:cs="Georgia" w:eastAsia="Georgia" w:hAnsi="Georgia"/>
          <w:b/>
          <w:bCs/>
          <w:sz w:val="22"/>
          <w:szCs w:val="22"/>
        </w:rPr>
        <w:t xml:space="preserve">three boxes on the truck route</w:t>
      </w:r>
      <w:r>
        <w:rPr>
          <w:rFonts w:ascii="Georgia" w:cs="Georgia" w:eastAsia="Georgia" w:hAnsi="Georgia"/>
          <w:sz w:val="22"/>
          <w:szCs w:val="22"/>
        </w:rPr>
        <w:t xml:space="preserve"> (the four facilities in Appendix C reachable by road) and </w:t>
      </w:r>
      <w:r>
        <w:rPr>
          <w:rFonts w:ascii="Georgia" w:cs="Georgia" w:eastAsia="Georgia" w:hAnsi="Georgia"/>
          <w:b/>
          <w:bCs/>
          <w:sz w:val="22"/>
          <w:szCs w:val="22"/>
        </w:rPr>
        <w:t xml:space="preserve">one box on the motorcycle route</w:t>
      </w:r>
      <w:r>
        <w:rPr>
          <w:rFonts w:ascii="Georgia" w:cs="Georgia" w:eastAsia="Georgia" w:hAnsi="Georgia"/>
          <w:sz w:val="22"/>
          <w:szCs w:val="22"/>
        </w:rPr>
        <w:t xml:space="preserve"> (Bulera and Nyamirama). At 25.4 kg, one worker can strap a box to a motorcycle — compare that against the WHO lifting guidance below before you decide how comfortable you are with it.</w:t>
      </w:r>
    </w:p>
    <w:p>
      <w:pPr>
        <w:spacing w:after="80" w:before="160"/>
      </w:pPr>
      <w:r>
        <w:rPr>
          <w:rFonts w:ascii="Georgia" w:cs="Georgia" w:eastAsia="Georgia" w:hAnsi="Georgia"/>
          <w:b/>
          <w:bCs/>
          <w:sz w:val="22"/>
          <w:szCs w:val="22"/>
        </w:rPr>
        <w:t xml:space="preserve">Order B — The Heavy Pair:</w:t>
      </w:r>
    </w:p>
    <w:p>
      <w:pPr>
        <w:spacing w:after="130" w:line="300"/>
      </w:pPr>
      <w:r>
        <w:rPr>
          <w:rFonts w:ascii="Georgia" w:cs="Georgia" w:eastAsia="Georgia" w:hAnsi="Georgia"/>
          <w:sz w:val="22"/>
          <w:szCs w:val="22"/>
        </w:rPr>
        <w:t xml:space="preserve">Two </w:t>
      </w:r>
      <w:r>
        <w:rPr>
          <w:rFonts w:ascii="Georgia" w:cs="Georgia" w:eastAsia="Georgia" w:hAnsi="Georgia"/>
          <w:b/>
          <w:bCs/>
          <w:sz w:val="22"/>
          <w:szCs w:val="22"/>
        </w:rPr>
        <w:t xml:space="preserve">Blowkings CB-20-CF</w:t>
      </w:r>
      <w:r>
        <w:rPr>
          <w:rFonts w:ascii="Georgia" w:cs="Georgia" w:eastAsia="Georgia" w:hAnsi="Georgia"/>
          <w:sz w:val="22"/>
          <w:szCs w:val="22"/>
        </w:rPr>
        <w:t xml:space="preserve"> cold boxes, $128.00 each — $256.00 total. 20 litres of vaccine capacity per box, 49.5 kg fully loaded — far cheaper per litre than Order A, but at 49.5 kg each box needs two people and a vehicle. Both boxes go on the truck route. </w:t>
      </w:r>
      <w:r>
        <w:rPr>
          <w:rFonts w:ascii="Georgia" w:cs="Georgia" w:eastAsia="Georgia" w:hAnsi="Georgia"/>
          <w:b/>
          <w:bCs/>
          <w:sz w:val="22"/>
          <w:szCs w:val="22"/>
        </w:rPr>
        <w:t xml:space="preserve">Bulera and Nyamirama receive nothing.</w:t>
      </w:r>
    </w:p>
    <w:p>
      <w:pPr>
        <w:spacing w:after="130" w:line="300"/>
      </w:pPr>
      <w:r>
        <w:rPr>
          <w:rFonts w:ascii="Georgia" w:cs="Georgia" w:eastAsia="Georgia" w:hAnsi="Georgia"/>
          <w:sz w:val="22"/>
          <w:szCs w:val="22"/>
        </w:rPr>
        <w:t xml:space="preserve">WHO guidance sets 25 kg as the recommended maximum a single worker should lift, and 50 kg as the design ceiling for a cold box (SEE APPENDIX A).</w:t>
      </w:r>
    </w:p>
    <w:p>
      <w:pPr>
        <w:spacing w:after="130" w:line="300"/>
      </w:pPr>
      <w:r>
        <w:rPr>
          <w:rFonts w:ascii="Georgia" w:cs="Georgia" w:eastAsia="Georgia" w:hAnsi="Georgia"/>
          <w:sz w:val="22"/>
          <w:szCs w:val="22"/>
        </w:rPr>
        <w:t xml:space="preserve">The circuit and the six facilities' demand are in </w:t>
      </w:r>
      <w:r>
        <w:rPr>
          <w:rFonts w:ascii="Georgia" w:cs="Georgia" w:eastAsia="Georgia" w:hAnsi="Georgia"/>
          <w:b/>
          <w:bCs/>
          <w:sz w:val="22"/>
          <w:szCs w:val="22"/>
        </w:rPr>
        <w:t xml:space="preserve">APPENDIX C</w:t>
      </w:r>
      <w:r>
        <w:rPr>
          <w:rFonts w:ascii="Georgia" w:cs="Georgia" w:eastAsia="Georgia" w:hAnsi="Georgia"/>
          <w:sz w:val="22"/>
          <w:szCs w:val="22"/>
        </w:rPr>
        <w:t xml:space="preserve">. Container specifications are in </w:t>
      </w:r>
      <w:r>
        <w:rPr>
          <w:rFonts w:ascii="Georgia" w:cs="Georgia" w:eastAsia="Georgia" w:hAnsi="Georgia"/>
          <w:b/>
          <w:bCs/>
          <w:sz w:val="22"/>
          <w:szCs w:val="22"/>
        </w:rPr>
        <w:t xml:space="preserve">APPENDIX A</w:t>
      </w:r>
      <w:r>
        <w:rPr>
          <w:rFonts w:ascii="Georgia" w:cs="Georgia" w:eastAsia="Georgia" w:hAnsi="Georgia"/>
          <w:sz w:val="22"/>
          <w:szCs w:val="22"/>
        </w:rPr>
        <w:t xml:space="preserve">. Vaccine packing volumes and prices are in </w:t>
      </w:r>
      <w:r>
        <w:rPr>
          <w:rFonts w:ascii="Georgia" w:cs="Georgia" w:eastAsia="Georgia" w:hAnsi="Georgia"/>
          <w:b/>
          <w:bCs/>
          <w:sz w:val="22"/>
          <w:szCs w:val="22"/>
        </w:rPr>
        <w:t xml:space="preserve">APPENDIX D</w:t>
      </w:r>
      <w:r>
        <w:rPr>
          <w:rFonts w:ascii="Georgia" w:cs="Georgia" w:eastAsia="Georgia" w:hAnsi="Georgia"/>
          <w:sz w:val="22"/>
          <w:szCs w:val="22"/>
        </w:rPr>
        <w:t xml:space="preserve">. The insulation data in </w:t>
      </w:r>
      <w:r>
        <w:rPr>
          <w:rFonts w:ascii="Georgia" w:cs="Georgia" w:eastAsia="Georgia" w:hAnsi="Georgia"/>
          <w:b/>
          <w:bCs/>
          <w:sz w:val="22"/>
          <w:szCs w:val="22"/>
        </w:rPr>
        <w:t xml:space="preserve">APPENDIX E</w:t>
      </w:r>
      <w:r>
        <w:rPr>
          <w:rFonts w:ascii="Georgia" w:cs="Georgia" w:eastAsia="Georgia" w:hAnsi="Georgia"/>
          <w:sz w:val="22"/>
          <w:szCs w:val="22"/>
        </w:rPr>
        <w:t xml:space="preserve"> explains why the boxes perform differently, and </w:t>
      </w:r>
      <w:r>
        <w:rPr>
          <w:rFonts w:ascii="Georgia" w:cs="Georgia" w:eastAsia="Georgia" w:hAnsi="Georgia"/>
          <w:b/>
          <w:bCs/>
          <w:sz w:val="22"/>
          <w:szCs w:val="22"/>
        </w:rPr>
        <w:t xml:space="preserve">APPENDIX F</w:t>
      </w:r>
      <w:r>
        <w:rPr>
          <w:rFonts w:ascii="Georgia" w:cs="Georgia" w:eastAsia="Georgia" w:hAnsi="Georgia"/>
          <w:sz w:val="22"/>
          <w:szCs w:val="22"/>
        </w:rPr>
        <w:t xml:space="preserve"> states the assumptions Adaeze's team uses when they plan a route — including exactly how the boxes in Order A are assigned to routes, so that a fresh reader of this case and Adaeze's own team will always compute the same delivery schedule.</w:t>
      </w:r>
    </w:p>
    <w:p>
      <w:pPr>
        <w:spacing w:after="130" w:line="300"/>
      </w:pPr>
      <w:r>
        <w:rPr>
          <w:rFonts w:ascii="Georgia" w:cs="Georgia" w:eastAsia="Georgia" w:hAnsi="Georgia"/>
          <w:sz w:val="22"/>
          <w:szCs w:val="22"/>
        </w:rPr>
        <w:t xml:space="preserve">The vocabulary and the "how to…" skills this case will ask of you are listed in </w:t>
      </w:r>
      <w:r>
        <w:rPr>
          <w:rFonts w:ascii="Georgia" w:cs="Georgia" w:eastAsia="Georgia" w:hAnsi="Georgia"/>
          <w:b/>
          <w:bCs/>
          <w:sz w:val="22"/>
          <w:szCs w:val="22"/>
        </w:rPr>
        <w:t xml:space="preserve">APPENDIX G</w:t>
      </w:r>
      <w:r>
        <w:rPr>
          <w:rFonts w:ascii="Georgia" w:cs="Georgia" w:eastAsia="Georgia" w:hAnsi="Georgia"/>
          <w:sz w:val="22"/>
          <w:szCs w:val="22"/>
        </w:rPr>
        <w:t xml:space="preserve"> — that is where Challenge 1 sends you.</w:t>
      </w:r>
    </w:p>
    <w:p>
      <w:pPr>
        <w:spacing w:after="130" w:line="300"/>
      </w:pPr>
      <w:r>
        <w:rPr>
          <w:rFonts w:ascii="Georgia" w:cs="Georgia" w:eastAsia="Georgia" w:hAnsi="Georgia"/>
          <w:sz w:val="22"/>
          <w:szCs w:val="22"/>
        </w:rPr>
        <w:t xml:space="preserve">She has to submit one form.</w:t>
      </w:r>
    </w:p>
    <w:p>
      <w:pPr>
        <w:pStyle w:val="Heading1"/>
        <w:spacing w:after="160" w:before="300"/>
      </w:pPr>
      <w:r>
        <w:rPr>
          <w:rFonts w:ascii="Georgia" w:cs="Georgia" w:eastAsia="Georgia" w:hAnsi="Georgia"/>
          <w:b/>
          <w:bCs/>
          <w:color w:val="1a3a5c"/>
          <w:sz w:val="32"/>
          <w:szCs w:val="32"/>
        </w:rPr>
        <w:t xml:space="preserve">Dilemma</w:t>
      </w:r>
    </w:p>
    <w:p>
      <w:pPr>
        <w:spacing w:after="130" w:line="300"/>
      </w:pPr>
      <w:r>
        <w:rPr>
          <w:rFonts w:ascii="Georgia" w:cs="Georgia" w:eastAsia="Georgia" w:hAnsi="Georgia"/>
          <w:sz w:val="22"/>
          <w:szCs w:val="22"/>
        </w:rPr>
        <w:t xml:space="preserve">You are Adaeze Okonkwo.</w:t>
      </w:r>
    </w:p>
    <w:p>
      <w:pPr>
        <w:spacing w:after="130" w:line="300"/>
      </w:pPr>
      <w:r>
        <w:rPr>
          <w:rFonts w:ascii="Georgia" w:cs="Georgia" w:eastAsia="Georgia" w:hAnsi="Georgia"/>
          <w:sz w:val="22"/>
          <w:szCs w:val="22"/>
        </w:rPr>
        <w:t xml:space="preserve">Do you:</w:t>
      </w:r>
    </w:p>
    <w:p>
      <w:pPr>
        <w:spacing w:after="130" w:line="300"/>
      </w:pPr>
      <w:r>
        <w:rPr>
          <w:rFonts w:ascii="Georgia" w:cs="Georgia" w:eastAsia="Georgia" w:hAnsi="Georgia"/>
          <w:b/>
          <w:bCs/>
          <w:sz w:val="22"/>
          <w:szCs w:val="22"/>
        </w:rPr>
        <w:t xml:space="preserve">A.)</w:t>
      </w:r>
      <w:r>
        <w:rPr>
          <w:rFonts w:ascii="Georgia" w:cs="Georgia" w:eastAsia="Georgia" w:hAnsi="Georgia"/>
          <w:sz w:val="22"/>
          <w:szCs w:val="22"/>
        </w:rPr>
        <w:t xml:space="preserve"> Submit Order A — four light boxes, reaching all six facilities </w:t>
      </w:r>
      <w:r>
        <w:rPr>
          <w:rFonts w:ascii="Georgia" w:cs="Georgia" w:eastAsia="Georgia" w:hAnsi="Georgia"/>
          <w:b/>
          <w:bCs/>
          <w:sz w:val="22"/>
          <w:szCs w:val="22"/>
        </w:rPr>
        <w:t xml:space="preserve">OR</w:t>
      </w:r>
    </w:p>
    <w:p>
      <w:pPr>
        <w:spacing w:after="130" w:line="300"/>
      </w:pPr>
      <w:r>
        <w:rPr>
          <w:rFonts w:ascii="Georgia" w:cs="Georgia" w:eastAsia="Georgia" w:hAnsi="Georgia"/>
          <w:b/>
          <w:bCs/>
          <w:sz w:val="22"/>
          <w:szCs w:val="22"/>
        </w:rPr>
        <w:t xml:space="preserve">B.)</w:t>
      </w:r>
      <w:r>
        <w:rPr>
          <w:rFonts w:ascii="Georgia" w:cs="Georgia" w:eastAsia="Georgia" w:hAnsi="Georgia"/>
          <w:sz w:val="22"/>
          <w:szCs w:val="22"/>
        </w:rPr>
        <w:t xml:space="preserve"> Submit Order B — two heavy boxes, fully supplying only the four facilities the truck can reach</w:t>
      </w:r>
    </w:p>
    <w:p>
      <w:pPr>
        <w:pStyle w:val="Heading1"/>
        <w:spacing w:after="160" w:before="300"/>
      </w:pPr>
      <w:r>
        <w:rPr>
          <w:rFonts w:ascii="Georgia" w:cs="Georgia" w:eastAsia="Georgia" w:hAnsi="Georgia"/>
          <w:b/>
          <w:bCs/>
          <w:color w:val="1a3a5c"/>
          <w:sz w:val="32"/>
          <w:szCs w:val="32"/>
        </w:rPr>
        <w:t xml:space="preserve">Challenges</w:t>
      </w:r>
    </w:p>
    <w:p>
      <w:pPr>
        <w:spacing w:after="130" w:line="300"/>
      </w:pPr>
      <w:r>
        <w:rPr>
          <w:rFonts w:ascii="Georgia" w:cs="Georgia" w:eastAsia="Georgia" w:hAnsi="Georgia"/>
          <w:sz w:val="22"/>
          <w:szCs w:val="22"/>
        </w:rPr>
        <w:t xml:space="preserve">1.) Research and find an online resource that answers one of the "how to…" questions from the case study launch. Post a link to the resource as your submission.</w:t>
      </w:r>
    </w:p>
    <w:p>
      <w:pPr>
        <w:spacing w:after="130" w:line="300"/>
      </w:pPr>
      <w:r>
        <w:rPr>
          <w:rFonts w:ascii="Georgia" w:cs="Georgia" w:eastAsia="Georgia" w:hAnsi="Georgia"/>
          <w:sz w:val="22"/>
          <w:szCs w:val="22"/>
        </w:rPr>
        <w:t xml:space="preserve">2.) Post 250 or more "excellent" words pitching a firm stance to your audience on which you would choose and why. Your pitch must include:</w:t>
      </w:r>
    </w:p>
    <w:p>
      <w:pPr>
        <w:spacing w:after="130" w:line="300"/>
      </w:pPr>
      <w:r>
        <w:rPr>
          <w:rFonts w:ascii="Georgia" w:cs="Georgia" w:eastAsia="Georgia" w:hAnsi="Georgia"/>
          <w:sz w:val="22"/>
          <w:szCs w:val="22"/>
        </w:rPr>
        <w:t xml:space="preserve">a.) Use of the "how to…" resource you researched in Challenge 1.</w:t>
      </w:r>
    </w:p>
    <w:p>
      <w:pPr>
        <w:spacing w:after="130" w:line="300"/>
      </w:pPr>
      <w:r>
        <w:rPr>
          <w:rFonts w:ascii="Georgia" w:cs="Georgia" w:eastAsia="Georgia" w:hAnsi="Georgia"/>
          <w:sz w:val="22"/>
          <w:szCs w:val="22"/>
        </w:rPr>
        <w:t xml:space="preserve">b.) At least one original visual display of the data.</w:t>
      </w:r>
    </w:p>
    <w:p>
      <w:pPr>
        <w:spacing w:after="130" w:line="300"/>
      </w:pPr>
      <w:r>
        <w:rPr>
          <w:rFonts w:ascii="Georgia" w:cs="Georgia" w:eastAsia="Georgia" w:hAnsi="Georgia"/>
          <w:sz w:val="22"/>
          <w:szCs w:val="22"/>
        </w:rPr>
        <w:t xml:space="preserve">3.) Include the following:</w:t>
      </w:r>
    </w:p>
    <w:p>
      <w:pPr>
        <w:pStyle w:val="ListParagraph"/>
        <w:numPr>
          <w:ilvl w:val="0"/>
          <w:numId w:val="1"/>
        </w:numPr>
        <w:spacing w:after="80"/>
      </w:pPr>
      <w:r>
        <w:rPr>
          <w:rFonts w:ascii="Georgia" w:cs="Georgia" w:eastAsia="Georgia" w:hAnsi="Georgia"/>
          <w:sz w:val="22"/>
          <w:szCs w:val="22"/>
        </w:rPr>
        <w:t xml:space="preserve">D1 — The surface area, the volume, and the surface-area-to-volume ratio of both container models, calculated from the external dimensions in Appendix A. Show your units.</w:t>
      </w:r>
    </w:p>
    <w:p>
      <w:pPr>
        <w:pStyle w:val="ListParagraph"/>
        <w:numPr>
          <w:ilvl w:val="0"/>
          <w:numId w:val="1"/>
        </w:numPr>
        <w:spacing w:after="80"/>
      </w:pPr>
      <w:r>
        <w:rPr>
          <w:rFonts w:ascii="Georgia" w:cs="Georgia" w:eastAsia="Georgia" w:hAnsi="Georgia"/>
          <w:sz w:val="22"/>
          <w:szCs w:val="22"/>
        </w:rPr>
        <w:t xml:space="preserve">D2 — A claim, supported by your numbers, about why one box holds its cold longer than the other — using all five real containers in Appendix A, not just the two you are choosing between. Appendix E gives you a second possible explanation; say which one your numbers actually support, and whether you can tell them apart.</w:t>
      </w:r>
    </w:p>
    <w:p>
      <w:pPr>
        <w:pStyle w:val="ListParagraph"/>
        <w:numPr>
          <w:ilvl w:val="0"/>
          <w:numId w:val="1"/>
        </w:numPr>
        <w:spacing w:after="80"/>
      </w:pPr>
      <w:r>
        <w:rPr>
          <w:rFonts w:ascii="Georgia" w:cs="Georgia" w:eastAsia="Georgia" w:hAnsi="Georgia"/>
          <w:sz w:val="22"/>
          <w:szCs w:val="22"/>
        </w:rPr>
        <w:t xml:space="preserve">D3 — The total dose capacity of each order, converted from litres through cubic centimetres to doses, and the total cost of each order against the $420 budget.</w:t>
      </w:r>
    </w:p>
    <w:p>
      <w:pPr>
        <w:pStyle w:val="ListParagraph"/>
        <w:numPr>
          <w:ilvl w:val="0"/>
          <w:numId w:val="1"/>
        </w:numPr>
        <w:spacing w:after="80"/>
      </w:pPr>
      <w:r>
        <w:rPr>
          <w:rFonts w:ascii="Georgia" w:cs="Georgia" w:eastAsia="Georgia" w:hAnsi="Georgia"/>
          <w:sz w:val="22"/>
          <w:szCs w:val="22"/>
        </w:rPr>
        <w:t xml:space="preserve">D4 — A delivery schedule for your chosen order showing, for each facility: arrival hour, doses delivered, and the cold life remaining in that box when its lid opens.</w:t>
      </w:r>
    </w:p>
    <w:p>
      <w:pPr>
        <w:pStyle w:val="ListParagraph"/>
        <w:numPr>
          <w:ilvl w:val="0"/>
          <w:numId w:val="1"/>
        </w:numPr>
        <w:spacing w:after="80"/>
      </w:pPr>
      <w:r>
        <w:rPr>
          <w:rFonts w:ascii="Georgia" w:cs="Georgia" w:eastAsia="Georgia" w:hAnsi="Georgia"/>
          <w:sz w:val="22"/>
          <w:szCs w:val="22"/>
        </w:rPr>
        <w:t xml:space="preserve">D5 — The number of doses that arrive outside +2 °C to +8 °C under your plan, and the dollar value of those doses in scientific notation as well as in dollars.</w:t>
      </w:r>
    </w:p>
    <w:p>
      <w:pPr>
        <w:pStyle w:val="ListParagraph"/>
        <w:numPr>
          <w:ilvl w:val="0"/>
          <w:numId w:val="1"/>
        </w:numPr>
        <w:spacing w:after="80"/>
      </w:pPr>
      <w:r>
        <w:rPr>
          <w:rFonts w:ascii="Georgia" w:cs="Georgia" w:eastAsia="Georgia" w:hAnsi="Georgia"/>
          <w:sz w:val="22"/>
          <w:szCs w:val="22"/>
        </w:rPr>
        <w:t xml:space="preserve">D6 — A statement of which facilities receive zero doses, and which receive doses that arrive spoiled, and how many doses that is as a percentage of each facility's need. (These are not the same failure — one is a capacity decision, the other is a physics one. Say which is which.)</w:t>
      </w:r>
    </w:p>
    <w:p>
      <w:pPr>
        <w:spacing w:after="130" w:line="300"/>
      </w:pPr>
      <w:r>
        <w:rPr>
          <w:rFonts w:ascii="Georgia" w:cs="Georgia" w:eastAsia="Georgia" w:hAnsi="Georgia"/>
          <w:sz w:val="22"/>
          <w:szCs w:val="22"/>
        </w:rPr>
        <w:t xml:space="preserve">4.) An appendix showing evidence of your original thinking, work, calculations and processes you used to complete the challenges (pictures, screenshots, notes, etc.). Your work in the appendix does not count toward your word count.</w:t>
      </w:r>
    </w:p>
    <w:p>
      <w:pPr>
        <w:spacing w:after="130" w:line="300"/>
      </w:pPr>
      <w:r>
        <w:rPr>
          <w:rFonts w:ascii="Georgia" w:cs="Georgia" w:eastAsia="Georgia" w:hAnsi="Georgia"/>
          <w:sz w:val="22"/>
          <w:szCs w:val="22"/>
        </w:rPr>
        <w:t xml:space="preserve">5.) Participate twice or more in the Case Study discussion. If you are absent the day of a discussion post 500 "excellent" words on the questions above.</w:t>
      </w:r>
    </w:p>
    <w:p>
      <w:r>
        <w:br w:type="page"/>
      </w:r>
    </w:p>
    <w:p>
      <w:pPr>
        <w:pStyle w:val="Heading2"/>
        <w:spacing w:after="160" w:before="300"/>
      </w:pPr>
      <w:r>
        <w:rPr>
          <w:rFonts w:ascii="Georgia" w:cs="Georgia" w:eastAsia="Georgia" w:hAnsi="Georgia"/>
          <w:b/>
          <w:bCs/>
          <w:color w:val="1a3a5c"/>
          <w:sz w:val="26"/>
          <w:szCs w:val="26"/>
        </w:rPr>
        <w:t xml:space="preserve">Appendix A: WHO PQS Prequalified Passive Containers</w:t>
      </w:r>
    </w:p>
    <w:p>
      <w:pPr>
        <w:spacing w:after="130" w:line="300"/>
      </w:pPr>
      <w:r>
        <w:rPr>
          <w:rFonts w:ascii="Georgia" w:cs="Georgia" w:eastAsia="Georgia" w:hAnsi="Georgia"/>
          <w:sz w:val="22"/>
          <w:szCs w:val="22"/>
        </w:rPr>
        <w:t xml:space="preserve">All five containers below are WHO PQS prequalified and listed in the UNICEF Supply Catalogue. Only the AOV ACB-264SL and the Blowkings CB-20-CF are on the approved purchase orders — the other three are included so you can look for 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1"/>
        <w:gridCol w:w="785"/>
        <w:gridCol w:w="1457"/>
        <w:gridCol w:w="1401"/>
        <w:gridCol w:w="1625"/>
        <w:gridCol w:w="1345"/>
        <w:gridCol w:w="953"/>
        <w:gridCol w:w="953"/>
      </w:tblGrid>
      <w:tr>
        <w:trPr>
          <w:tblHeader/>
        </w:trPr>
        <w:tc>
          <w:tcPr>
            <w:tcW w:type="dxa" w:w="841"/>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Container</w:t>
            </w:r>
          </w:p>
        </w:tc>
        <w:tc>
          <w:tcPr>
            <w:tcW w:type="dxa" w:w="78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PQS code</w:t>
            </w:r>
          </w:p>
        </w:tc>
        <w:tc>
          <w:tcPr>
            <w:tcW w:type="dxa" w:w="1457"/>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Vaccine capacity (L)</w:t>
            </w:r>
          </w:p>
        </w:tc>
        <w:tc>
          <w:tcPr>
            <w:tcW w:type="dxa" w:w="1401"/>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External L×W×H (cm)</w:t>
            </w:r>
          </w:p>
        </w:tc>
        <w:tc>
          <w:tcPr>
            <w:tcW w:type="dxa" w:w="162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Cold life at +43 °C (h)</w:t>
            </w:r>
          </w:p>
        </w:tc>
        <w:tc>
          <w:tcPr>
            <w:tcW w:type="dxa" w:w="1345"/>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Loaded weight (kg)</w:t>
            </w:r>
          </w:p>
        </w:tc>
        <w:tc>
          <w:tcPr>
            <w:tcW w:type="dxa" w:w="95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Water-packs</w:t>
            </w:r>
          </w:p>
        </w:tc>
        <w:tc>
          <w:tcPr>
            <w:tcW w:type="dxa" w:w="95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Price (USD)</w:t>
            </w:r>
          </w:p>
        </w:tc>
      </w:tr>
      <w:tr>
        <w:trPr>
          <w:tblHeader w:val="false"/>
        </w:trPr>
        <w:tc>
          <w:tcPr>
            <w:tcW w:type="dxa" w:w="84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 Medical RCW4 (carrier)</w:t>
            </w:r>
          </w:p>
        </w:tc>
        <w:tc>
          <w:tcPr>
            <w:tcW w:type="dxa" w:w="78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E004/002</w:t>
            </w:r>
          </w:p>
        </w:tc>
        <w:tc>
          <w:tcPr>
            <w:tcW w:type="dxa" w:w="145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w:t>
            </w:r>
          </w:p>
        </w:tc>
        <w:tc>
          <w:tcPr>
            <w:tcW w:type="dxa" w:w="140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36.2 × 28.3 × 29.9</w:t>
            </w:r>
          </w:p>
        </w:tc>
        <w:tc>
          <w:tcPr>
            <w:tcW w:type="dxa" w:w="162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30.3</w:t>
            </w:r>
          </w:p>
        </w:tc>
        <w:tc>
          <w:tcPr>
            <w:tcW w:type="dxa" w:w="134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7.3</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 × 0.3 L + 1 × 0.6 L</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344.79</w:t>
            </w:r>
          </w:p>
        </w:tc>
      </w:tr>
      <w:tr>
        <w:trPr>
          <w:tblHeader w:val="false"/>
        </w:trPr>
        <w:tc>
          <w:tcPr>
            <w:tcW w:type="dxa" w:w="84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 Medical RCW8</w:t>
            </w:r>
          </w:p>
        </w:tc>
        <w:tc>
          <w:tcPr>
            <w:tcW w:type="dxa" w:w="78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E004/003</w:t>
            </w:r>
          </w:p>
        </w:tc>
        <w:tc>
          <w:tcPr>
            <w:tcW w:type="dxa" w:w="1457"/>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w:t>
            </w:r>
          </w:p>
        </w:tc>
        <w:tc>
          <w:tcPr>
            <w:tcW w:type="dxa" w:w="140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58.8 × 28.8 × 43.7</w:t>
            </w:r>
          </w:p>
        </w:tc>
        <w:tc>
          <w:tcPr>
            <w:tcW w:type="dxa" w:w="162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57.9</w:t>
            </w:r>
          </w:p>
        </w:tc>
        <w:tc>
          <w:tcPr>
            <w:tcW w:type="dxa" w:w="134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16.4</w:t>
            </w:r>
          </w:p>
        </w:tc>
        <w:tc>
          <w:tcPr>
            <w:tcW w:type="dxa" w:w="9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 × 0.3 L + 10 × 0.6 L</w:t>
            </w:r>
          </w:p>
        </w:tc>
        <w:tc>
          <w:tcPr>
            <w:tcW w:type="dxa" w:w="9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396.88</w:t>
            </w:r>
          </w:p>
        </w:tc>
      </w:tr>
      <w:tr>
        <w:trPr>
          <w:tblHeader w:val="false"/>
        </w:trPr>
        <w:tc>
          <w:tcPr>
            <w:tcW w:type="dxa" w:w="84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AOV ACB-264SL</w:t>
            </w:r>
          </w:p>
        </w:tc>
        <w:tc>
          <w:tcPr>
            <w:tcW w:type="dxa" w:w="78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E004/023</w:t>
            </w:r>
          </w:p>
        </w:tc>
        <w:tc>
          <w:tcPr>
            <w:tcW w:type="dxa" w:w="145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w:t>
            </w:r>
          </w:p>
        </w:tc>
        <w:tc>
          <w:tcPr>
            <w:tcW w:type="dxa" w:w="140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62.40 × 50.20 × 42.60</w:t>
            </w:r>
          </w:p>
        </w:tc>
        <w:tc>
          <w:tcPr>
            <w:tcW w:type="dxa" w:w="162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132.3</w:t>
            </w:r>
          </w:p>
        </w:tc>
        <w:tc>
          <w:tcPr>
            <w:tcW w:type="dxa" w:w="134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25.4</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26 × 0.4 L</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102.21</w:t>
            </w:r>
          </w:p>
        </w:tc>
      </w:tr>
      <w:tr>
        <w:trPr>
          <w:tblHeader w:val="false"/>
        </w:trPr>
        <w:tc>
          <w:tcPr>
            <w:tcW w:type="dxa" w:w="84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 Medical RCW25</w:t>
            </w:r>
          </w:p>
        </w:tc>
        <w:tc>
          <w:tcPr>
            <w:tcW w:type="dxa" w:w="78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E004/005</w:t>
            </w:r>
          </w:p>
        </w:tc>
        <w:tc>
          <w:tcPr>
            <w:tcW w:type="dxa" w:w="1457"/>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20</w:t>
            </w:r>
          </w:p>
        </w:tc>
        <w:tc>
          <w:tcPr>
            <w:tcW w:type="dxa" w:w="1401"/>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71 × 55 × 49.9</w:t>
            </w:r>
          </w:p>
        </w:tc>
        <w:tc>
          <w:tcPr>
            <w:tcW w:type="dxa" w:w="162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134.6</w:t>
            </w:r>
          </w:p>
        </w:tc>
        <w:tc>
          <w:tcPr>
            <w:tcW w:type="dxa" w:w="1345"/>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38.9</w:t>
            </w:r>
          </w:p>
        </w:tc>
        <w:tc>
          <w:tcPr>
            <w:tcW w:type="dxa" w:w="9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24 × 0.6 L</w:t>
            </w:r>
          </w:p>
        </w:tc>
        <w:tc>
          <w:tcPr>
            <w:tcW w:type="dxa" w:w="95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602.36</w:t>
            </w:r>
          </w:p>
        </w:tc>
      </w:tr>
      <w:tr>
        <w:trPr>
          <w:tblHeader w:val="false"/>
        </w:trPr>
        <w:tc>
          <w:tcPr>
            <w:tcW w:type="dxa" w:w="84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Blowkings CB-20-CF</w:t>
            </w:r>
          </w:p>
        </w:tc>
        <w:tc>
          <w:tcPr>
            <w:tcW w:type="dxa" w:w="78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E004/025</w:t>
            </w:r>
          </w:p>
        </w:tc>
        <w:tc>
          <w:tcPr>
            <w:tcW w:type="dxa" w:w="145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20</w:t>
            </w:r>
          </w:p>
        </w:tc>
        <w:tc>
          <w:tcPr>
            <w:tcW w:type="dxa" w:w="1401"/>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79.5 × 56.2 × 56.5</w:t>
            </w:r>
          </w:p>
        </w:tc>
        <w:tc>
          <w:tcPr>
            <w:tcW w:type="dxa" w:w="162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138.0</w:t>
            </w:r>
          </w:p>
        </w:tc>
        <w:tc>
          <w:tcPr>
            <w:tcW w:type="dxa" w:w="1345"/>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49.5</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39 × 0.4 L</w:t>
            </w:r>
          </w:p>
        </w:tc>
        <w:tc>
          <w:tcPr>
            <w:tcW w:type="dxa" w:w="95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128.00</w:t>
            </w:r>
          </w:p>
        </w:tc>
      </w:tr>
    </w:tbl>
    <w:p>
      <w:pPr>
        <w:spacing w:after="180"/>
      </w:pPr>
    </w:p>
    <w:p>
      <w:pPr>
        <w:spacing w:after="80" w:before="160"/>
      </w:pPr>
      <w:r>
        <w:rPr>
          <w:rFonts w:ascii="Georgia" w:cs="Georgia" w:eastAsia="Georgia" w:hAnsi="Georgia"/>
          <w:b/>
          <w:bCs/>
          <w:sz w:val="22"/>
          <w:szCs w:val="22"/>
        </w:rPr>
        <w:t xml:space="preserve">Definitions and limits (WHO Prequalification, E004):</w:t>
      </w:r>
    </w:p>
    <w:p>
      <w:pPr>
        <w:pStyle w:val="ListParagraph"/>
        <w:numPr>
          <w:ilvl w:val="0"/>
          <w:numId w:val="1"/>
        </w:numPr>
        <w:spacing w:after="80"/>
      </w:pPr>
      <w:r>
        <w:rPr>
          <w:rFonts w:ascii="Georgia" w:cs="Georgia" w:eastAsia="Georgia" w:hAnsi="Georgia"/>
          <w:sz w:val="22"/>
          <w:szCs w:val="22"/>
        </w:rPr>
        <w:t xml:space="preserve">Cold life — time from lid closing until the warmest point in the vaccine compartment first reaches +10 °C, at a constant ambient of +43 °C, *with no openings*.</w:t>
      </w:r>
    </w:p>
    <w:p>
      <w:pPr>
        <w:pStyle w:val="ListParagraph"/>
        <w:numPr>
          <w:ilvl w:val="0"/>
          <w:numId w:val="1"/>
        </w:numPr>
        <w:spacing w:after="80"/>
      </w:pPr>
      <w:r>
        <w:rPr>
          <w:rFonts w:ascii="Georgia" w:cs="Georgia" w:eastAsia="Georgia" w:hAnsi="Georgia"/>
          <w:sz w:val="22"/>
          <w:szCs w:val="22"/>
        </w:rPr>
        <w:t xml:space="preserve">Maximum design weight, fully loaded: 8 kg for a vaccine carrier, 50 kg for a cold box.</w:t>
      </w:r>
    </w:p>
    <w:p>
      <w:pPr>
        <w:pStyle w:val="ListParagraph"/>
        <w:numPr>
          <w:ilvl w:val="0"/>
          <w:numId w:val="1"/>
        </w:numPr>
        <w:spacing w:after="80"/>
      </w:pPr>
      <w:r>
        <w:rPr>
          <w:rFonts w:ascii="Georgia" w:cs="Georgia" w:eastAsia="Georgia" w:hAnsi="Georgia"/>
          <w:sz w:val="22"/>
          <w:szCs w:val="22"/>
        </w:rPr>
        <w:t xml:space="preserve">Recommended maximum manual lift for one worker: 25 kg.</w:t>
      </w:r>
    </w:p>
    <w:p>
      <w:pPr>
        <w:pBdr>
          <w:left w:val="single" w:color="c9a227" w:sz="12" w:space="12"/>
        </w:pBdr>
        <w:spacing w:after="120"/>
        <w:ind w:left="340"/>
      </w:pPr>
      <w:r>
        <w:rPr>
          <w:rFonts w:ascii="Georgia" w:cs="Georgia" w:eastAsia="Georgia" w:hAnsi="Georgia"/>
          <w:i/>
          <w:iCs/>
          <w:color w:val="44403c"/>
          <w:sz w:val="19"/>
          <w:szCs w:val="19"/>
        </w:rPr>
        <w:t xml:space="preserve">Sources: UNICEF Supply Division catalogue pages S0002353, S0002354, S0002344, S0002235, S0002232; WHO Prequalification E004 "Cold boxes and vaccine carriers," extranet.who.int/prequal/immunization-devices/e004-cold-boxes-and-vaccine-carriers. Accessed 31 July 2026.</w:t>
      </w:r>
    </w:p>
    <w:p>
      <w:pPr>
        <w:pStyle w:val="Heading2"/>
        <w:spacing w:after="160" w:before="300"/>
      </w:pPr>
      <w:r>
        <w:rPr>
          <w:rFonts w:ascii="Georgia" w:cs="Georgia" w:eastAsia="Georgia" w:hAnsi="Georgia"/>
          <w:b/>
          <w:bCs/>
          <w:color w:val="1a3a5c"/>
          <w:sz w:val="26"/>
          <w:szCs w:val="26"/>
        </w:rPr>
        <w:t xml:space="preserve">Appendix B: Temperature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Quantity</w:t>
            </w:r>
          </w:p>
        </w:tc>
        <w:tc>
          <w:tcPr>
            <w:tcW w:type="dxa" w:w="4118"/>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Value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Refrigerated vaccine storage range</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 °C to +8 °C (36–46 °F)</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Target setpoint</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the midpoint of that range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Temperature excursion</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"Any temperature reading outside ranges recommended in the vaccine manufacturers' package inserts is considered a temperature excursion and requires immediate action."</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Required data-logger accuracy</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±0.5 °C</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Data-logger recording interval</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at least every 30 minutes</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Maximum time vaccine may be out of the cold store during a clinic session</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8 hours</w:t>
            </w:r>
          </w:p>
        </w:tc>
      </w:tr>
    </w:tbl>
    <w:p>
      <w:pPr>
        <w:spacing w:after="180"/>
      </w:pPr>
    </w:p>
    <w:p>
      <w:pPr>
        <w:pBdr>
          <w:left w:val="single" w:color="c9a227" w:sz="12" w:space="12"/>
        </w:pBdr>
        <w:spacing w:after="120"/>
        <w:ind w:left="340"/>
      </w:pPr>
      <w:r>
        <w:rPr>
          <w:rFonts w:ascii="Georgia" w:cs="Georgia" w:eastAsia="Georgia" w:hAnsi="Georgia"/>
          <w:i/>
          <w:iCs/>
          <w:color w:val="44403c"/>
          <w:sz w:val="19"/>
          <w:szCs w:val="19"/>
        </w:rPr>
        <w:t xml:space="preserve">Source: CDC, Epidemiology and Prevention of Vaccine-Preventable Diseases (Pink Book), Ch. 5, "Vaccine Storage and Handling," updated 3 April 2024. cdc.gov/pinkbook/hcp/table-of-contents/chapter-5-vaccine-storage-and-handling.html</w:t>
      </w:r>
    </w:p>
    <w:p>
      <w:pPr>
        <w:spacing w:after="130" w:line="300"/>
      </w:pPr>
      <w:r>
        <w:rPr>
          <w:rFonts w:ascii="Georgia" w:cs="Georgia" w:eastAsia="Georgia" w:hAnsi="Georgia"/>
          <w:sz w:val="22"/>
          <w:szCs w:val="22"/>
        </w:rPr>
        <w:t xml:space="preserve">Note: the 8-hour figure is a limit on a single clinic working session — how long a health worker may keep vaccine out during a vaccination day. It is not a limit on transport time. A multi-day outreach circuit is governed by the container's cold life, not by this number.</w:t>
      </w:r>
    </w:p>
    <w:p>
      <w:pPr>
        <w:spacing w:after="130" w:line="300"/>
      </w:pPr>
      <w:r>
        <w:rPr>
          <w:rFonts w:ascii="Georgia" w:cs="Georgia" w:eastAsia="Georgia" w:hAnsi="Georgia"/>
          <w:b/>
          <w:bCs/>
          <w:sz w:val="22"/>
          <w:szCs w:val="22"/>
        </w:rPr>
        <w:t xml:space="preserve">A note on writing the rule:</w:t>
      </w:r>
      <w:r>
        <w:rPr>
          <w:rFonts w:ascii="Georgia" w:cs="Georgia" w:eastAsia="Georgia" w:hAnsi="Georgia"/>
          <w:sz w:val="22"/>
          <w:szCs w:val="22"/>
        </w:rPr>
        <w:t xml:space="preserve"> if you call the target temperature T, an excursion is any moment when the reading differs from the target by more than 3 °C in either direction. There is a compact way to write that with a single expression. Appendix G lists it.</w:t>
      </w:r>
    </w:p>
    <w:p>
      <w:pPr>
        <w:pStyle w:val="Heading2"/>
        <w:spacing w:after="160" w:before="300"/>
      </w:pPr>
      <w:r>
        <w:rPr>
          <w:rFonts w:ascii="Georgia" w:cs="Georgia" w:eastAsia="Georgia" w:hAnsi="Georgia"/>
          <w:b/>
          <w:bCs/>
          <w:color w:val="1a3a5c"/>
          <w:sz w:val="26"/>
          <w:szCs w:val="26"/>
        </w:rPr>
        <w:t xml:space="preserve">Appendix C: The Outreach Circuit</w:t>
      </w:r>
    </w:p>
    <w:p>
      <w:pPr>
        <w:spacing w:after="130" w:line="300"/>
      </w:pPr>
      <w:r>
        <w:rPr>
          <w:rFonts w:ascii="Georgia" w:cs="Georgia" w:eastAsia="Georgia" w:hAnsi="Georgia"/>
          <w:sz w:val="22"/>
          <w:szCs w:val="22"/>
        </w:rPr>
        <w:t xml:space="preserve">Gomba District, 6 health facilities, one monthly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4"/>
        <w:gridCol w:w="1560"/>
        <w:gridCol w:w="2006"/>
        <w:gridCol w:w="1337"/>
        <w:gridCol w:w="3343"/>
      </w:tblGrid>
      <w:tr>
        <w:trPr>
          <w:tblHeader/>
        </w:trPr>
        <w:tc>
          <w:tcPr>
            <w:tcW w:type="dxa" w:w="1114"/>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Stop</w:t>
            </w:r>
          </w:p>
        </w:tc>
        <w:tc>
          <w:tcPr>
            <w:tcW w:type="dxa" w:w="1560"/>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Facility</w:t>
            </w:r>
          </w:p>
        </w:tc>
        <w:tc>
          <w:tcPr>
            <w:tcW w:type="dxa" w:w="2006"/>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Doses needed</w:t>
            </w:r>
          </w:p>
        </w:tc>
        <w:tc>
          <w:tcPr>
            <w:tcW w:type="dxa" w:w="1337"/>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Access</w:t>
            </w:r>
          </w:p>
        </w:tc>
        <w:tc>
          <w:tcPr>
            <w:tcW w:type="dxa" w:w="3343"/>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Cumulative hours from depot</w:t>
            </w:r>
          </w:p>
        </w:tc>
      </w:tr>
      <w:tr>
        <w:trPr>
          <w:tblHeader w:val="false"/>
        </w:trPr>
        <w:tc>
          <w:tcPr>
            <w:tcW w:type="dxa" w:w="1114"/>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w:t>
            </w:r>
          </w:p>
        </w:tc>
        <w:tc>
          <w:tcPr>
            <w:tcW w:type="dxa" w:w="156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Kabira HC III</w:t>
            </w:r>
          </w:p>
        </w:tc>
        <w:tc>
          <w:tcPr>
            <w:tcW w:type="dxa" w:w="200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2,100</w:t>
            </w:r>
          </w:p>
        </w:tc>
        <w:tc>
          <w:tcPr>
            <w:tcW w:type="dxa" w:w="133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4×4 truck</w:t>
            </w:r>
          </w:p>
        </w:tc>
        <w:tc>
          <w:tcPr>
            <w:tcW w:type="dxa" w:w="334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18</w:t>
            </w:r>
          </w:p>
        </w:tc>
      </w:tr>
      <w:tr>
        <w:trPr>
          <w:tblHeader w:val="false"/>
        </w:trPr>
        <w:tc>
          <w:tcPr>
            <w:tcW w:type="dxa" w:w="1114"/>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w:t>
            </w:r>
          </w:p>
        </w:tc>
        <w:tc>
          <w:tcPr>
            <w:tcW w:type="dxa" w:w="156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Nsanja HC II</w:t>
            </w:r>
          </w:p>
        </w:tc>
        <w:tc>
          <w:tcPr>
            <w:tcW w:type="dxa" w:w="2006"/>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1,850</w:t>
            </w:r>
          </w:p>
        </w:tc>
        <w:tc>
          <w:tcPr>
            <w:tcW w:type="dxa" w:w="1337"/>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4×4 truck</w:t>
            </w:r>
          </w:p>
        </w:tc>
        <w:tc>
          <w:tcPr>
            <w:tcW w:type="dxa" w:w="334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41</w:t>
            </w:r>
          </w:p>
        </w:tc>
      </w:tr>
      <w:tr>
        <w:trPr>
          <w:tblHeader w:val="false"/>
        </w:trPr>
        <w:tc>
          <w:tcPr>
            <w:tcW w:type="dxa" w:w="1114"/>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w:t>
            </w:r>
          </w:p>
        </w:tc>
        <w:tc>
          <w:tcPr>
            <w:tcW w:type="dxa" w:w="156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Mubende HC III</w:t>
            </w:r>
          </w:p>
        </w:tc>
        <w:tc>
          <w:tcPr>
            <w:tcW w:type="dxa" w:w="200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1,600</w:t>
            </w:r>
          </w:p>
        </w:tc>
        <w:tc>
          <w:tcPr>
            <w:tcW w:type="dxa" w:w="133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4×4 truck</w:t>
            </w:r>
          </w:p>
        </w:tc>
        <w:tc>
          <w:tcPr>
            <w:tcW w:type="dxa" w:w="334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67</w:t>
            </w:r>
          </w:p>
        </w:tc>
      </w:tr>
      <w:tr>
        <w:trPr>
          <w:tblHeader w:val="false"/>
        </w:trPr>
        <w:tc>
          <w:tcPr>
            <w:tcW w:type="dxa" w:w="1114"/>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w:t>
            </w:r>
          </w:p>
        </w:tc>
        <w:tc>
          <w:tcPr>
            <w:tcW w:type="dxa" w:w="156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Kitovu HC II</w:t>
            </w:r>
          </w:p>
        </w:tc>
        <w:tc>
          <w:tcPr>
            <w:tcW w:type="dxa" w:w="2006"/>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1,450</w:t>
            </w:r>
          </w:p>
        </w:tc>
        <w:tc>
          <w:tcPr>
            <w:tcW w:type="dxa" w:w="1337"/>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4×4 truck</w:t>
            </w:r>
          </w:p>
        </w:tc>
        <w:tc>
          <w:tcPr>
            <w:tcW w:type="dxa" w:w="334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96</w:t>
            </w:r>
          </w:p>
        </w:tc>
      </w:tr>
      <w:tr>
        <w:trPr>
          <w:tblHeader w:val="false"/>
        </w:trPr>
        <w:tc>
          <w:tcPr>
            <w:tcW w:type="dxa" w:w="1114"/>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w:t>
            </w:r>
          </w:p>
        </w:tc>
        <w:tc>
          <w:tcPr>
            <w:tcW w:type="dxa" w:w="156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Bulera HC II</w:t>
            </w:r>
          </w:p>
        </w:tc>
        <w:tc>
          <w:tcPr>
            <w:tcW w:type="dxa" w:w="200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1,200</w:t>
            </w:r>
          </w:p>
        </w:tc>
        <w:tc>
          <w:tcPr>
            <w:tcW w:type="dxa" w:w="133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motorcycle / footpath only</w:t>
            </w:r>
          </w:p>
        </w:tc>
        <w:tc>
          <w:tcPr>
            <w:tcW w:type="dxa" w:w="334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118</w:t>
            </w:r>
          </w:p>
        </w:tc>
      </w:tr>
      <w:tr>
        <w:trPr>
          <w:tblHeader w:val="false"/>
        </w:trPr>
        <w:tc>
          <w:tcPr>
            <w:tcW w:type="dxa" w:w="1114"/>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6</w:t>
            </w:r>
          </w:p>
        </w:tc>
        <w:tc>
          <w:tcPr>
            <w:tcW w:type="dxa" w:w="1560"/>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Nyamirama HC II</w:t>
            </w:r>
          </w:p>
        </w:tc>
        <w:tc>
          <w:tcPr>
            <w:tcW w:type="dxa" w:w="2006"/>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800</w:t>
            </w:r>
          </w:p>
        </w:tc>
        <w:tc>
          <w:tcPr>
            <w:tcW w:type="dxa" w:w="1337"/>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motorcycle / footpath only</w:t>
            </w:r>
          </w:p>
        </w:tc>
        <w:tc>
          <w:tcPr>
            <w:tcW w:type="dxa" w:w="3343"/>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134</w:t>
            </w:r>
          </w:p>
        </w:tc>
      </w:tr>
      <w:tr>
        <w:trPr>
          <w:tblHeader w:val="false"/>
        </w:trPr>
        <w:tc>
          <w:tcPr>
            <w:tcW w:type="dxa" w:w="1114"/>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
            </w:r>
          </w:p>
        </w:tc>
        <w:tc>
          <w:tcPr>
            <w:tcW w:type="dxa" w:w="1560"/>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Total demand</w:t>
            </w:r>
          </w:p>
        </w:tc>
        <w:tc>
          <w:tcPr>
            <w:tcW w:type="dxa" w:w="2006"/>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9,000</w:t>
            </w:r>
          </w:p>
        </w:tc>
        <w:tc>
          <w:tcPr>
            <w:tcW w:type="dxa" w:w="1337"/>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
            </w:r>
          </w:p>
        </w:tc>
        <w:tc>
          <w:tcPr>
            <w:tcW w:type="dxa" w:w="3343"/>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
            </w:r>
          </w:p>
        </w:tc>
      </w:tr>
    </w:tbl>
    <w:p>
      <w:pPr>
        <w:spacing w:after="180"/>
      </w:pPr>
    </w:p>
    <w:p>
      <w:pPr>
        <w:spacing w:after="130" w:line="300"/>
      </w:pPr>
      <w:r>
        <w:rPr>
          <w:rFonts w:ascii="Georgia" w:cs="Georgia" w:eastAsia="Georgia" w:hAnsi="Georgia"/>
          <w:sz w:val="22"/>
          <w:szCs w:val="22"/>
        </w:rPr>
        <w:t xml:space="preserve">Circuit facts (Gomba District informed-push delivery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Quantity</w:t>
            </w:r>
          </w:p>
        </w:tc>
        <w:tc>
          <w:tcPr>
            <w:tcW w:type="dxa" w:w="4118"/>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Value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Route distance, full circuit</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1,200 km</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Days to complete</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5</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Fuel consumed</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≈200 litres</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Programme cost</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$445.90 / month</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Cost per child reached</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$0.06</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Commonest facility-level transport at baseline</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hired motorcycles (52.6% of facilities)</w:t>
            </w:r>
          </w:p>
        </w:tc>
      </w:tr>
    </w:tbl>
    <w:p>
      <w:pPr>
        <w:spacing w:after="180"/>
      </w:pPr>
    </w:p>
    <w:p>
      <w:pPr>
        <w:pBdr>
          <w:left w:val="single" w:color="c9a227" w:sz="12" w:space="12"/>
        </w:pBdr>
        <w:spacing w:after="120"/>
        <w:ind w:left="340"/>
      </w:pPr>
      <w:r>
        <w:rPr>
          <w:rFonts w:ascii="Georgia" w:cs="Georgia" w:eastAsia="Georgia" w:hAnsi="Georgia"/>
          <w:i/>
          <w:iCs/>
          <w:color w:val="44403c"/>
          <w:sz w:val="19"/>
          <w:szCs w:val="19"/>
        </w:rPr>
        <w:t xml:space="preserve">Source: Kagoya et al., "Improving the last mile delivery of vaccines through an informed push model," medRxiv 2023.11.03.23298045. Facility names and per-facility demand figures are scenario constructions for this case; the route distance, duration, fuel, cost and transport-mode figures are from the study.</w:t>
      </w:r>
    </w:p>
    <w:p>
      <w:pPr>
        <w:pStyle w:val="Heading2"/>
        <w:spacing w:after="160" w:before="300"/>
      </w:pPr>
      <w:r>
        <w:rPr>
          <w:rFonts w:ascii="Georgia" w:cs="Georgia" w:eastAsia="Georgia" w:hAnsi="Georgia"/>
          <w:b/>
          <w:bCs/>
          <w:color w:val="1a3a5c"/>
          <w:sz w:val="26"/>
          <w:szCs w:val="26"/>
        </w:rPr>
        <w:t xml:space="preserve">Appendix D: Vaccine Volume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Quantity</w:t>
            </w:r>
          </w:p>
        </w:tc>
        <w:tc>
          <w:tcPr>
            <w:tcW w:type="dxa" w:w="4118"/>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Value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Packed volume per dose, measles vaccine</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2.1 cm³ / dose</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Packed volume per dose, measles diluent</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3.1 cm³ / dose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Unit conversion</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 litre = 1,000 cm³</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Recommended safety-stock buffer where roads or weather threaten distribution</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up to 100%</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Measles vaccine, 10-dose vial — recent UNICEF awarded prices</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$0.3400 – $0.4230 per dose</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Measles vaccine — full published price range, all suppliers 2004–2027</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$0.1200 – $0.6200 per dose</w:t>
            </w:r>
          </w:p>
        </w:tc>
      </w:tr>
    </w:tbl>
    <w:p>
      <w:pPr>
        <w:spacing w:after="180"/>
      </w:pPr>
    </w:p>
    <w:p>
      <w:pPr>
        <w:pBdr>
          <w:left w:val="single" w:color="c9a227" w:sz="12" w:space="12"/>
        </w:pBdr>
        <w:spacing w:after="120"/>
        <w:ind w:left="340"/>
      </w:pPr>
      <w:r>
        <w:rPr>
          <w:rFonts w:ascii="Georgia" w:cs="Georgia" w:eastAsia="Georgia" w:hAnsi="Georgia"/>
          <w:i/>
          <w:iCs/>
          <w:color w:val="44403c"/>
          <w:sz w:val="19"/>
          <w:szCs w:val="19"/>
        </w:rPr>
        <w:t xml:space="preserve">Sources: WHO, "How to calculate vaccine volumes and cold chain capacity requirements," WHO-IVB-17.06 (the 2.1 cm³/dose figure is WHO's own worked example: a 1,055 cm³ carton holding 500 doses). UNICEF Supply Division, "Measles vaccine price data," 5 December 2025.</w:t>
      </w:r>
    </w:p>
    <w:p>
      <w:pPr>
        <w:pStyle w:val="Heading2"/>
        <w:spacing w:after="160" w:before="300"/>
      </w:pPr>
      <w:r>
        <w:rPr>
          <w:rFonts w:ascii="Georgia" w:cs="Georgia" w:eastAsia="Georgia" w:hAnsi="Georgia"/>
          <w:b/>
          <w:bCs/>
          <w:color w:val="1a3a5c"/>
          <w:sz w:val="26"/>
          <w:szCs w:val="26"/>
        </w:rPr>
        <w:t xml:space="preserve">Appendix E: Why Insulation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8"/>
        <w:gridCol w:w="6382"/>
      </w:tblGrid>
      <w:tr>
        <w:trPr>
          <w:tblHeader/>
        </w:trPr>
        <w:tc>
          <w:tcPr>
            <w:tcW w:type="dxa" w:w="2978"/>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Material</w:t>
            </w:r>
          </w:p>
        </w:tc>
        <w:tc>
          <w:tcPr>
            <w:tcW w:type="dxa" w:w="6382"/>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Thermal conductivity (W/m·K)</w:t>
            </w:r>
          </w:p>
        </w:tc>
      </w:tr>
      <w:tr>
        <w:trPr>
          <w:tblHeader w:val="false"/>
        </w:trPr>
        <w:tc>
          <w:tcPr>
            <w:tcW w:type="dxa" w:w="297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Polyurethane foam</w:t>
            </w:r>
          </w:p>
        </w:tc>
        <w:tc>
          <w:tcPr>
            <w:tcW w:type="dxa" w:w="638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0.03</w:t>
            </w:r>
          </w:p>
        </w:tc>
      </w:tr>
      <w:tr>
        <w:trPr>
          <w:tblHeader w:val="false"/>
        </w:trPr>
        <w:tc>
          <w:tcPr>
            <w:tcW w:type="dxa" w:w="297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Expanded polystyrene (EPS)</w:t>
            </w:r>
          </w:p>
        </w:tc>
        <w:tc>
          <w:tcPr>
            <w:tcW w:type="dxa" w:w="638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0.03</w:t>
            </w:r>
          </w:p>
        </w:tc>
      </w:tr>
      <w:tr>
        <w:trPr>
          <w:tblHeader w:val="false"/>
        </w:trPr>
        <w:tc>
          <w:tcPr>
            <w:tcW w:type="dxa" w:w="297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Styrofoam</w:t>
            </w:r>
          </w:p>
        </w:tc>
        <w:tc>
          <w:tcPr>
            <w:tcW w:type="dxa" w:w="638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0.033</w:t>
            </w:r>
          </w:p>
        </w:tc>
      </w:tr>
      <w:tr>
        <w:trPr>
          <w:tblHeader w:val="false"/>
        </w:trPr>
        <w:tc>
          <w:tcPr>
            <w:tcW w:type="dxa" w:w="297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Vacuum insulation panel (VIP) — as produced</w:t>
            </w:r>
          </w:p>
        </w:tc>
        <w:tc>
          <w:tcPr>
            <w:tcW w:type="dxa" w:w="638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0.004</w:t>
            </w:r>
          </w:p>
        </w:tc>
      </w:tr>
      <w:tr>
        <w:trPr>
          <w:tblHeader w:val="false"/>
        </w:trPr>
        <w:tc>
          <w:tcPr>
            <w:tcW w:type="dxa" w:w="297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VIP — design value including ageing allowance</w:t>
            </w:r>
          </w:p>
        </w:tc>
        <w:tc>
          <w:tcPr>
            <w:tcW w:type="dxa" w:w="638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0.008</w:t>
            </w:r>
          </w:p>
        </w:tc>
      </w:tr>
      <w:tr>
        <w:trPr>
          <w:tblHeader w:val="false"/>
        </w:trPr>
        <w:tc>
          <w:tcPr>
            <w:tcW w:type="dxa" w:w="297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Ice (for comparison)</w:t>
            </w:r>
          </w:p>
        </w:tc>
        <w:tc>
          <w:tcPr>
            <w:tcW w:type="dxa" w:w="638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2.18</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Quantity</w:t>
            </w:r>
          </w:p>
        </w:tc>
        <w:tc>
          <w:tcPr>
            <w:tcW w:type="dxa" w:w="4118"/>
            <w:shd w:fill="1a3a5c" w:val="clear"/>
            <w:tcMar>
              <w:top w:type="dxa" w:w="80"/>
              <w:left w:type="dxa" w:w="110"/>
              <w:bottom w:type="dxa" w:w="80"/>
              <w:right w:type="dxa" w:w="110"/>
            </w:tcMar>
          </w:tcPr>
          <w:p>
            <w:pPr>
              <w:spacing w:after="0"/>
            </w:pPr>
            <w:r>
              <w:rPr>
                <w:rFonts w:ascii="Georgia" w:cs="Georgia" w:eastAsia="Georgia" w:hAnsi="Georgia"/>
                <w:b/>
                <w:bCs/>
                <w:color w:val="FFFFFF"/>
                <w:sz w:val="19"/>
                <w:szCs w:val="19"/>
              </w:rPr>
              <w:t xml:space="preserve">Value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Latent heat of fusion of water (ice)</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334 kJ/kg</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Density of water</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1 kg per litre</w:t>
            </w:r>
          </w:p>
        </w:tc>
      </w:tr>
      <w:tr>
        <w:trPr>
          <w:tblHeader w:val="false"/>
        </w:trPr>
        <w:tc>
          <w:tcPr>
            <w:tcW w:type="dxa" w:w="5242"/>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Actual water content, 0.6 L water-pack</w:t>
            </w:r>
          </w:p>
        </w:tc>
        <w:tc>
          <w:tcPr>
            <w:tcW w:type="dxa" w:w="4118"/>
            <w:shd w:fill="f4f6f8" w:val="clear"/>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0.55 – 0.60 L</w:t>
            </w:r>
          </w:p>
        </w:tc>
      </w:tr>
      <w:tr>
        <w:trPr>
          <w:tblHeader w:val="false"/>
        </w:trPr>
        <w:tc>
          <w:tcPr>
            <w:tcW w:type="dxa" w:w="5242"/>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Actual water content, 0.3 L icepack</w:t>
            </w:r>
          </w:p>
        </w:tc>
        <w:tc>
          <w:tcPr>
            <w:tcW w:type="dxa" w:w="4118"/>
            <w:tcMar>
              <w:top w:type="dxa" w:w="80"/>
              <w:left w:type="dxa" w:w="110"/>
              <w:bottom w:type="dxa" w:w="80"/>
              <w:right w:type="dxa" w:w="110"/>
            </w:tcMar>
          </w:tcPr>
          <w:p>
            <w:pPr>
              <w:spacing w:after="0"/>
            </w:pPr>
            <w:r>
              <w:rPr>
                <w:rFonts w:ascii="Georgia" w:cs="Georgia" w:eastAsia="Georgia" w:hAnsi="Georgia"/>
                <w:b w:val="false"/>
                <w:bCs w:val="false"/>
                <w:color w:val="000000"/>
                <w:sz w:val="19"/>
                <w:szCs w:val="19"/>
              </w:rPr>
              <w:t xml:space="preserve">0.25 – 0.30 L</w:t>
            </w:r>
          </w:p>
        </w:tc>
      </w:tr>
    </w:tbl>
    <w:p>
      <w:pPr>
        <w:spacing w:after="180"/>
      </w:pPr>
    </w:p>
    <w:p>
      <w:pPr>
        <w:spacing w:after="130" w:line="300"/>
      </w:pPr>
      <w:r>
        <w:rPr>
          <w:rFonts w:ascii="Georgia" w:cs="Georgia" w:eastAsia="Georgia" w:hAnsi="Georgia"/>
          <w:sz w:val="22"/>
          <w:szCs w:val="22"/>
        </w:rPr>
        <w:t xml:space="preserve">Heat enters a cold box </w:t>
      </w:r>
      <w:r>
        <w:rPr>
          <w:rFonts w:ascii="Georgia" w:cs="Georgia" w:eastAsia="Georgia" w:hAnsi="Georgia"/>
          <w:b/>
          <w:bCs/>
          <w:sz w:val="22"/>
          <w:szCs w:val="22"/>
        </w:rPr>
        <w:t xml:space="preserve">through its walls</w:t>
      </w:r>
      <w:r>
        <w:rPr>
          <w:rFonts w:ascii="Georgia" w:cs="Georgia" w:eastAsia="Georgia" w:hAnsi="Georgia"/>
          <w:sz w:val="22"/>
          <w:szCs w:val="22"/>
        </w:rPr>
        <w:t xml:space="preserve">. The bigger the wall area, the more heat gets in. The bigger the inside, the more cold is stored to absorb it.</w:t>
      </w:r>
    </w:p>
    <w:p>
      <w:pPr>
        <w:pBdr>
          <w:left w:val="single" w:color="c9a227" w:sz="12" w:space="12"/>
        </w:pBdr>
        <w:spacing w:after="120"/>
        <w:ind w:left="340"/>
      </w:pPr>
      <w:r>
        <w:rPr>
          <w:rFonts w:ascii="Georgia" w:cs="Georgia" w:eastAsia="Georgia" w:hAnsi="Georgia"/>
          <w:i/>
          <w:iCs/>
          <w:color w:val="44403c"/>
          <w:sz w:val="19"/>
          <w:szCs w:val="19"/>
        </w:rPr>
        <w:t xml:space="preserve">Sources: IEA ECBCS Annex 39, "Vacuum Insulation Panel Properties," iea-ebc.org/Data/publications/EBC_Annex_39_PSR.pdf (VIP figures). Engineering ToolBox, "Thermal Conductivity of common Materials" and "Latent Heat of Melting common Materials" (foam, EPS, ice, latent heat). UNICEF Supply Division S0002365 and S0002095 (water-pack fill volumes).</w:t>
      </w:r>
    </w:p>
    <w:p>
      <w:pPr>
        <w:spacing w:after="130" w:line="300"/>
      </w:pPr>
      <w:r>
        <w:rPr>
          <w:rFonts w:ascii="Georgia" w:cs="Georgia" w:eastAsia="Georgia" w:hAnsi="Georgia"/>
          <w:sz w:val="22"/>
          <w:szCs w:val="22"/>
        </w:rPr>
        <w:t xml:space="preserve">&gt;</w:t>
      </w:r>
    </w:p>
    <w:p>
      <w:pPr>
        <w:pBdr>
          <w:left w:val="single" w:color="c9a227" w:sz="12" w:space="12"/>
        </w:pBdr>
        <w:spacing w:after="120"/>
        <w:ind w:left="340"/>
      </w:pPr>
      <w:r>
        <w:rPr>
          <w:rFonts w:ascii="Georgia" w:cs="Georgia" w:eastAsia="Georgia" w:hAnsi="Georgia"/>
          <w:i/>
          <w:iCs/>
          <w:color w:val="44403c"/>
          <w:sz w:val="19"/>
          <w:szCs w:val="19"/>
        </w:rPr>
        <w:t xml:space="preserve">Note: the water content of the 0.4 L pack used in the AOV and Blowkings boxes is not published. The 0.3 L and 0.6 L packs both fill below their nominal capacity, so do not assume 0.4 L exactly. If your calculation needs it, state what you assumed and why.</w:t>
      </w:r>
    </w:p>
    <w:p>
      <w:pPr>
        <w:pStyle w:val="Heading2"/>
        <w:spacing w:after="160" w:before="300"/>
      </w:pPr>
      <w:r>
        <w:rPr>
          <w:rFonts w:ascii="Georgia" w:cs="Georgia" w:eastAsia="Georgia" w:hAnsi="Georgia"/>
          <w:b/>
          <w:bCs/>
          <w:color w:val="1a3a5c"/>
          <w:sz w:val="26"/>
          <w:szCs w:val="26"/>
        </w:rPr>
        <w:t xml:space="preserve">Appendix F: Modeling Assumptions</w:t>
      </w:r>
    </w:p>
    <w:p>
      <w:pPr>
        <w:spacing w:after="130" w:line="300"/>
      </w:pPr>
      <w:r>
        <w:rPr>
          <w:rFonts w:ascii="Georgia" w:cs="Georgia" w:eastAsia="Georgia" w:hAnsi="Georgia"/>
          <w:b/>
          <w:bCs/>
          <w:sz w:val="22"/>
          <w:szCs w:val="22"/>
        </w:rPr>
        <w:t xml:space="preserve">Assumption 0 — Box assignment (this is a plan, not measured data, but it is fixed for everyone).</w:t>
      </w:r>
      <w:r>
        <w:rPr>
          <w:rFonts w:ascii="Georgia" w:cs="Georgia" w:eastAsia="Georgia" w:hAnsi="Georgia"/>
          <w:sz w:val="22"/>
          <w:szCs w:val="22"/>
        </w:rPr>
        <w:t xml:space="preserve"> Order A's four boxes are assigned by vehicle, not by facility: </w:t>
      </w:r>
      <w:r>
        <w:rPr>
          <w:rFonts w:ascii="Georgia" w:cs="Georgia" w:eastAsia="Georgia" w:hAnsi="Georgia"/>
          <w:b/>
          <w:bCs/>
          <w:sz w:val="22"/>
          <w:szCs w:val="22"/>
        </w:rPr>
        <w:t xml:space="preserve">three boxes travel on the truck route</w:t>
      </w:r>
      <w:r>
        <w:rPr>
          <w:rFonts w:ascii="Georgia" w:cs="Georgia" w:eastAsia="Georgia" w:hAnsi="Georgia"/>
          <w:sz w:val="22"/>
          <w:szCs w:val="22"/>
        </w:rPr>
        <w:t xml:space="preserve"> and serve all four road-accessible facilities between them, and </w:t>
      </w:r>
      <w:r>
        <w:rPr>
          <w:rFonts w:ascii="Georgia" w:cs="Georgia" w:eastAsia="Georgia" w:hAnsi="Georgia"/>
          <w:b/>
          <w:bCs/>
          <w:sz w:val="22"/>
          <w:szCs w:val="22"/>
        </w:rPr>
        <w:t xml:space="preserve">one box travels on the motorcycle route</w:t>
      </w:r>
      <w:r>
        <w:rPr>
          <w:rFonts w:ascii="Georgia" w:cs="Georgia" w:eastAsia="Georgia" w:hAnsi="Georgia"/>
          <w:sz w:val="22"/>
          <w:szCs w:val="22"/>
        </w:rPr>
        <w:t xml:space="preserve"> and serves both Bulera and Nyamirama. Order B's two boxes both travel on the truck route; neither box ever leaves the truck. Use this assignment for every calculation — it is what makes your delivery schedule (D4) match everyone else's.</w:t>
      </w:r>
    </w:p>
    <w:p>
      <w:pPr>
        <w:spacing w:after="130" w:line="300"/>
      </w:pPr>
      <w:r>
        <w:rPr>
          <w:rFonts w:ascii="Georgia" w:cs="Georgia" w:eastAsia="Georgia" w:hAnsi="Georgia"/>
          <w:sz w:val="22"/>
          <w:szCs w:val="22"/>
        </w:rPr>
        <w:t xml:space="preserve">How the three truck boxes split the four truck stops among themselves does not matter — you don't need to solve that sub-problem. Even in the worst case, where one box alone absorbs all four stops' lid openings (132.3 − 4×4 = 116.3 h effective), it still clears the last stop, Kitovu, at hour 96 with 20.3 hours to spare. Divide the four stops across the three boxes any way you like; the truck leg is never the tight one.</w:t>
      </w:r>
    </w:p>
    <w:p>
      <w:pPr>
        <w:spacing w:after="130" w:line="300"/>
      </w:pPr>
      <w:r>
        <w:rPr>
          <w:rFonts w:ascii="Georgia" w:cs="Georgia" w:eastAsia="Georgia" w:hAnsi="Georgia"/>
          <w:sz w:val="22"/>
          <w:szCs w:val="22"/>
        </w:rPr>
        <w:t xml:space="preserve">The two items below </w:t>
      </w:r>
      <w:r>
        <w:rPr>
          <w:rFonts w:ascii="Georgia" w:cs="Georgia" w:eastAsia="Georgia" w:hAnsi="Georgia"/>
          <w:b/>
          <w:bCs/>
          <w:sz w:val="22"/>
          <w:szCs w:val="22"/>
        </w:rPr>
        <w:t xml:space="preserve">are not measured data.</w:t>
      </w:r>
      <w:r>
        <w:rPr>
          <w:rFonts w:ascii="Georgia" w:cs="Georgia" w:eastAsia="Georgia" w:hAnsi="Georgia"/>
          <w:sz w:val="22"/>
          <w:szCs w:val="22"/>
        </w:rPr>
        <w:t xml:space="preserve"> No published source gives them. Adaeze's team uses them for planning, and this case adopts them so that everyone works from the same basis. If you disagree with either, say so in your pitch and show what changes — Appendix G's "how to" list includes the skill you'd need to test that.</w:t>
      </w:r>
    </w:p>
    <w:p>
      <w:pPr>
        <w:spacing w:after="130" w:line="300"/>
      </w:pPr>
      <w:r>
        <w:rPr>
          <w:rFonts w:ascii="Georgia" w:cs="Georgia" w:eastAsia="Georgia" w:hAnsi="Georgia"/>
          <w:b/>
          <w:bCs/>
          <w:sz w:val="22"/>
          <w:szCs w:val="22"/>
        </w:rPr>
        <w:t xml:space="preserve">Assumption 1 — Opening cost.</w:t>
      </w:r>
      <w:r>
        <w:rPr>
          <w:rFonts w:ascii="Georgia" w:cs="Georgia" w:eastAsia="Georgia" w:hAnsi="Georgia"/>
          <w:sz w:val="22"/>
          <w:szCs w:val="22"/>
        </w:rPr>
        <w:t xml:space="preserve"> WHO cold life is certified with the lid closed for the entire period. In the field, every stop means opening the box. Assume </w:t>
      </w:r>
      <w:r>
        <w:rPr>
          <w:rFonts w:ascii="Georgia" w:cs="Georgia" w:eastAsia="Georgia" w:hAnsi="Georgia"/>
          <w:b/>
          <w:bCs/>
          <w:sz w:val="22"/>
          <w:szCs w:val="22"/>
        </w:rPr>
        <w:t xml:space="preserve">each lid opening costs 4 hours of cold life</w:t>
      </w:r>
      <w:r>
        <w:rPr>
          <w:rFonts w:ascii="Georgia" w:cs="Georgia" w:eastAsia="Georgia" w:hAnsi="Georgia"/>
          <w:sz w:val="22"/>
          <w:szCs w:val="22"/>
        </w:rPr>
        <w:t xml:space="preserve">, deducted </w:t>
      </w:r>
      <w:r>
        <w:rPr>
          <w:rFonts w:ascii="Georgia" w:cs="Georgia" w:eastAsia="Georgia" w:hAnsi="Georgia"/>
          <w:b/>
          <w:bCs/>
          <w:sz w:val="22"/>
          <w:szCs w:val="22"/>
        </w:rPr>
        <w:t xml:space="preserve">up front</w:t>
      </w:r>
      <w:r>
        <w:rPr>
          <w:rFonts w:ascii="Georgia" w:cs="Georgia" w:eastAsia="Georgia" w:hAnsi="Georgia"/>
          <w:sz w:val="22"/>
          <w:szCs w:val="22"/>
        </w:rPr>
        <w:t xml:space="preserve"> for every stop a box is planned to make before it ever leaves the depot: a box planned to open at two facilities starts the trip with `rated cold life − (2 × 4) = rated − 8` hours. This is how a logistics officer plans — you commit to a route before you drive it, so you budget for every stop you intend to make. Do </w:t>
      </w:r>
      <w:r>
        <w:rPr>
          <w:rFonts w:ascii="Georgia" w:cs="Georgia" w:eastAsia="Georgia" w:hAnsi="Georgia"/>
          <w:b/>
          <w:bCs/>
          <w:sz w:val="22"/>
          <w:szCs w:val="22"/>
        </w:rPr>
        <w:t xml:space="preserve">not</w:t>
      </w:r>
      <w:r>
        <w:rPr>
          <w:rFonts w:ascii="Georgia" w:cs="Georgia" w:eastAsia="Georgia" w:hAnsi="Georgia"/>
          <w:sz w:val="22"/>
          <w:szCs w:val="22"/>
        </w:rPr>
        <w:t xml:space="preserve"> deduct openings one at a time as they happen; everyone must use the same convention or the answers will not be comparable. (This case's headline numbers are stable for any opening cost from 2 to 6 hours — see the sensitivity note in the Guide.)</w:t>
      </w:r>
    </w:p>
    <w:p>
      <w:pPr>
        <w:spacing w:after="130" w:line="300"/>
      </w:pPr>
      <w:r>
        <w:rPr>
          <w:rFonts w:ascii="Georgia" w:cs="Georgia" w:eastAsia="Georgia" w:hAnsi="Georgia"/>
          <w:b/>
          <w:bCs/>
          <w:sz w:val="22"/>
          <w:szCs w:val="22"/>
        </w:rPr>
        <w:t xml:space="preserve">Assumption 2 — Holding, then failing.</w:t>
      </w:r>
      <w:r>
        <w:rPr>
          <w:rFonts w:ascii="Georgia" w:cs="Georgia" w:eastAsia="Georgia" w:hAnsi="Georgia"/>
          <w:sz w:val="22"/>
          <w:szCs w:val="22"/>
        </w:rPr>
        <w:t xml:space="preserve"> A container's ice keeps the compartment inside </w:t>
      </w:r>
      <w:r>
        <w:rPr>
          <w:rFonts w:ascii="Georgia" w:cs="Georgia" w:eastAsia="Georgia" w:hAnsi="Georgia"/>
          <w:b/>
          <w:bCs/>
          <w:sz w:val="22"/>
          <w:szCs w:val="22"/>
        </w:rPr>
        <w:t xml:space="preserve">+2 °C to +8 °C</w:t>
      </w:r>
      <w:r>
        <w:rPr>
          <w:rFonts w:ascii="Georgia" w:cs="Georgia" w:eastAsia="Georgia" w:hAnsi="Georgia"/>
          <w:sz w:val="22"/>
          <w:szCs w:val="22"/>
        </w:rPr>
        <w:t xml:space="preserve"> for its entire cold-life rating; the warming to +10 °C happens quickly once the ice is exhausted. So for this case, treat </w:t>
      </w:r>
      <w:r>
        <w:rPr>
          <w:rFonts w:ascii="Georgia" w:cs="Georgia" w:eastAsia="Georgia" w:hAnsi="Georgia"/>
          <w:b/>
          <w:bCs/>
          <w:sz w:val="22"/>
          <w:szCs w:val="22"/>
        </w:rPr>
        <w:t xml:space="preserve">cold life as the in-spec time</w:t>
      </w:r>
      <w:r>
        <w:rPr>
          <w:rFonts w:ascii="Georgia" w:cs="Georgia" w:eastAsia="Georgia" w:hAnsi="Georgia"/>
          <w:sz w:val="22"/>
          <w:szCs w:val="22"/>
        </w:rPr>
        <w:t xml:space="preserve">: vaccine arriving at or before the box's remaining cold life is in spec, and vaccine arriving after it is an excursion.</w:t>
      </w:r>
    </w:p>
    <w:p>
      <w:pPr>
        <w:pBdr>
          <w:left w:val="single" w:color="c9a227" w:sz="12" w:space="12"/>
        </w:pBdr>
        <w:spacing w:after="120"/>
        <w:ind w:left="340"/>
      </w:pPr>
      <w:r>
        <w:rPr>
          <w:rFonts w:ascii="Georgia" w:cs="Georgia" w:eastAsia="Georgia" w:hAnsi="Georgia"/>
          <w:i/>
          <w:iCs/>
          <w:color w:val="44403c"/>
          <w:sz w:val="19"/>
          <w:szCs w:val="19"/>
        </w:rPr>
        <w:t xml:space="preserve">This is a simplification, and it is the optimistic direction — a real box drifts upward through the +8 °C line somewhat before it reaches +10 °C, so true in-spec time is shorter than rated cold life. If you think that matters, model it and show what changes. A student who argues that both orders are worse than they look, and shows the arithmetic, is making a stronger case than one who doesn't notice.</w:t>
      </w:r>
    </w:p>
    <w:p>
      <w:pPr>
        <w:pStyle w:val="Heading2"/>
        <w:spacing w:after="160" w:before="300"/>
      </w:pPr>
      <w:r>
        <w:rPr>
          <w:rFonts w:ascii="Georgia" w:cs="Georgia" w:eastAsia="Georgia" w:hAnsi="Georgia"/>
          <w:b/>
          <w:bCs/>
          <w:color w:val="1a3a5c"/>
          <w:sz w:val="26"/>
          <w:szCs w:val="26"/>
        </w:rPr>
        <w:t xml:space="preserve">Appendix G: "How To…" Math Questions To Research</w:t>
      </w:r>
    </w:p>
    <w:p>
      <w:pPr>
        <w:spacing w:after="80" w:before="160"/>
      </w:pPr>
      <w:r>
        <w:rPr>
          <w:rFonts w:ascii="Georgia" w:cs="Georgia" w:eastAsia="Georgia" w:hAnsi="Georgia"/>
          <w:b/>
          <w:bCs/>
          <w:sz w:val="22"/>
          <w:szCs w:val="22"/>
        </w:rPr>
        <w:t xml:space="preserve">Vocabulary</w:t>
      </w:r>
    </w:p>
    <w:p>
      <w:pPr>
        <w:spacing w:after="130" w:line="300"/>
      </w:pPr>
      <w:r>
        <w:rPr>
          <w:rFonts w:ascii="Georgia" w:cs="Georgia" w:eastAsia="Georgia" w:hAnsi="Georgia"/>
          <w:sz w:val="22"/>
          <w:szCs w:val="22"/>
        </w:rPr>
        <w:t xml:space="preserve">Volume · Surface Area · Prism · Ratio · Unit · Percent · Decimal · Absolute Value · Scientific Notation · Measurement · Distance · Weight · Data · Bar Graph</w:t>
      </w:r>
    </w:p>
    <w:p>
      <w:pPr>
        <w:spacing w:after="80" w:before="160"/>
      </w:pPr>
      <w:r>
        <w:rPr>
          <w:rFonts w:ascii="Georgia" w:cs="Georgia" w:eastAsia="Georgia" w:hAnsi="Georgia"/>
          <w:b/>
          <w:bCs/>
          <w:sz w:val="22"/>
          <w:szCs w:val="22"/>
        </w:rPr>
        <w:t xml:space="preserve">How to…</w:t>
      </w:r>
    </w:p>
    <w:p>
      <w:pPr>
        <w:pStyle w:val="ListParagraph"/>
        <w:numPr>
          <w:ilvl w:val="0"/>
          <w:numId w:val="1"/>
        </w:numPr>
        <w:spacing w:after="80"/>
      </w:pPr>
      <w:r>
        <w:rPr>
          <w:rFonts w:ascii="Georgia" w:cs="Georgia" w:eastAsia="Georgia" w:hAnsi="Georgia"/>
          <w:sz w:val="22"/>
          <w:szCs w:val="22"/>
        </w:rPr>
        <w:t xml:space="preserve">How to find the volume of a prism</w:t>
      </w:r>
    </w:p>
    <w:p>
      <w:pPr>
        <w:pStyle w:val="ListParagraph"/>
        <w:numPr>
          <w:ilvl w:val="0"/>
          <w:numId w:val="1"/>
        </w:numPr>
        <w:spacing w:after="80"/>
      </w:pPr>
      <w:r>
        <w:rPr>
          <w:rFonts w:ascii="Georgia" w:cs="Georgia" w:eastAsia="Georgia" w:hAnsi="Georgia"/>
          <w:sz w:val="22"/>
          <w:szCs w:val="22"/>
        </w:rPr>
        <w:t xml:space="preserve">How to find the surface area of a prism</w:t>
      </w:r>
    </w:p>
    <w:p>
      <w:pPr>
        <w:pStyle w:val="ListParagraph"/>
        <w:numPr>
          <w:ilvl w:val="0"/>
          <w:numId w:val="1"/>
        </w:numPr>
        <w:spacing w:after="80"/>
      </w:pPr>
      <w:r>
        <w:rPr>
          <w:rFonts w:ascii="Georgia" w:cs="Georgia" w:eastAsia="Georgia" w:hAnsi="Georgia"/>
          <w:sz w:val="22"/>
          <w:szCs w:val="22"/>
        </w:rPr>
        <w:t xml:space="preserve">How to find equivalent ratios</w:t>
      </w:r>
    </w:p>
    <w:p>
      <w:pPr>
        <w:pStyle w:val="ListParagraph"/>
        <w:numPr>
          <w:ilvl w:val="0"/>
          <w:numId w:val="1"/>
        </w:numPr>
        <w:spacing w:after="80"/>
      </w:pPr>
      <w:r>
        <w:rPr>
          <w:rFonts w:ascii="Georgia" w:cs="Georgia" w:eastAsia="Georgia" w:hAnsi="Georgia"/>
          <w:sz w:val="22"/>
          <w:szCs w:val="22"/>
        </w:rPr>
        <w:t xml:space="preserve">How to convert an amount from one unit to another unit</w:t>
      </w:r>
    </w:p>
    <w:p>
      <w:pPr>
        <w:pStyle w:val="ListParagraph"/>
        <w:numPr>
          <w:ilvl w:val="0"/>
          <w:numId w:val="1"/>
        </w:numPr>
        <w:spacing w:after="80"/>
      </w:pPr>
      <w:r>
        <w:rPr>
          <w:rFonts w:ascii="Georgia" w:cs="Georgia" w:eastAsia="Georgia" w:hAnsi="Georgia"/>
          <w:sz w:val="22"/>
          <w:szCs w:val="22"/>
        </w:rPr>
        <w:t xml:space="preserve">How to convert an amount with compound units</w:t>
      </w:r>
    </w:p>
    <w:p>
      <w:pPr>
        <w:pStyle w:val="ListParagraph"/>
        <w:numPr>
          <w:ilvl w:val="0"/>
          <w:numId w:val="1"/>
        </w:numPr>
        <w:spacing w:after="80"/>
      </w:pPr>
      <w:r>
        <w:rPr>
          <w:rFonts w:ascii="Georgia" w:cs="Georgia" w:eastAsia="Georgia" w:hAnsi="Georgia"/>
          <w:sz w:val="22"/>
          <w:szCs w:val="22"/>
        </w:rPr>
        <w:t xml:space="preserve">How to convert between units of time</w:t>
      </w:r>
    </w:p>
    <w:p>
      <w:pPr>
        <w:pStyle w:val="ListParagraph"/>
        <w:numPr>
          <w:ilvl w:val="0"/>
          <w:numId w:val="1"/>
        </w:numPr>
        <w:spacing w:after="80"/>
      </w:pPr>
      <w:r>
        <w:rPr>
          <w:rFonts w:ascii="Georgia" w:cs="Georgia" w:eastAsia="Georgia" w:hAnsi="Georgia"/>
          <w:sz w:val="22"/>
          <w:szCs w:val="22"/>
        </w:rPr>
        <w:t xml:space="preserve">How to find the percent of a number</w:t>
      </w:r>
    </w:p>
    <w:p>
      <w:pPr>
        <w:pStyle w:val="ListParagraph"/>
        <w:numPr>
          <w:ilvl w:val="0"/>
          <w:numId w:val="1"/>
        </w:numPr>
        <w:spacing w:after="80"/>
      </w:pPr>
      <w:r>
        <w:rPr>
          <w:rFonts w:ascii="Georgia" w:cs="Georgia" w:eastAsia="Georgia" w:hAnsi="Georgia"/>
          <w:sz w:val="22"/>
          <w:szCs w:val="22"/>
        </w:rPr>
        <w:t xml:space="preserve">How to convert numbers to percents</w:t>
      </w:r>
    </w:p>
    <w:p>
      <w:pPr>
        <w:pStyle w:val="ListParagraph"/>
        <w:numPr>
          <w:ilvl w:val="0"/>
          <w:numId w:val="1"/>
        </w:numPr>
        <w:spacing w:after="80"/>
      </w:pPr>
      <w:r>
        <w:rPr>
          <w:rFonts w:ascii="Georgia" w:cs="Georgia" w:eastAsia="Georgia" w:hAnsi="Georgia"/>
          <w:sz w:val="22"/>
          <w:szCs w:val="22"/>
        </w:rPr>
        <w:t xml:space="preserve">How to multiply decimal numbers</w:t>
      </w:r>
    </w:p>
    <w:p>
      <w:pPr>
        <w:pStyle w:val="ListParagraph"/>
        <w:numPr>
          <w:ilvl w:val="0"/>
          <w:numId w:val="1"/>
        </w:numPr>
        <w:spacing w:after="80"/>
      </w:pPr>
      <w:r>
        <w:rPr>
          <w:rFonts w:ascii="Georgia" w:cs="Georgia" w:eastAsia="Georgia" w:hAnsi="Georgia"/>
          <w:sz w:val="22"/>
          <w:szCs w:val="22"/>
        </w:rPr>
        <w:t xml:space="preserve">How to divide decimal numbers</w:t>
      </w:r>
    </w:p>
    <w:p>
      <w:pPr>
        <w:pStyle w:val="ListParagraph"/>
        <w:numPr>
          <w:ilvl w:val="0"/>
          <w:numId w:val="1"/>
        </w:numPr>
        <w:spacing w:after="80"/>
      </w:pPr>
      <w:r>
        <w:rPr>
          <w:rFonts w:ascii="Georgia" w:cs="Georgia" w:eastAsia="Georgia" w:hAnsi="Georgia"/>
          <w:sz w:val="22"/>
          <w:szCs w:val="22"/>
        </w:rPr>
        <w:t xml:space="preserve">How to evaluate an absolute value expression</w:t>
      </w:r>
    </w:p>
    <w:p>
      <w:pPr>
        <w:pStyle w:val="ListParagraph"/>
        <w:numPr>
          <w:ilvl w:val="0"/>
          <w:numId w:val="1"/>
        </w:numPr>
        <w:spacing w:after="80"/>
      </w:pPr>
      <w:r>
        <w:rPr>
          <w:rFonts w:ascii="Georgia" w:cs="Georgia" w:eastAsia="Georgia" w:hAnsi="Georgia"/>
          <w:sz w:val="22"/>
          <w:szCs w:val="22"/>
        </w:rPr>
        <w:t xml:space="preserve">How to write a number in scientific notation given its standard notation</w:t>
      </w:r>
    </w:p>
    <w:p>
      <w:pPr>
        <w:pStyle w:val="ListParagraph"/>
        <w:numPr>
          <w:ilvl w:val="0"/>
          <w:numId w:val="1"/>
        </w:numPr>
        <w:spacing w:after="80"/>
      </w:pPr>
      <w:r>
        <w:rPr>
          <w:rFonts w:ascii="Georgia" w:cs="Georgia" w:eastAsia="Georgia" w:hAnsi="Georgia"/>
          <w:sz w:val="22"/>
          <w:szCs w:val="22"/>
        </w:rPr>
        <w:t xml:space="preserve">How to find the mean of a set of data</w:t>
      </w:r>
    </w:p>
    <w:p>
      <w:pPr>
        <w:pStyle w:val="ListParagraph"/>
        <w:numPr>
          <w:ilvl w:val="0"/>
          <w:numId w:val="1"/>
        </w:numPr>
        <w:spacing w:after="80"/>
      </w:pPr>
      <w:r>
        <w:rPr>
          <w:rFonts w:ascii="Georgia" w:cs="Georgia" w:eastAsia="Georgia" w:hAnsi="Georgia"/>
          <w:sz w:val="22"/>
          <w:szCs w:val="22"/>
        </w:rPr>
        <w:t xml:space="preserve">How to compare two or more values</w:t>
      </w:r>
    </w:p>
    <w:p>
      <w:pPr>
        <w:pStyle w:val="ListParagraph"/>
        <w:numPr>
          <w:ilvl w:val="0"/>
          <w:numId w:val="1"/>
        </w:numPr>
        <w:spacing w:after="80"/>
      </w:pPr>
      <w:r>
        <w:rPr>
          <w:rFonts w:ascii="Georgia" w:cs="Georgia" w:eastAsia="Georgia" w:hAnsi="Georgia"/>
          <w:sz w:val="22"/>
          <w:szCs w:val="22"/>
        </w:rPr>
        <w:t xml:space="preserve">How to find elapsed time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2026-08-01T04:45:11.114Z</dcterms:created>
  <dcterms:modified xsi:type="dcterms:W3CDTF">2026-08-01T04:45:11.115Z</dcterms:modified>
</cp:coreProperties>
</file>

<file path=docProps/custom.xml><?xml version="1.0" encoding="utf-8"?>
<Properties xmlns="http://schemas.openxmlformats.org/officeDocument/2006/custom-properties" xmlns:vt="http://schemas.openxmlformats.org/officeDocument/2006/docPropsVTypes"/>
</file>