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Case Study: Catering</w:t>
      </w:r>
    </w:p>
    <w:p>
      <w:pPr>
        <w:spacing w:after="300"/>
        <w:jc w:val="center"/>
      </w:pPr>
      <w:r>
        <w:rPr>
          <w:i/>
          <w:iCs/>
          <w:color w:val="555555"/>
          <w:sz w:val="22"/>
          <w:szCs w:val="22"/>
        </w:rPr>
        <w:t xml:space="preserve">MS | Math | Case Study | 2026-27 | Heroes Academy</w:t>
      </w:r>
    </w:p>
    <w:p>
      <w:pPr>
        <w:pBdr>
          <w:bottom w:val="single" w:color="999999" w:sz="6" w:space="4"/>
        </w:pBdr>
        <w:spacing w:after="200" w:before="100"/>
      </w:pPr>
      <w:r>
        <w:t xml:space="preserve"/>
      </w:r>
    </w:p>
    <w:p>
      <w:pPr>
        <w:pStyle w:val="Heading1"/>
        <w:spacing w:after="120" w:before="240"/>
      </w:pPr>
      <w:r>
        <w:rPr>
          <w:b/>
          <w:bCs/>
        </w:rPr>
        <w:t xml:space="preserve">Overview</w:t>
      </w:r>
    </w:p>
    <w:p>
      <w:pPr>
        <w:spacing w:after="120"/>
      </w:pPr>
      <w:r>
        <w:t xml:space="preserve">Aromas of risotto, ribollita, and polenta fill the air of Maggiano's Cucina as founder and chef Victorino prepares for tomorrow's client. Buzz. Buzz. His phone lights up on the counter — two new emails, both catering requests.</w:t>
      </w:r>
    </w:p>
    <w:p>
      <w:pPr>
        <w:spacing w:after="120"/>
      </w:pPr>
      <w:r>
        <w:t xml:space="preserve">Victorino wipes his hands on his apron and opens the first one, then the second. “Oh no,” he says to himself. “They're the same day.”</w:t>
      </w:r>
    </w:p>
    <w:p>
      <w:pPr>
        <w:spacing w:after="120"/>
      </w:pPr>
      <w:r>
        <w:t xml:space="preserve">Knowing that he and his one employee Faustino can't run two events at once, Victorino leans against the counter, rereading both requests. A wedding. A corporate party. Both real clients, both real money, and only one crew.</w:t>
      </w:r>
    </w:p>
    <w:p>
      <w:pPr>
        <w:spacing w:after="120"/>
      </w:pPr>
      <w:r>
        <w:t xml:space="preserve">He pulls a stool up to the counter and opens his order spreadsheet, the one he built himself the week he left his old accounting job behind. Every menu item, every ingredient cost, every fee he charges is already in there — he just has to actually run the numbers instead of guessing which client feels like the safer bet.</w:t>
      </w:r>
    </w:p>
    <w:p>
      <w:pPr>
        <w:spacing w:after="120"/>
      </w:pPr>
      <w:r>
        <w:t xml:space="preserve">Whichever one he picks, the numbers have to actually work — for his business, and for the family waiting for him upstairs.</w:t>
      </w:r>
    </w:p>
    <w:p>
      <w:pPr>
        <w:pStyle w:val="Heading1"/>
        <w:spacing w:after="120" w:before="240"/>
      </w:pPr>
      <w:r>
        <w:rPr>
          <w:b/>
          <w:bCs/>
        </w:rPr>
        <w:t xml:space="preserve">Background</w:t>
      </w:r>
    </w:p>
    <w:p>
      <w:pPr>
        <w:spacing w:after="120"/>
      </w:pPr>
      <w:r>
        <w:t xml:space="preserve">Victorino Maggiano's passion for cooking began in his grandfather's kitchen. Last year he left a corporate accounting job to start catering small events, and after months of scraping by on savings, he took a loan to finance a small 4-oven kitchen in Draper, Utah and hired one employee, Faustino. With only the two of them preparing, delivering, and cleaning up, Maggiano's Cucina can only take one event at a time. The loan payment is $950 every month, and Victorino has promised himself that any single event's net profit should be able to cover it on its own.</w:t>
      </w:r>
    </w:p>
    <w:p>
      <w:pPr>
        <w:spacing w:after="120"/>
      </w:pPr>
      <w:r>
        <w:t xml:space="preserve">Two requests have come in for the same day (SEE APPENDIX A): the Beal wedding, at the Millennial Falls Event Center, and the Adobitron corporate party, at Adobitron HQ. Maggiano's menu, and the cost of each item's ingredients from his food supplier, are in APPENDIX B. Every catering order also carries an event fee (staff time, including required prep and cleanup) and a delivery fee, plus a standing food-safety policy: Maggiano's always prepares 7% more servings than the guest count, so the kitchen never runs out mid-event (SEE APPENDIX C).</w:t>
      </w:r>
    </w:p>
    <w:p>
      <w:pPr>
        <w:spacing w:after="120"/>
      </w:pPr>
      <w:r>
        <w:t xml:space="preserve">Weddings and corporate events aren't just a one-time choice, either — Victorino has noticed a real pattern over his first year: corporate clients tend to call back for repeat business (monthly lunches, quarterly parties), while wedding clients are almost always a single booking. Whichever event pays better today, only one of the two client types is likely to become the kind of steady, recurring work Maggiano's Cucina actually needs to survive its second year.</w:t>
      </w:r>
    </w:p>
    <w:p>
      <w:pPr>
        <w:spacing w:after="120"/>
      </w:pPr>
      <w:r>
        <w:t xml:space="preserve">Victorino has to pick one client. The other gets a polite, apologetic email.</w:t>
      </w:r>
    </w:p>
    <w:p>
      <w:pPr>
        <w:spacing w:after="120"/>
      </w:pPr>
      <w:r>
        <w:t xml:space="preserve">The vocabulary and the “how to…” skills this case will ask of you are listed in Appendix F — that is where Challenge 1 sends you. (SEE APPENDIX E for further reading on the real-world catering business behind this case.)</w:t>
      </w:r>
    </w:p>
    <w:p>
      <w:pPr>
        <w:pStyle w:val="Heading1"/>
        <w:spacing w:after="120" w:before="240"/>
      </w:pPr>
      <w:r>
        <w:rPr>
          <w:b/>
          <w:bCs/>
        </w:rPr>
        <w:t xml:space="preserve">Dilemma</w:t>
      </w:r>
    </w:p>
    <w:p>
      <w:pPr>
        <w:spacing w:after="120"/>
      </w:pPr>
      <w:r>
        <w:rPr>
          <w:b/>
          <w:bCs/>
        </w:rPr>
        <w:t xml:space="preserve">You are Victorino Maggiano.</w:t>
      </w:r>
    </w:p>
    <w:p>
      <w:pPr>
        <w:spacing w:after="120"/>
      </w:pPr>
      <w:r>
        <w:t xml:space="preserve">Do you:</w:t>
      </w:r>
    </w:p>
    <w:p>
      <w:pPr>
        <w:spacing w:after="120"/>
      </w:pPr>
      <w:r>
        <w:rPr>
          <w:b/>
          <w:bCs/>
        </w:rPr>
        <w:t xml:space="preserve">A.) </w:t>
      </w:r>
      <w:r>
        <w:t xml:space="preserve">Take the Beal wedding order </w:t>
      </w:r>
      <w:r>
        <w:rPr>
          <w:b/>
          <w:bCs/>
        </w:rPr>
        <w:t xml:space="preserve">OR</w:t>
      </w:r>
    </w:p>
    <w:p>
      <w:pPr>
        <w:spacing w:after="120"/>
      </w:pPr>
      <w:r>
        <w:rPr>
          <w:b/>
          <w:bCs/>
        </w:rPr>
        <w:t xml:space="preserve">B.) </w:t>
      </w:r>
      <w:r>
        <w:t xml:space="preserve">Take the Adobitron corporate party order</w:t>
      </w:r>
    </w:p>
    <w:p>
      <w:pPr>
        <w:pStyle w:val="Heading1"/>
        <w:spacing w:after="120" w:before="240"/>
      </w:pPr>
      <w:r>
        <w:rPr>
          <w:b/>
          <w:bCs/>
        </w:rPr>
        <w:t xml:space="preserve">Challenges</w:t>
      </w:r>
    </w:p>
    <w:p>
      <w:pPr>
        <w:spacing w:after="120"/>
      </w:pPr>
      <w:r>
        <w:t xml:space="preserve">1.) Research and find an online resource that answers one of the “how to…” questions from the case study launch. Post a link to the resource as your submission.</w:t>
      </w:r>
    </w:p>
    <w:p>
      <w:pPr>
        <w:spacing w:after="120"/>
      </w:pPr>
      <w:r>
        <w:t xml:space="preserve">2.) Post 250 or more “excellent” words pitching a firm stance to your audience on which you would choose and why. Your pitch must include:</w:t>
      </w:r>
    </w:p>
    <w:p>
      <w:pPr>
        <w:pStyle w:val="ListParagraph"/>
        <w:numPr>
          <w:ilvl w:val="0"/>
          <w:numId w:val="2"/>
        </w:numPr>
        <w:spacing w:after="80"/>
      </w:pPr>
      <w:r>
        <w:t xml:space="preserve">a.) Use of the “how to…” resource you researched in Challenge 1.</w:t>
      </w:r>
    </w:p>
    <w:p>
      <w:pPr>
        <w:pStyle w:val="ListParagraph"/>
        <w:numPr>
          <w:ilvl w:val="0"/>
          <w:numId w:val="2"/>
        </w:numPr>
        <w:spacing w:after="80"/>
      </w:pPr>
      <w:r>
        <w:t xml:space="preserve">b.) At least one original visual display of the data.</w:t>
      </w:r>
    </w:p>
    <w:p>
      <w:pPr>
        <w:spacing w:after="120"/>
      </w:pPr>
      <w:r>
        <w:t xml:space="preserve">3.) Include the following:</w:t>
      </w:r>
    </w:p>
    <w:p>
      <w:pPr>
        <w:pStyle w:val="ListParagraph"/>
        <w:numPr>
          <w:ilvl w:val="0"/>
          <w:numId w:val="2"/>
        </w:numPr>
        <w:spacing w:after="80"/>
      </w:pPr>
      <w:r>
        <w:t xml:space="preserve">D1 — Total servings to prepare for your chosen event, set up and solved as a proportion from Appendix C's 7% buffer rule.</w:t>
      </w:r>
    </w:p>
    <w:p>
      <w:pPr>
        <w:pStyle w:val="ListParagraph"/>
        <w:numPr>
          <w:ilvl w:val="0"/>
          <w:numId w:val="2"/>
        </w:numPr>
        <w:spacing w:after="80"/>
      </w:pPr>
      <w:r>
        <w:t xml:space="preserve">D2 — Total revenue and total ingredient cost for your chosen event's menu, at the servings count from D1.</w:t>
      </w:r>
    </w:p>
    <w:p>
      <w:pPr>
        <w:pStyle w:val="ListParagraph"/>
        <w:numPr>
          <w:ilvl w:val="0"/>
          <w:numId w:val="2"/>
        </w:numPr>
        <w:spacing w:after="80"/>
      </w:pPr>
      <w:r>
        <w:t xml:space="preserve">D3 — Total fees (event fee and delivery fee) for your chosen event, from Appendix C/D.</w:t>
      </w:r>
    </w:p>
    <w:p>
      <w:pPr>
        <w:pStyle w:val="ListParagraph"/>
        <w:numPr>
          <w:ilvl w:val="0"/>
          <w:numId w:val="2"/>
        </w:numPr>
        <w:spacing w:after="80"/>
      </w:pPr>
      <w:r>
        <w:t xml:space="preserve">D4 — Net profit: revenue minus ingredient cost minus total fees.</w:t>
      </w:r>
    </w:p>
    <w:p>
      <w:pPr>
        <w:pStyle w:val="ListParagraph"/>
        <w:numPr>
          <w:ilvl w:val="0"/>
          <w:numId w:val="2"/>
        </w:numPr>
        <w:spacing w:after="80"/>
      </w:pPr>
      <w:r>
        <w:t xml:space="preserve">D5 — Solve for the minimum number of servings your chosen event's order would need for its net profit alone to cover Victorino's $950 monthly loan payment, using your event's per-serving profit margin (price minus ingredient cost) and its total fees from D3.</w:t>
      </w:r>
    </w:p>
    <w:p>
      <w:pPr>
        <w:pStyle w:val="ListParagraph"/>
        <w:numPr>
          <w:ilvl w:val="0"/>
          <w:numId w:val="2"/>
        </w:numPr>
        <w:spacing w:after="80"/>
      </w:pPr>
      <w:r>
        <w:t xml:space="preserve">D6 — A recommendation comparing both events' net profit, computed the same way, informed by D5's finding.</w:t>
      </w:r>
    </w:p>
    <w:p>
      <w:pPr>
        <w:spacing w:after="12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20"/>
      </w:pPr>
      <w:r>
        <w:rPr>
          <w:i w:val="false"/>
          <w:iCs w:val="false"/>
        </w:rPr>
        <w:t xml:space="preserve">5.) Participate twice or more in the Case Study discussion. If you are absent the day of a discussion post 500 “excellent” words on the questions above.</w:t>
      </w:r>
    </w:p>
    <w:p>
      <w:pPr>
        <w:pStyle w:val="Heading1"/>
        <w:spacing w:after="120" w:before="240"/>
      </w:pPr>
      <w:r>
        <w:rPr>
          <w:b/>
          <w:bCs/>
        </w:rPr>
        <w:t xml:space="preserve">Appendix A: The Two Orders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rPr>
          <w:tblHeader/>
        </w:trPr>
        <w:tc>
          <w:tcPr>
            <w:tcW w:type="dxa" w:w="2000"/>
            <w:shd w:fill="2F5496" w:color="auto" w:val="clear"/>
          </w:tcPr>
          <w:p>
            <w:r>
              <w:rPr>
                <w:b/>
                <w:bCs/>
                <w:color w:val="FFFFFF"/>
              </w:rPr>
              <w:t xml:space="preserve"/>
            </w:r>
          </w:p>
        </w:tc>
        <w:tc>
          <w:tcPr>
            <w:tcW w:type="dxa" w:w="3800"/>
            <w:shd w:fill="2F5496" w:color="auto" w:val="clear"/>
          </w:tcPr>
          <w:p>
            <w:r>
              <w:rPr>
                <w:b/>
                <w:bCs/>
                <w:color w:val="FFFFFF"/>
              </w:rPr>
              <w:t xml:space="preserve">Beal Wedding</w:t>
            </w:r>
          </w:p>
        </w:tc>
        <w:tc>
          <w:tcPr>
            <w:tcW w:type="dxa" w:w="3800"/>
            <w:shd w:fill="2F5496" w:color="auto" w:val="clear"/>
          </w:tcPr>
          <w:p>
            <w:r>
              <w:rPr>
                <w:b/>
                <w:bCs/>
                <w:color w:val="FFFFFF"/>
              </w:rPr>
              <w:t xml:space="preserve">Adobitron Corporate Party</w:t>
            </w:r>
          </w:p>
        </w:tc>
      </w:tr>
      <w:tr>
        <w:tc>
          <w:tcPr>
            <w:tcW w:type="dxa" w:w="2000"/>
            <w:shd w:fill="FFFFFF" w:color="auto" w:val="clear"/>
          </w:tcPr>
          <w:p>
            <w:r>
              <w:t xml:space="preserve">Guest count</w:t>
            </w:r>
          </w:p>
        </w:tc>
        <w:tc>
          <w:tcPr>
            <w:tcW w:type="dxa" w:w="3800"/>
            <w:shd w:fill="FFFFFF" w:color="auto" w:val="clear"/>
          </w:tcPr>
          <w:p>
            <w:r>
              <w:t xml:space="preserve">110</w:t>
            </w:r>
          </w:p>
        </w:tc>
        <w:tc>
          <w:tcPr>
            <w:tcW w:type="dxa" w:w="3800"/>
            <w:shd w:fill="FFFFFF" w:color="auto" w:val="clear"/>
          </w:tcPr>
          <w:p>
            <w:r>
              <w:t xml:space="preserve">100</w:t>
            </w:r>
          </w:p>
        </w:tc>
      </w:tr>
      <w:tr>
        <w:tc>
          <w:tcPr>
            <w:tcW w:type="dxa" w:w="2000"/>
            <w:shd w:fill="F2F2F2" w:color="auto" w:val="clear"/>
          </w:tcPr>
          <w:p>
            <w:r>
              <w:t xml:space="preserve">Menu</w:t>
            </w:r>
          </w:p>
        </w:tc>
        <w:tc>
          <w:tcPr>
            <w:tcW w:type="dxa" w:w="3800"/>
            <w:shd w:fill="F2F2F2" w:color="auto" w:val="clear"/>
          </w:tcPr>
          <w:p>
            <w:r>
              <w:t xml:space="preserve">Little Italy Salad, Four Cheese Lasagna, Tiramisu</w:t>
            </w:r>
          </w:p>
        </w:tc>
        <w:tc>
          <w:tcPr>
            <w:tcW w:type="dxa" w:w="3800"/>
            <w:shd w:fill="F2F2F2" w:color="auto" w:val="clear"/>
          </w:tcPr>
          <w:p>
            <w:r>
              <w:t xml:space="preserve">Caesar Salad, Chicken Parmesan, Butterscotch Budino</w:t>
            </w:r>
          </w:p>
        </w:tc>
      </w:tr>
      <w:tr>
        <w:tc>
          <w:tcPr>
            <w:tcW w:type="dxa" w:w="2000"/>
            <w:shd w:fill="FFFFFF" w:color="auto" w:val="clear"/>
          </w:tcPr>
          <w:p>
            <w:r>
              <w:t xml:space="preserve">Event length</w:t>
            </w:r>
          </w:p>
        </w:tc>
        <w:tc>
          <w:tcPr>
            <w:tcW w:type="dxa" w:w="3800"/>
            <w:shd w:fill="FFFFFF" w:color="auto" w:val="clear"/>
          </w:tcPr>
          <w:p>
            <w:r>
              <w:t xml:space="preserve">3 hours</w:t>
            </w:r>
          </w:p>
        </w:tc>
        <w:tc>
          <w:tcPr>
            <w:tcW w:type="dxa" w:w="3800"/>
            <w:shd w:fill="FFFFFF" w:color="auto" w:val="clear"/>
          </w:tcPr>
          <w:p>
            <w:r>
              <w:t xml:space="preserve">3 hours</w:t>
            </w:r>
          </w:p>
        </w:tc>
      </w:tr>
      <w:tr>
        <w:tc>
          <w:tcPr>
            <w:tcW w:type="dxa" w:w="2000"/>
            <w:shd w:fill="F2F2F2" w:color="auto" w:val="clear"/>
          </w:tcPr>
          <w:p>
            <w:r>
              <w:t xml:space="preserve">Location</w:t>
            </w:r>
          </w:p>
        </w:tc>
        <w:tc>
          <w:tcPr>
            <w:tcW w:type="dxa" w:w="3800"/>
            <w:shd w:fill="F2F2F2" w:color="auto" w:val="clear"/>
          </w:tcPr>
          <w:p>
            <w:r>
              <w:t xml:space="preserve">Millennial Falls Event Center</w:t>
            </w:r>
          </w:p>
        </w:tc>
        <w:tc>
          <w:tcPr>
            <w:tcW w:type="dxa" w:w="3800"/>
            <w:shd w:fill="F2F2F2" w:color="auto" w:val="clear"/>
          </w:tcPr>
          <w:p>
            <w:r>
              <w:t xml:space="preserve">Adobitron HQ</w:t>
            </w:r>
          </w:p>
        </w:tc>
      </w:tr>
    </w:tbl>
    <w:p>
      <w:pPr>
        <w:pStyle w:val="Heading1"/>
        <w:spacing w:after="120" w:before="240"/>
      </w:pPr>
      <w:r>
        <w:rPr>
          <w:b/>
          <w:bCs/>
        </w:rPr>
        <w:t xml:space="preserve">Appendix B: Maggiano's Cucina Menu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100"/>
        <w:gridCol w:w="2900"/>
      </w:tblGrid>
      <w:tr>
        <w:trPr>
          <w:tblHeader/>
        </w:trPr>
        <w:tc>
          <w:tcPr>
            <w:tcW w:type="dxa" w:w="3600"/>
            <w:shd w:fill="2F5496" w:color="auto" w:val="clear"/>
          </w:tcPr>
          <w:p>
            <w:r>
              <w:rPr>
                <w:b/>
                <w:bCs/>
                <w:color w:val="FFFFFF"/>
              </w:rPr>
              <w:t xml:space="preserve">Menu item</w:t>
            </w:r>
          </w:p>
        </w:tc>
        <w:tc>
          <w:tcPr>
            <w:tcW w:type="dxa" w:w="3100"/>
            <w:shd w:fill="2F5496" w:color="auto" w:val="clear"/>
          </w:tcPr>
          <w:p>
            <w:r>
              <w:rPr>
                <w:b/>
                <w:bCs/>
                <w:color w:val="FFFFFF"/>
              </w:rPr>
              <w:t xml:space="preserve">Price / serving</w:t>
            </w:r>
          </w:p>
        </w:tc>
        <w:tc>
          <w:tcPr>
            <w:tcW w:type="dxa" w:w="2900"/>
            <w:shd w:fill="2F5496" w:color="auto" w:val="clear"/>
          </w:tcPr>
          <w:p>
            <w:r>
              <w:rPr>
                <w:b/>
                <w:bCs/>
                <w:color w:val="FFFFFF"/>
              </w:rPr>
              <w:t xml:space="preserve">Ingredient cost / serving</w:t>
            </w:r>
          </w:p>
        </w:tc>
      </w:tr>
      <w:tr>
        <w:tc>
          <w:tcPr>
            <w:tcW w:type="dxa" w:w="3600"/>
            <w:shd w:fill="FFFFFF" w:color="auto" w:val="clear"/>
          </w:tcPr>
          <w:p>
            <w:r>
              <w:t xml:space="preserve">Caesar Salad</w:t>
            </w:r>
          </w:p>
        </w:tc>
        <w:tc>
          <w:tcPr>
            <w:tcW w:type="dxa" w:w="3100"/>
            <w:shd w:fill="FFFFFF" w:color="auto" w:val="clear"/>
          </w:tcPr>
          <w:p>
            <w:r>
              <w:t xml:space="preserve">$5.32</w:t>
            </w:r>
          </w:p>
        </w:tc>
        <w:tc>
          <w:tcPr>
            <w:tcW w:type="dxa" w:w="2900"/>
            <w:shd w:fill="FFFFFF" w:color="auto" w:val="clear"/>
          </w:tcPr>
          <w:p>
            <w:r>
              <w:t xml:space="preserve">$1.43</w:t>
            </w:r>
          </w:p>
        </w:tc>
      </w:tr>
      <w:tr>
        <w:tc>
          <w:tcPr>
            <w:tcW w:type="dxa" w:w="3600"/>
            <w:shd w:fill="F2F2F2" w:color="auto" w:val="clear"/>
          </w:tcPr>
          <w:p>
            <w:r>
              <w:t xml:space="preserve">Little Italy Salad</w:t>
            </w:r>
          </w:p>
        </w:tc>
        <w:tc>
          <w:tcPr>
            <w:tcW w:type="dxa" w:w="3100"/>
            <w:shd w:fill="F2F2F2" w:color="auto" w:val="clear"/>
          </w:tcPr>
          <w:p>
            <w:r>
              <w:t xml:space="preserve">$6.87</w:t>
            </w:r>
          </w:p>
        </w:tc>
        <w:tc>
          <w:tcPr>
            <w:tcW w:type="dxa" w:w="2900"/>
            <w:shd w:fill="F2F2F2" w:color="auto" w:val="clear"/>
          </w:tcPr>
          <w:p>
            <w:r>
              <w:t xml:space="preserve">$3.91</w:t>
            </w:r>
          </w:p>
        </w:tc>
      </w:tr>
      <w:tr>
        <w:tc>
          <w:tcPr>
            <w:tcW w:type="dxa" w:w="3600"/>
            <w:shd w:fill="FFFFFF" w:color="auto" w:val="clear"/>
          </w:tcPr>
          <w:p>
            <w:r>
              <w:t xml:space="preserve">Four Cheese Lasagna</w:t>
            </w:r>
          </w:p>
        </w:tc>
        <w:tc>
          <w:tcPr>
            <w:tcW w:type="dxa" w:w="3100"/>
            <w:shd w:fill="FFFFFF" w:color="auto" w:val="clear"/>
          </w:tcPr>
          <w:p>
            <w:r>
              <w:t xml:space="preserve">$11.17</w:t>
            </w:r>
          </w:p>
        </w:tc>
        <w:tc>
          <w:tcPr>
            <w:tcW w:type="dxa" w:w="2900"/>
            <w:shd w:fill="FFFFFF" w:color="auto" w:val="clear"/>
          </w:tcPr>
          <w:p>
            <w:r>
              <w:t xml:space="preserve">$5.18</w:t>
            </w:r>
          </w:p>
        </w:tc>
      </w:tr>
      <w:tr>
        <w:tc>
          <w:tcPr>
            <w:tcW w:type="dxa" w:w="3600"/>
            <w:shd w:fill="F2F2F2" w:color="auto" w:val="clear"/>
          </w:tcPr>
          <w:p>
            <w:r>
              <w:t xml:space="preserve">Chicken Parmesan</w:t>
            </w:r>
          </w:p>
        </w:tc>
        <w:tc>
          <w:tcPr>
            <w:tcW w:type="dxa" w:w="3100"/>
            <w:shd w:fill="F2F2F2" w:color="auto" w:val="clear"/>
          </w:tcPr>
          <w:p>
            <w:r>
              <w:t xml:space="preserve">$17.47</w:t>
            </w:r>
          </w:p>
        </w:tc>
        <w:tc>
          <w:tcPr>
            <w:tcW w:type="dxa" w:w="2900"/>
            <w:shd w:fill="F2F2F2" w:color="auto" w:val="clear"/>
          </w:tcPr>
          <w:p>
            <w:r>
              <w:t xml:space="preserve">$12.65</w:t>
            </w:r>
          </w:p>
        </w:tc>
      </w:tr>
      <w:tr>
        <w:tc>
          <w:tcPr>
            <w:tcW w:type="dxa" w:w="3600"/>
            <w:shd w:fill="FFFFFF" w:color="auto" w:val="clear"/>
          </w:tcPr>
          <w:p>
            <w:r>
              <w:t xml:space="preserve">Butterscotch Budino</w:t>
            </w:r>
          </w:p>
        </w:tc>
        <w:tc>
          <w:tcPr>
            <w:tcW w:type="dxa" w:w="3100"/>
            <w:shd w:fill="FFFFFF" w:color="auto" w:val="clear"/>
          </w:tcPr>
          <w:p>
            <w:r>
              <w:t xml:space="preserve">$6.51</w:t>
            </w:r>
          </w:p>
        </w:tc>
        <w:tc>
          <w:tcPr>
            <w:tcW w:type="dxa" w:w="2900"/>
            <w:shd w:fill="FFFFFF" w:color="auto" w:val="clear"/>
          </w:tcPr>
          <w:p>
            <w:r>
              <w:t xml:space="preserve">$2.46</w:t>
            </w:r>
          </w:p>
        </w:tc>
      </w:tr>
      <w:tr>
        <w:tc>
          <w:tcPr>
            <w:tcW w:type="dxa" w:w="3600"/>
            <w:shd w:fill="F2F2F2" w:color="auto" w:val="clear"/>
          </w:tcPr>
          <w:p>
            <w:r>
              <w:t xml:space="preserve">Tiramisu</w:t>
            </w:r>
          </w:p>
        </w:tc>
        <w:tc>
          <w:tcPr>
            <w:tcW w:type="dxa" w:w="3100"/>
            <w:shd w:fill="F2F2F2" w:color="auto" w:val="clear"/>
          </w:tcPr>
          <w:p>
            <w:r>
              <w:t xml:space="preserve">$8.96</w:t>
            </w:r>
          </w:p>
        </w:tc>
        <w:tc>
          <w:tcPr>
            <w:tcW w:type="dxa" w:w="2900"/>
            <w:shd w:fill="F2F2F2" w:color="auto" w:val="clear"/>
          </w:tcPr>
          <w:p>
            <w:r>
              <w:t xml:space="preserve">$5.32</w:t>
            </w:r>
          </w:p>
        </w:tc>
      </w:tr>
    </w:tbl>
    <w:p>
      <w:pPr>
        <w:pStyle w:val="Heading1"/>
        <w:spacing w:after="120" w:before="240"/>
      </w:pPr>
      <w:r>
        <w:rPr>
          <w:b/>
          <w:bCs/>
        </w:rPr>
        <w:t xml:space="preserve">Appendix C: Modeling Assumptions</w:t>
      </w:r>
    </w:p>
    <w:p>
      <w:pPr>
        <w:spacing w:after="120"/>
      </w:pPr>
      <w:r>
        <w:rPr>
          <w:b/>
          <w:bCs/>
        </w:rPr>
        <w:t xml:space="preserve">Assumption 1 — The 7% buffer.  </w:t>
      </w:r>
      <w:r>
        <w:t xml:space="preserve">Maggiano's always prepares 7% more servings than the guest count, so a shortfall never happens mid-event. Round up to the next whole serving.</w:t>
      </w:r>
    </w:p>
    <w:p>
      <w:pPr>
        <w:spacing w:after="120"/>
      </w:pPr>
      <w:r>
        <w:rPr>
          <w:b/>
          <w:bCs/>
        </w:rPr>
        <w:t xml:space="preserve">Assumption 2 — Delivery distance.  </w:t>
      </w:r>
      <w:r>
        <w:t xml:space="preserve">Round-trip driving distance from Maggiano's Cucina (Draper, UT) is approximately 8 miles to the Millennial Falls Event Center (same city) and approximately 18 miles to Adobitron HQ (Lehi, UT) — reasonable estimates for the area, not a routed, sourced figure.</w:t>
      </w:r>
    </w:p>
    <w:p>
      <w:pPr>
        <w:pStyle w:val="Heading1"/>
        <w:spacing w:after="120" w:before="240"/>
      </w:pPr>
      <w:r>
        <w:rPr>
          <w:b/>
          <w:bCs/>
        </w:rPr>
        <w:t xml:space="preserve">Appendix D: Fees</w:t>
      </w:r>
    </w:p>
    <w:p>
      <w:pPr>
        <w:spacing w:after="120"/>
      </w:pPr>
      <w:r>
        <w:rPr>
          <w:b/>
          <w:bCs/>
        </w:rPr>
        <w:t xml:space="preserve">Event fee: </w:t>
      </w:r>
      <w:r>
        <w:t xml:space="preserve">$115/hour for Maggiano's Cucina staff on hand, which always includes 1 hour of prep before the event and 1 hour of cleanup after — a 3-hour event is billed for 5 hours total.</w:t>
      </w:r>
    </w:p>
    <w:p>
      <w:pPr>
        <w:spacing w:after="120"/>
      </w:pPr>
      <w:r>
        <w:rPr>
          <w:b/>
          <w:bCs/>
        </w:rPr>
        <w:t xml:space="preserve">Delivery fee: </w:t>
      </w:r>
      <w:r>
        <w:t xml:space="preserve">$1.65/mile, round trip, to and from Maggiano's Cucina.</w:t>
      </w:r>
    </w:p>
    <w:p>
      <w:pPr>
        <w:pStyle w:val="Heading1"/>
        <w:spacing w:after="120" w:before="240"/>
      </w:pPr>
      <w:r>
        <w:rPr>
          <w:b/>
          <w:bCs/>
        </w:rPr>
        <w:t xml:space="preserve">Appendix E: Learn More</w:t>
      </w:r>
    </w:p>
    <w:p>
      <w:pPr>
        <w:spacing w:after="120"/>
      </w:pPr>
      <w:r>
        <w:t xml:space="preserve">Curious about the real world behind this case? These resources go beyond the math standards this case covers.</w:t>
      </w:r>
    </w:p>
    <w:p>
      <w:pPr>
        <w:pStyle w:val="ListParagraph"/>
        <w:numPr>
          <w:ilvl w:val="0"/>
          <w:numId w:val="2"/>
        </w:numPr>
        <w:spacing w:after="80"/>
      </w:pPr>
      <w:hyperlink w:history="1" r:id="rIdsmkkfxhm5hiu14ki31kis">
        <w:r>
          <w:rPr>
            <w:rStyle w:val="Hyperlink"/>
          </w:rPr>
          <w:t xml:space="preserve">How to Calculate Food Cost Percentage (With Examples)</w:t>
        </w:r>
      </w:hyperlink>
      <w:r>
        <w:t xml:space="preserve"> — Lightspeed (a restaurant point-of-sale company) explains the formula real caterers and restaurants use to track ingredient cost against sales.</w:t>
      </w:r>
    </w:p>
    <w:p>
      <w:pPr>
        <w:pStyle w:val="ListParagraph"/>
        <w:numPr>
          <w:ilvl w:val="0"/>
          <w:numId w:val="2"/>
        </w:numPr>
        <w:spacing w:after="80"/>
      </w:pPr>
      <w:hyperlink w:history="1" r:id="rIdy2swvzmnhoocmcbr8nisa">
        <w:r>
          <w:rPr>
            <w:rStyle w:val="Hyperlink"/>
          </w:rPr>
          <w:t xml:space="preserve">How to Source Consistent Catering for Business Events</w:t>
        </w:r>
      </w:hyperlink>
      <w:r>
        <w:t xml:space="preserve"> — Fooda explains why corporate catering clients value a repeatable process, which is part of why they tend to become recurring customers.</w:t>
      </w:r>
    </w:p>
    <w:p>
      <w:pPr>
        <w:pStyle w:val="ListParagraph"/>
        <w:numPr>
          <w:ilvl w:val="0"/>
          <w:numId w:val="2"/>
        </w:numPr>
        <w:spacing w:after="80"/>
      </w:pPr>
      <w:hyperlink w:history="1" r:id="rId_yddsflugfjv9oimeoztk">
        <w:r>
          <w:rPr>
            <w:rStyle w:val="Hyperlink"/>
          </w:rPr>
          <w:t xml:space="preserve">SBA Loans</w:t>
        </w:r>
      </w:hyperlink>
      <w:r>
        <w:t xml:space="preserve"> — the U.S. Small Business Administration's official page on the loan programs that help small business owners like Victorino finance equipment and cover monthly payments.</w:t>
      </w:r>
    </w:p>
    <w:p>
      <w:pPr>
        <w:pStyle w:val="ListParagraph"/>
        <w:numPr>
          <w:ilvl w:val="0"/>
          <w:numId w:val="2"/>
        </w:numPr>
        <w:spacing w:after="80"/>
      </w:pPr>
      <w:hyperlink w:history="1" r:id="rIdft_haouxa6ali7thw5xig">
        <w:r>
          <w:rPr>
            <w:rStyle w:val="Hyperlink"/>
          </w:rPr>
          <w:t xml:space="preserve">Multi-step ratio and percent problems</w:t>
        </w:r>
      </w:hyperlink>
      <w:r>
        <w:t xml:space="preserve"> — Khan Academy's article on using proportional relationships to solve multistep problems involving percents, fees, and increases, the same skills D1–D5 require.</w:t>
      </w:r>
    </w:p>
    <w:p>
      <w:pPr>
        <w:pStyle w:val="Heading1"/>
        <w:spacing w:after="120" w:before="240"/>
      </w:pPr>
      <w:r>
        <w:rPr>
          <w:b/>
          <w:bCs/>
        </w:rPr>
        <w:t xml:space="preserve">Appendix F: “How To…” Math Questions To Research</w:t>
      </w:r>
    </w:p>
    <w:p>
      <w:pPr>
        <w:spacing w:after="120"/>
      </w:pPr>
      <w:r>
        <w:rPr>
          <w:b/>
          <w:bCs/>
        </w:rPr>
        <w:t xml:space="preserve">Vocabulary</w:t>
      </w:r>
    </w:p>
    <w:p>
      <w:pPr>
        <w:spacing w:after="120"/>
      </w:pPr>
      <w:r>
        <w:t xml:space="preserve">Decimal · Percent · Multiplication · Equation · Variable</w:t>
      </w:r>
    </w:p>
    <w:p>
      <w:pPr>
        <w:spacing w:after="120"/>
      </w:pPr>
      <w:r>
        <w:rPr>
          <w:b/>
          <w:bCs/>
        </w:rPr>
        <w:t xml:space="preserve">How to…</w:t>
      </w:r>
    </w:p>
    <w:p>
      <w:pPr>
        <w:pStyle w:val="ListParagraph"/>
        <w:numPr>
          <w:ilvl w:val="0"/>
          <w:numId w:val="2"/>
        </w:numPr>
        <w:spacing w:after="80"/>
      </w:pPr>
      <w:r>
        <w:t xml:space="preserve">How to multiply decimal numbers</w:t>
      </w:r>
    </w:p>
    <w:p>
      <w:pPr>
        <w:pStyle w:val="ListParagraph"/>
        <w:numPr>
          <w:ilvl w:val="0"/>
          <w:numId w:val="2"/>
        </w:numPr>
        <w:spacing w:after="80"/>
      </w:pPr>
      <w:r>
        <w:t xml:space="preserve">How to add decimal numbers</w:t>
      </w:r>
    </w:p>
    <w:p>
      <w:pPr>
        <w:pStyle w:val="ListParagraph"/>
        <w:numPr>
          <w:ilvl w:val="0"/>
          <w:numId w:val="2"/>
        </w:numPr>
        <w:spacing w:after="80"/>
      </w:pPr>
      <w:r>
        <w:t xml:space="preserve">How to subtract decimal numbers</w:t>
      </w:r>
    </w:p>
    <w:p>
      <w:pPr>
        <w:pStyle w:val="ListParagraph"/>
        <w:numPr>
          <w:ilvl w:val="0"/>
          <w:numId w:val="2"/>
        </w:numPr>
        <w:spacing w:after="80"/>
      </w:pPr>
      <w:r>
        <w:t xml:space="preserve">How to find a missing amount in a proportion</w:t>
      </w:r>
    </w:p>
    <w:p>
      <w:pPr>
        <w:pStyle w:val="ListParagraph"/>
        <w:numPr>
          <w:ilvl w:val="0"/>
          <w:numId w:val="2"/>
        </w:numPr>
        <w:spacing w:after="80"/>
      </w:pPr>
      <w:r>
        <w:t xml:space="preserve">How to solve a multi-step equation with a variable on one side</w:t>
      </w:r>
    </w:p>
    <w:p>
      <w:pPr>
        <w:pStyle w:val="ListParagraph"/>
        <w:numPr>
          <w:ilvl w:val="0"/>
          <w:numId w:val="2"/>
        </w:numPr>
        <w:spacing w:after="80"/>
      </w:pPr>
      <w:r>
        <w:t xml:space="preserve">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mkkfxhm5hiu14ki31kis" Type="http://schemas.openxmlformats.org/officeDocument/2006/relationships/hyperlink" Target="https://www.lightspeedhq.com/blog/how-to-calculate-restaurant-food-costs/" TargetMode="External"/><Relationship Id="rIdy2swvzmnhoocmcbr8nisa" Type="http://schemas.openxmlformats.org/officeDocument/2006/relationships/hyperlink" Target="https://www.fooda.com/blog/corporate-catering-for-business-event" TargetMode="External"/><Relationship Id="rId_yddsflugfjv9oimeoztk" Type="http://schemas.openxmlformats.org/officeDocument/2006/relationships/hyperlink" Target="https://www.sba.gov/funding-programs/loans" TargetMode="External"/><Relationship Id="rIdft_haouxa6ali7thw5xig" Type="http://schemas.openxmlformats.org/officeDocument/2006/relationships/hyperlink" Target="https://www.khanacademy.org/math/cc-seventh-grade-math/cc-7th-fractions-decimals/cc-7th-percent-word-problems/a/multi-step-ratio-and-proportion-problem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2026-08-23T04:28:57.335Z</dcterms:created>
  <dcterms:modified xsi:type="dcterms:W3CDTF">2026-08-23T04:28:57.340Z</dcterms:modified>
</cp:coreProperties>
</file>

<file path=docProps/custom.xml><?xml version="1.0" encoding="utf-8"?>
<Properties xmlns="http://schemas.openxmlformats.org/officeDocument/2006/custom-properties" xmlns:vt="http://schemas.openxmlformats.org/officeDocument/2006/docPropsVTypes"/>
</file>