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Facilitator Guide: Catering</w:t>
      </w:r>
    </w:p>
    <w:p>
      <w:pPr>
        <w:spacing w:after="300"/>
        <w:jc w:val="center"/>
      </w:pPr>
      <w:r>
        <w:rPr>
          <w:i/>
          <w:iCs/>
          <w:color w:val="990000"/>
          <w:sz w:val="22"/>
          <w:szCs w:val="22"/>
        </w:rPr>
        <w:t xml:space="preserve">MS | Math | Case Study | 2026-27 | Heroes Academy — Facilitator-Only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FFF4CE" w:color="auto" w:val="clear"/>
            <w:tcMar>
              <w:top w:type="dxa" w:w="150"/>
              <w:left w:type="dxa" w:w="150"/>
              <w:bottom w:type="dxa" w:w="150"/>
              <w:right w:type="dxa" w:w="150"/>
            </w:tcMar>
          </w:tcPr>
          <w:p>
            <w:pPr>
              <w:spacing w:after="80"/>
            </w:pPr>
            <w:r>
              <w:rPr>
                <w:b/>
                <w:bCs/>
              </w:rPr>
              <w:t xml:space="preserve">SPEC §6 Sensitivity Note</w:t>
            </w:r>
          </w:p>
          <w:p>
            <w:pPr>
              <w:spacing w:after="60"/>
            </w:pPr>
            <w:r>
              <w:t xml:space="preserve">None required — the stakes in this case are a small-business decision, not personal illness, death, or hardship.</w:t>
            </w:r>
          </w:p>
        </w:tc>
      </w:tr>
    </w:tbl>
    <w:p>
      <w:pPr>
        <w:spacing w:after="200"/>
      </w:pPr>
      <w:r>
        <w:t xml:space="preserve"/>
      </w:r>
    </w:p>
    <w:p>
      <w:pPr>
        <w:pStyle w:val="Heading1"/>
        <w:spacing w:after="120" w:before="240"/>
      </w:pPr>
      <w:r>
        <w:rPr>
          <w:b/>
          <w:bCs/>
        </w:rPr>
        <w:t xml:space="preserve">Publish-Time Run-of-Show</w:t>
      </w:r>
    </w:p>
    <w:p>
      <w:pPr>
        <w:spacing w:after="120"/>
      </w:pPr>
      <w:r>
        <w:rPr>
          <w:b/>
          <w:bCs/>
        </w:rPr>
        <w:t xml:space="preserve">Case: Catering · Tier: T2 · Band: MS · Studio: Heroes Academy</w:t>
      </w:r>
    </w:p>
    <w:p>
      <w:pPr>
        <w:spacing w:after="120"/>
      </w:pPr>
      <w:r>
        <w:rPr>
          <w:b/>
          <w:bCs/>
        </w:rPr>
        <w:t xml:space="preserve">Argument A — Beal wedding: </w:t>
      </w:r>
      <w:r>
        <w:t xml:space="preserve">The Beal wedding nets $897.42 after every fee — $2,245.89 in gross profit against $575 in event fees and just $13.20 in delivery (the venue is in the same city as the kitchen). Its 118-serving order (110 guests, rounded up from 110 × 1.07 = 117.7) has real, consistent per-serving margins across all three menu items.</w:t>
      </w:r>
    </w:p>
    <w:p>
      <w:pPr>
        <w:spacing w:after="120"/>
      </w:pPr>
      <w:r>
        <w:rPr>
          <w:b/>
          <w:bCs/>
        </w:rPr>
        <w:t xml:space="preserve">Argument B — Adobitron corporate party: </w:t>
      </w:r>
      <w:r>
        <w:t xml:space="preserve">The Adobitron party nets $760.62 — lower, but on a smaller 107-serving order at 100 guests, meaning a comparable margin per guest actually served, with a genuinely more consistent, recurring client type (Background: Maggiano's is already seeing more corporate repeat business than seasonal weddings). A slightly lower one-time profit on an event type that tends to reorder is a real, defensible trade against a slightly higher profit on a type that historically doesn't.</w:t>
      </w:r>
    </w:p>
    <w:p>
      <w:pPr>
        <w:spacing w:after="120"/>
      </w:pPr>
      <w:r>
        <w:rPr>
          <w:b/>
          <w:bCs/>
        </w:rPr>
        <w:t xml:space="preserve">Margin: </w:t>
      </w:r>
      <w:r>
        <w:t xml:space="preserve">17.99% — the real gap between the wedding's $897.42 net profit and the corporate party's $760.62 net profit, computed from Appendix B/C/D's given pricing and fee structure (net profit = revenue − ingredient cost − event fee − delivery fee).</w:t>
      </w:r>
    </w:p>
    <w:p>
      <w:pPr>
        <w:pStyle w:val="Heading2"/>
        <w:spacing w:after="120" w:before="240"/>
      </w:pPr>
      <w:r>
        <w:rPr>
          <w:b/>
          <w:bCs/>
        </w:rPr>
        <w:t xml:space="preserve">The Five Socratic Questions</w:t>
      </w:r>
    </w:p>
    <w:p>
      <w:pPr>
        <w:pStyle w:val="ListParagraph"/>
        <w:numPr>
          <w:ilvl w:val="0"/>
          <w:numId w:val="2"/>
        </w:numPr>
        <w:spacing w:after="80"/>
      </w:pPr>
      <w:r>
        <w:t xml:space="preserve">The wedding nets $897.42 and the corporate party nets $760.62 — a real 17.99% gap. How would you explain to Victorino why that gap is or isn't worth building a recommendation on by itself?</w:t>
      </w:r>
    </w:p>
    <w:p>
      <w:pPr>
        <w:pStyle w:val="ListParagraph"/>
        <w:numPr>
          <w:ilvl w:val="0"/>
          <w:numId w:val="2"/>
        </w:numPr>
        <w:spacing w:after="80"/>
      </w:pPr>
      <w:r>
        <w:t xml:space="preserve">The Background says Maggiano's is seeing more corporate repeat business than seasonal weddings — should that fact change today's decision, or is today's decision only about today's numbers?</w:t>
      </w:r>
    </w:p>
    <w:p>
      <w:pPr>
        <w:pStyle w:val="ListParagraph"/>
        <w:numPr>
          <w:ilvl w:val="0"/>
          <w:numId w:val="2"/>
        </w:numPr>
        <w:spacing w:after="80"/>
      </w:pPr>
      <w:r>
        <w:t xml:space="preserve">If the delivery distance estimate to Adobitron HQ were off by 10 miles, how much would that actually change the corporate party's net profit?</w:t>
      </w:r>
    </w:p>
    <w:p>
      <w:pPr>
        <w:pStyle w:val="ListParagraph"/>
        <w:numPr>
          <w:ilvl w:val="0"/>
          <w:numId w:val="2"/>
        </w:numPr>
        <w:spacing w:after="80"/>
      </w:pPr>
      <w:r>
        <w:t xml:space="preserve">The 7% buffer rounds up to a whole serving — why does that rounding rule matter more at a small guest count than a large one?</w:t>
      </w:r>
    </w:p>
    <w:p>
      <w:pPr>
        <w:pStyle w:val="ListParagraph"/>
        <w:numPr>
          <w:ilvl w:val="0"/>
          <w:numId w:val="2"/>
        </w:numPr>
        <w:spacing w:after="80"/>
      </w:pPr>
      <w:r>
        <w:t xml:space="preserve">After the twist, the wedding's lead grew by over $200 — does that make the decision easier, or does it just make whichever choice you already made feel more or less right?</w:t>
      </w:r>
    </w:p>
    <w:p>
      <w:pPr>
        <w:pStyle w:val="Heading2"/>
        <w:spacing w:after="120" w:before="240"/>
      </w:pPr>
      <w:r>
        <w:rPr>
          <w:b/>
          <w:bCs/>
        </w:rPr>
        <w:t xml:space="preserve">The Trap</w:t>
      </w:r>
    </w:p>
    <w:p>
      <w:pPr>
        <w:spacing w:after="120"/>
      </w:pPr>
      <w:r>
        <w:t xml:space="preserve">A Hero computes net profit, finds the wedding ahead, and stops — never engaging with the Background's own signal that corporate events are becoming Maggiano's more consistent business. The case's real tension is that the bigger number today and the better trend for the business might point different directions. Watch for a pitch that reports one number and calls the case closed.</w:t>
      </w:r>
    </w:p>
    <w:p>
      <w:pPr>
        <w:pStyle w:val="Heading2"/>
        <w:spacing w:after="120" w:before="240"/>
      </w:pPr>
      <w:r>
        <w:rPr>
          <w:b/>
          <w:bCs/>
        </w:rPr>
        <w:t xml:space="preserve">What a Strong Defense Sounds Like</w:t>
      </w:r>
    </w:p>
    <w:p>
      <w:pPr>
        <w:spacing w:after="120"/>
      </w:pPr>
      <w:r>
        <w:t xml:space="preserve">A strong defense does not just report a net-profit number and stop. It names the real tradeoff — the wedding's bigger one-time profit against the corporate party's recurring-client trend — and states which side of that tradeoff it is choosing and why. It engages D5's loan-coverage finding (neither event alone covers the $950 payment as booked) instead of ignoring it, and if the room debates the twist, it explains whether the extra 15 guests actually changes the reasoning or only the size of a lead that was already there. The weakest pitches stop the moment one number is bigger than the other; the strongest ones explain why that number is, or isn't, the whole story.</w:t>
      </w:r>
    </w:p>
    <w:p>
      <w:pPr>
        <w:pStyle w:val="Heading2"/>
        <w:spacing w:after="120" w:before="240"/>
      </w:pPr>
      <w:r>
        <w:rPr>
          <w:b/>
          <w:bCs/>
        </w:rPr>
        <w:t xml:space="preserve">Skills This Case Exercises</w:t>
      </w:r>
    </w:p>
    <w:p>
      <w:pPr>
        <w:spacing w:after="120"/>
      </w:pPr>
      <w:r>
        <w:t xml:space="preserve">Decimal · Percent · Multiplication · Equation · Variable · How to multiply decimal numbers · How to add decimal numbers · How to subtract decimal numbers · How to find a missing amount in a proportion · How to solve a multi-step equation with a variable on one side · How to compare two or more values</w:t>
      </w:r>
    </w:p>
    <w:p>
      <w:pPr>
        <w:pBdr>
          <w:bottom w:val="single" w:color="999999" w:sz="6" w:space="4"/>
        </w:pBdr>
        <w:spacing w:after="200" w:before="100"/>
      </w:pPr>
      <w:r>
        <w:t xml:space="preserve"/>
      </w:r>
    </w:p>
    <w:p>
      <w:pPr>
        <w:pStyle w:val="Heading1"/>
        <w:spacing w:after="120" w:before="240"/>
      </w:pPr>
      <w:r>
        <w:rPr>
          <w:b/>
          <w:bCs/>
        </w:rPr>
        <w:t xml:space="preserve">Guide Notes: Catering (full facilitator narrative)</w:t>
      </w:r>
    </w:p>
    <w:p>
      <w:pPr>
        <w:spacing w:after="120"/>
      </w:pPr>
      <w:r>
        <w:t xml:space="preserve">Legacy conversion, 2026-08-01, reformatted from the original 2021 Guide Notes (source/Y1/Session 4/Catering/Guide Notes.docx) onto the current 11-anchor ladder. Note for the facilitator: “Maggiano's Cucina” coincidentally resembles the real national chain Maggiano's Little Italy — this case's business, founder, and numbers are entirely invented and have no connection to that real company; worth knowing in case a Hero asks.</w:t>
      </w:r>
    </w:p>
    <w:p>
      <w:pPr>
        <w:pStyle w:val="Heading2"/>
        <w:spacing w:after="120" w:before="240"/>
      </w:pPr>
      <w:r>
        <w:rPr>
          <w:b/>
          <w:bCs/>
        </w:rPr>
        <w:t xml:space="preserve">Intro</w:t>
      </w:r>
    </w:p>
    <w:p>
      <w:pPr>
        <w:spacing w:after="120"/>
      </w:pPr>
      <w:r>
        <w:t xml:space="preserve">Frame the format: this is a real small-business decision with real money on both sides, not a worksheet. Name the opener — “Two clients, one crew, one day. Victorino has to say no to one of them by tonight.”</w:t>
      </w:r>
    </w:p>
    <w:p>
      <w:pPr>
        <w:pStyle w:val="Heading2"/>
        <w:spacing w:after="120" w:before="240"/>
      </w:pPr>
      <w:r>
        <w:rPr>
          <w:b/>
          <w:bCs/>
        </w:rPr>
        <w:t xml:space="preserve">Launch</w:t>
      </w:r>
    </w:p>
    <w:p>
      <w:pPr>
        <w:spacing w:after="120"/>
      </w:pPr>
      <w:r>
        <w:t xml:space="preserve">Read both events' guest counts and menus aloud (Appendix A), with no dollar figures computed yet. Ask: “Just from the guest counts and menus, which event do you think makes more money?” Do not confirm or correct answers here.</w:t>
      </w:r>
    </w:p>
    <w:p>
      <w:pPr>
        <w:pStyle w:val="Heading2"/>
        <w:spacing w:after="120" w:before="240"/>
      </w:pPr>
      <w:r>
        <w:rPr>
          <w:b/>
          <w:bCs/>
        </w:rPr>
        <w:t xml:space="preserve">Anchor 1 — Take a stand and vote</w:t>
      </w:r>
    </w:p>
    <w:p>
      <w:pPr>
        <w:spacing w:after="120"/>
      </w:pPr>
      <w:r>
        <w:rPr>
          <w:b/>
          <w:bCs/>
        </w:rPr>
        <w:t xml:space="preserve">TAKE A STAND AND VOTE. No reasoning yet, just commit.</w:t>
      </w:r>
    </w:p>
    <w:p>
      <w:pPr>
        <w:spacing w:after="120"/>
      </w:pPr>
      <w:r>
        <w:t xml:space="preserve">“Who takes the Beal wedding? Who takes the Adobitron party?” Show of hands, no discussion. Record the count — Close will ask them to vote again.</w:t>
      </w:r>
    </w:p>
    <w:p>
      <w:pPr>
        <w:pStyle w:val="Heading2"/>
        <w:spacing w:after="120" w:before="240"/>
      </w:pPr>
      <w:r>
        <w:rPr>
          <w:b/>
          <w:bCs/>
        </w:rPr>
        <w:t xml:space="preserve">Anchor 2 — What is the problem we're solving?</w:t>
      </w:r>
    </w:p>
    <w:p>
      <w:pPr>
        <w:spacing w:after="120"/>
      </w:pPr>
      <w:r>
        <w:rPr>
          <w:b/>
          <w:bCs/>
        </w:rPr>
        <w:t xml:space="preserve">“Is this the right question?” · “Is it just as simple as which job pays more, or is there something else to consider?”</w:t>
      </w:r>
    </w:p>
    <w:p>
      <w:pPr>
        <w:spacing w:after="120"/>
      </w:pPr>
      <w:r>
        <w:t xml:space="preserve">Let confusion grow here, deliberately — this is the original Guide Notes' own move, preserved. Push on the Background's own hint: Maggiano's is seeing more repeat corporate business than seasonal weddings. Is “which pays more today” the only real question, or is there a second one about which client type is worth cultivating?</w:t>
      </w:r>
    </w:p>
    <w:p>
      <w:pPr>
        <w:pStyle w:val="Heading2"/>
        <w:spacing w:after="120" w:before="240"/>
      </w:pPr>
      <w:r>
        <w:rPr>
          <w:b/>
          <w:bCs/>
        </w:rPr>
        <w:t xml:space="preserve">Anchor 3 — What is the process?</w:t>
      </w:r>
    </w:p>
    <w:p>
      <w:pPr>
        <w:spacing w:after="120"/>
      </w:pPr>
      <w:r>
        <w:rPr>
          <w:b/>
          <w:bCs/>
        </w:rPr>
        <w:t xml:space="preserve">“If we go through this process and find the data, how will we decide?”</w:t>
      </w:r>
    </w:p>
    <w:p>
      <w:pPr>
        <w:spacing w:after="120"/>
      </w:pPr>
      <w:r>
        <w:t xml:space="preserve">Once the room has a working definition of the tradeoff, ask them to name the actual steps: find the buffered serving count (a proportion), total the revenue and cost, total the fees, subtract to get net profit. Re-ask: “Do we agree on that process?”</w:t>
      </w:r>
    </w:p>
    <w:p>
      <w:pPr>
        <w:pStyle w:val="Heading2"/>
        <w:spacing w:after="120" w:before="240"/>
      </w:pPr>
      <w:r>
        <w:rPr>
          <w:b/>
          <w:bCs/>
        </w:rPr>
        <w:t xml:space="preserve">Anchor 4 — What don't we know?</w:t>
      </w:r>
    </w:p>
    <w:p>
      <w:pPr>
        <w:spacing w:after="120"/>
      </w:pPr>
      <w:r>
        <w:rPr>
          <w:b/>
          <w:bCs/>
        </w:rPr>
        <w:t xml:space="preserve">“Do we need to make assumptions? Which ones are critical?”</w:t>
      </w:r>
    </w:p>
    <w:p>
      <w:pPr>
        <w:spacing w:after="120"/>
      </w:pPr>
      <w:r>
        <w:t xml:space="preserve">Surface Appendix C's two real conventions: the 7% buffer rounds up to a whole serving, and the delivery mileage is a reasonable estimate, not a routed figure. Ask which one actually changes the final answer if it's off (mileage barely moves net profit; the buffer's rounding rule does more).</w:t>
      </w:r>
    </w:p>
    <w:p>
      <w:pPr>
        <w:pStyle w:val="Heading2"/>
        <w:spacing w:after="120" w:before="240"/>
      </w:pPr>
      <w:r>
        <w:rPr>
          <w:b/>
          <w:bCs/>
        </w:rPr>
        <w:t xml:space="preserve">Data Deep Dive</w:t>
      </w:r>
    </w:p>
    <w:p>
      <w:pPr>
        <w:spacing w:after="120"/>
      </w:pPr>
      <w:r>
        <w:t xml:space="preserve">Now, and only now, the numbers. Walk D1's proportion setup and D2-D4's revenue/cost/fee chain together as a room, cold-calling for the proportion step specifically — this is where a Hero who just multiplied 1.07 × guests without setting up the proportion will get the same number but miss the skill the case is actually asking for.</w:t>
      </w:r>
    </w:p>
    <w:p>
      <w:pPr>
        <w:spacing w:after="120"/>
      </w:pPr>
      <w:r>
        <w:rPr>
          <w:b/>
          <w:bCs/>
        </w:rPr>
        <w:t xml:space="preserve">D5, once D4 is solid. </w:t>
      </w:r>
      <w:r>
        <w:t xml:space="preserve">Victorino's real $950 monthly loan payment (Background) is a genuine bar to clear — does either event's real booked profit actually cover it? Cold-call for isolating servings on one side of margin_per_serving × s − fees = 950. The real answer is worth sitting with either way: the wedding, as actually booked (118 servings), needs 123 to clear the loan and falls $52.58 short; the corporate party, as actually booked (107 servings), needs 122 and falls $189.38 short. Neither event alone covers the loan payment as booked. Ask: “Does that change how confident anyone is in their pick, or does one event's shortfall matter less than the other's?”</w:t>
      </w:r>
    </w:p>
    <w:p>
      <w:pPr>
        <w:pStyle w:val="Heading2"/>
        <w:spacing w:after="120" w:before="240"/>
      </w:pPr>
      <w:r>
        <w:rPr>
          <w:b/>
          <w:bCs/>
        </w:rPr>
        <w:t xml:space="preserve">Twist — drop this at ~15 minutes into the discussion</w:t>
      </w:r>
    </w:p>
    <w:p>
      <w:pPr>
        <w:spacing w:after="120"/>
      </w:pPr>
      <w:r>
        <w:t xml:space="preserve">Deliver slowly, with pauses:</w:t>
      </w:r>
    </w:p>
    <w:p>
      <w:pPr>
        <w:spacing w:after="120"/>
      </w:pPr>
      <w:r>
        <w:rPr>
          <w:i/>
          <w:iCs/>
        </w:rPr>
        <w:t xml:space="preserve">“Whichever event you picked, the client just called. Fifteen more guests are coming to the Beal wedding — 125 total now, not 110.”</w:t>
      </w:r>
    </w:p>
    <w:p>
      <w:pPr>
        <w:spacing w:after="120"/>
      </w:pPr>
      <w:r>
        <w:rPr>
          <w:b/>
          <w:bCs/>
        </w:rPr>
        <w:t xml:space="preserve">Facilitator-only: what the numbers actually do (case.json.derived). </w:t>
      </w:r>
      <w:r>
        <w:t xml:space="preserve">The wedding's net profit rises from $897.42 to $1,098.86 with the extra 15 guests (134 buffered servings instead of 118). The twist does not flip the verdict — the wedding was already ahead, and this widens the gap. A Hero who recommended the corporate party now has a real, harder case to make: the gap they were already arguing against just grew by over $200. Ask: “Does this change your recommendation, or just make you defend it more carefully?”</w:t>
      </w:r>
    </w:p>
    <w:p>
      <w:pPr>
        <w:pStyle w:val="Heading2"/>
        <w:spacing w:after="120" w:before="240"/>
      </w:pPr>
      <w:r>
        <w:rPr>
          <w:b/>
          <w:bCs/>
        </w:rPr>
        <w:t xml:space="preserve">Immediate recommit</w:t>
      </w:r>
    </w:p>
    <w:p>
      <w:pPr>
        <w:spacing w:after="120"/>
      </w:pPr>
      <w:r>
        <w:t xml:space="preserve">Re-vote immediately. Ask by name: “Did the extra 15 guests change anyone's answer? If you were already on the wedding, does this make your case stronger or does it not actually matter to your reasoning?”</w:t>
      </w:r>
    </w:p>
    <w:p>
      <w:pPr>
        <w:pStyle w:val="Heading2"/>
        <w:spacing w:after="120" w:before="240"/>
      </w:pPr>
      <w:r>
        <w:rPr>
          <w:b/>
          <w:bCs/>
        </w:rPr>
        <w:t xml:space="preserve">Deep conflict — three threads (20-30 min)</w:t>
      </w:r>
    </w:p>
    <w:p>
      <w:pPr>
        <w:pStyle w:val="ListParagraph"/>
        <w:numPr>
          <w:ilvl w:val="0"/>
          <w:numId w:val="2"/>
        </w:numPr>
        <w:spacing w:after="80"/>
      </w:pPr>
      <w:r>
        <w:t xml:space="preserve">One-time profit vs. recurring client. The wedding profits more today; the corporate party represents the client type Maggiano's is actually growing toward. Is a bigger one-time number a good reason to walk away from the trend the business itself is pointing at?</w:t>
      </w:r>
    </w:p>
    <w:p>
      <w:pPr>
        <w:pStyle w:val="ListParagraph"/>
        <w:numPr>
          <w:ilvl w:val="0"/>
          <w:numId w:val="2"/>
        </w:numPr>
        <w:spacing w:after="80"/>
      </w:pPr>
      <w:r>
        <w:t xml:space="preserve">Whose risk is bigger. A 15-guest last-minute change is easy to absorb on paper — is it equally easy for a two-person kitchen to actually execute?</w:t>
      </w:r>
    </w:p>
    <w:p>
      <w:pPr>
        <w:pStyle w:val="ListParagraph"/>
        <w:numPr>
          <w:ilvl w:val="0"/>
          <w:numId w:val="2"/>
        </w:numPr>
        <w:spacing w:after="80"/>
      </w:pPr>
      <w:r>
        <w:t xml:space="preserve">What “the numbers work” really means. Net profit is one number. Reputation, referrals, and which client type Victorino wants more of next year aren't in the spreadsheet at all — should they be?</w:t>
      </w:r>
    </w:p>
    <w:p>
      <w:pPr>
        <w:pStyle w:val="Heading2"/>
        <w:spacing w:after="120" w:before="240"/>
      </w:pPr>
      <w:r>
        <w:rPr>
          <w:b/>
          <w:bCs/>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2F5496" w:color="auto" w:val="clear"/>
          </w:tcPr>
          <w:p>
            <w:r>
              <w:rPr>
                <w:b/>
                <w:bCs/>
                <w:color w:val="FFFFFF"/>
              </w:rPr>
              <w:t xml:space="preserve">Time</w:t>
            </w:r>
          </w:p>
        </w:tc>
        <w:tc>
          <w:tcPr>
            <w:tcW w:type="dxa" w:w="7360"/>
            <w:shd w:fill="2F5496" w:color="auto" w:val="clear"/>
          </w:tcPr>
          <w:p>
            <w:r>
              <w:rPr>
                <w:b/>
                <w:bCs/>
                <w:color w:val="FFFFFF"/>
              </w:rPr>
              <w:t xml:space="preserve">Move</w:t>
            </w:r>
          </w:p>
        </w:tc>
      </w:tr>
      <w:tr>
        <w:tc>
          <w:tcPr>
            <w:tcW w:type="dxa" w:w="2000"/>
            <w:shd w:fill="FFFFFF" w:color="auto" w:val="clear"/>
          </w:tcPr>
          <w:p>
            <w:r>
              <w:t xml:space="preserve">0:00–3:00</w:t>
            </w:r>
          </w:p>
        </w:tc>
        <w:tc>
          <w:tcPr>
            <w:tcW w:type="dxa" w:w="7360"/>
            <w:shd w:fill="FFFFFF" w:color="auto" w:val="clear"/>
          </w:tcPr>
          <w:p>
            <w:r>
              <w:t xml:space="preserve">Launch — read both orders aloud, cold-call for a gut read, no dollar figures yet</w:t>
            </w:r>
          </w:p>
        </w:tc>
      </w:tr>
      <w:tr>
        <w:tc>
          <w:tcPr>
            <w:tcW w:type="dxa" w:w="2000"/>
            <w:shd w:fill="F2F2F2" w:color="auto" w:val="clear"/>
          </w:tcPr>
          <w:p>
            <w:r>
              <w:t xml:space="preserve">3:00–10:00</w:t>
            </w:r>
          </w:p>
        </w:tc>
        <w:tc>
          <w:tcPr>
            <w:tcW w:type="dxa" w:w="7360"/>
            <w:shd w:fill="F2F2F2" w:color="auto" w:val="clear"/>
          </w:tcPr>
          <w:p>
            <w:r>
              <w:t xml:space="preserve">Position defense — “Convince us your event is the better business decision, not just the bigger number”</w:t>
            </w:r>
          </w:p>
        </w:tc>
      </w:tr>
      <w:tr>
        <w:tc>
          <w:tcPr>
            <w:tcW w:type="dxa" w:w="2000"/>
            <w:shd w:fill="FFFFFF" w:color="auto" w:val="clear"/>
          </w:tcPr>
          <w:p>
            <w:r>
              <w:t xml:space="preserve">10:00–15:00</w:t>
            </w:r>
          </w:p>
        </w:tc>
        <w:tc>
          <w:tcPr>
            <w:tcW w:type="dxa" w:w="7360"/>
            <w:shd w:fill="FFFFFF" w:color="auto" w:val="clear"/>
          </w:tcPr>
          <w:p>
            <w:r>
              <w:t xml:space="preserve">Pressure-test the models — “Whose net-profit number is doing the most work?”</w:t>
            </w:r>
          </w:p>
        </w:tc>
      </w:tr>
      <w:tr>
        <w:tc>
          <w:tcPr>
            <w:tcW w:type="dxa" w:w="2000"/>
            <w:shd w:fill="F2F2F2" w:color="auto" w:val="clear"/>
          </w:tcPr>
          <w:p>
            <w:r>
              <w:t xml:space="preserve">15:00</w:t>
            </w:r>
          </w:p>
        </w:tc>
        <w:tc>
          <w:tcPr>
            <w:tcW w:type="dxa" w:w="7360"/>
            <w:shd w:fill="F2F2F2" w:color="auto" w:val="clear"/>
          </w:tcPr>
          <w:p>
            <w:r>
              <w:t xml:space="preserve">DROP THE TWIST — 15 more wedding guests, delivered slowly</w:t>
            </w:r>
          </w:p>
        </w:tc>
      </w:tr>
      <w:tr>
        <w:tc>
          <w:tcPr>
            <w:tcW w:type="dxa" w:w="2000"/>
            <w:shd w:fill="FFFFFF" w:color="auto" w:val="clear"/>
          </w:tcPr>
          <w:p>
            <w:r>
              <w:t xml:space="preserve">15:00–20:00</w:t>
            </w:r>
          </w:p>
        </w:tc>
        <w:tc>
          <w:tcPr>
            <w:tcW w:type="dxa" w:w="7360"/>
            <w:shd w:fill="FFFFFF" w:color="auto" w:val="clear"/>
          </w:tcPr>
          <w:p>
            <w:r>
              <w:t xml:space="preserve">Immediate recommit — did anyone's answer actually change</w:t>
            </w:r>
          </w:p>
        </w:tc>
      </w:tr>
      <w:tr>
        <w:tc>
          <w:tcPr>
            <w:tcW w:type="dxa" w:w="2000"/>
            <w:shd w:fill="F2F2F2" w:color="auto" w:val="clear"/>
          </w:tcPr>
          <w:p>
            <w:r>
              <w:t xml:space="preserve">20:00–30:00</w:t>
            </w:r>
          </w:p>
        </w:tc>
        <w:tc>
          <w:tcPr>
            <w:tcW w:type="dxa" w:w="7360"/>
            <w:shd w:fill="F2F2F2" w:color="auto" w:val="clear"/>
          </w:tcPr>
          <w:p>
            <w:r>
              <w:t xml:space="preserve">Threaded deep conflict (one-time vs. recurring; whose risk; what the numbers don't capture)</w:t>
            </w:r>
          </w:p>
        </w:tc>
      </w:tr>
      <w:tr>
        <w:tc>
          <w:tcPr>
            <w:tcW w:type="dxa" w:w="2000"/>
            <w:shd w:fill="FFFFFF" w:color="auto" w:val="clear"/>
          </w:tcPr>
          <w:p>
            <w:r>
              <w:t xml:space="preserve">30:00–45:00</w:t>
            </w:r>
          </w:p>
        </w:tc>
        <w:tc>
          <w:tcPr>
            <w:tcW w:type="dxa" w:w="7360"/>
            <w:shd w:fill="FFFFFF" w:color="auto" w:val="clear"/>
          </w:tcPr>
          <w:p>
            <w:r>
              <w:t xml:space="preserve">Close, re-vote, reflection, lessons learned</w:t>
            </w:r>
          </w:p>
        </w:tc>
      </w:tr>
    </w:tbl>
    <w:p>
      <w:pPr>
        <w:pStyle w:val="Heading2"/>
        <w:spacing w:after="120" w:before="240"/>
      </w:pPr>
      <w:r>
        <w:rPr>
          <w:b/>
          <w:bCs/>
        </w:rPr>
        <w:t xml:space="preserve">Close</w:t>
      </w:r>
    </w:p>
    <w:p>
      <w:pPr>
        <w:spacing w:after="120"/>
      </w:pPr>
      <w:r>
        <w:t xml:space="preserve">VOTE AGAIN. “Did we ask the right question at the start?” “What math was new to you tonight, and how did you actually attack it?” Compare the closing vote to Anchor 1's — a room that didn't move at all after the twist is worth asking about directly: did the extra guests not matter, or did the room already expect the wedding's lead to hold?</w:t>
      </w:r>
    </w:p>
    <w:p>
      <w:pPr>
        <w:pStyle w:val="Heading2"/>
        <w:spacing w:after="120" w:before="240"/>
      </w:pPr>
      <w:r>
        <w:rPr>
          <w:b/>
          <w:bCs/>
        </w:rPr>
        <w:t xml:space="preserve">Lessons Learned</w:t>
      </w:r>
    </w:p>
    <w:p>
      <w:pPr>
        <w:spacing w:after="120"/>
      </w:pPr>
      <w:r>
        <w:rPr>
          <w:i/>
          <w:iCs/>
        </w:rPr>
        <w:t xml:space="preserve">(To be filled after the first real run — placeholder structure only.)</w:t>
      </w:r>
    </w:p>
    <w:p>
      <w:pPr>
        <w:pStyle w:val="ListParagraph"/>
        <w:numPr>
          <w:ilvl w:val="0"/>
          <w:numId w:val="2"/>
        </w:numPr>
        <w:spacing w:after="80"/>
      </w:pPr>
      <w:r>
        <w:t xml:space="preserve">Whether the proportion setup (D1) or the multi-step fee subtraction (D4) was the place most Heroes actually got stuck.</w:t>
      </w:r>
    </w:p>
    <w:p>
      <w:pPr>
        <w:pStyle w:val="ListParagraph"/>
        <w:numPr>
          <w:ilvl w:val="0"/>
          <w:numId w:val="2"/>
        </w:numPr>
        <w:spacing w:after="80"/>
      </w:pPr>
      <w:r>
        <w:t xml:space="preserve">Whether Heroes engaged with the recurring-client-type argument on their own or needed Anchor 2's prompt to surface it.</w:t>
      </w:r>
    </w:p>
    <w:p>
      <w:pPr>
        <w:pStyle w:val="ListParagraph"/>
        <w:numPr>
          <w:ilvl w:val="0"/>
          <w:numId w:val="2"/>
        </w:numPr>
        <w:spacing w:after="80"/>
      </w:pPr>
      <w:r>
        <w:t xml:space="preserve">Whether the +15-guest twist felt like a meaningful reveal or an expected, minor adjustment.</w:t>
      </w:r>
    </w:p>
    <w:p>
      <w:pPr>
        <w:spacing w:after="120"/>
      </w:pPr>
      <w:r>
        <w:rPr>
          <w:b/>
          <w:bCs/>
        </w:rPr>
        <w:t xml:space="preserve">A real, disclosed instability, for a facilitator who gets pushed on it: </w:t>
      </w:r>
      <w:r>
        <w:t xml:space="preserve">Appendix C, Assumption 2's delivery-mileage estimates are not routed or sourced — that is stated plainly in the case text. If a Hero (or the room) asks “what if the corporate mileage estimate is off,” the honest answer is that it genuinely matters: flexing corporate_miles (18 miles, Adobitron HQ) up by 50% (to 27 miles) pushes the case's own margin from 17.99% to 20.3%, past this project's 20% balance cap — wedding_miles and the 7% buffer rate both stay stable across the same ±50% range, so this is specific to the corporate estimate, not the case's math in general. There is no more-precise real number to look up here — Adobitron is a fictional company invented for this case, so there is no real address to route a distance against. This is disclosed, not eliminated: it carries a Category-F case.json.sensitivity_disclosure[] entry. If pressed, tell the room the honest thing — the wedding's real lead over the corporate party (17.99%, before any twist) is genuine but not enormous, and part of why it's not enormous is a delivery-distance estimate that could reasonably have been drawn a little differently.</w:t>
      </w:r>
    </w:p>
    <w:p>
      <w:pPr>
        <w:pStyle w:val="Heading2"/>
        <w:spacing w:after="120" w:before="240"/>
      </w:pPr>
      <w:r>
        <w:rPr>
          <w:b/>
          <w:bCs/>
        </w:rPr>
        <w:t xml:space="preserve">Standards Touched On</w:t>
      </w:r>
    </w:p>
    <w:p>
      <w:pPr>
        <w:spacing w:after="120"/>
      </w:pPr>
      <w:r>
        <w:t xml:space="preserve">Decimal · Percent · Multiplication · Equation · Variable · How to multiply decimal numbers · How to add decimal numbers · How to subtract decimal numbers · How to find a missing amount in a proportion · How to solve a multi-step equation with a variable on one side ·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2026-08-23T04:31:20.205Z</dcterms:created>
  <dcterms:modified xsi:type="dcterms:W3CDTF">2026-08-23T04:31:20.211Z</dcterms:modified>
</cp:coreProperties>
</file>

<file path=docProps/custom.xml><?xml version="1.0" encoding="utf-8"?>
<Properties xmlns="http://schemas.openxmlformats.org/officeDocument/2006/custom-properties" xmlns:vt="http://schemas.openxmlformats.org/officeDocument/2006/docPropsVTypes"/>
</file>