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FACILITATOR ONLY — Nuclear Waste</w:t>
      </w:r>
    </w:p>
    <w:p>
      <w:pPr>
        <w:spacing w:after="300"/>
      </w:pPr>
      <w:r>
        <w:rPr>
          <w:i/>
          <w:iCs/>
        </w:rPr>
        <w:t xml:space="preserve">MS | Math | Facilitator Guide | 2026-27 | Heroes Academy</w:t>
      </w:r>
    </w:p>
    <w:tbl>
      <w:tblPr>
        <w:tblW w:type="dxa" w:w="9350"/>
        <w:tblBorders>
          <w:top w:val="single" w:color="444444" w:sz="12"/>
          <w:left w:val="single" w:color="444444" w:sz="12"/>
          <w:bottom w:val="single" w:color="444444" w:sz="12"/>
          <w:right w:val="single" w:color="444444" w:sz="12"/>
          <w:insideH w:val="none" w:color="FFFFFF" w:sz="0"/>
          <w:insideV w:val="none" w:color="FFFFFF" w:sz="0"/>
        </w:tblBorders>
      </w:tblPr>
      <w:tblGrid>
        <w:gridCol w:w="9350"/>
      </w:tblGrid>
      <w:tr>
        <w:tc>
          <w:tcPr>
            <w:tcW w:type="dxa" w:w="9350"/>
            <w:shd w:fill="F2F2F2" w:val="clear"/>
            <w:tcMar>
              <w:top w:type="dxa" w:w="150"/>
              <w:left w:type="dxa" w:w="200"/>
              <w:bottom w:type="dxa" w:w="150"/>
              <w:right w:type="dxa" w:w="200"/>
            </w:tcMar>
          </w:tcPr>
          <w:p>
            <w:pPr>
              <w:spacing w:after="100"/>
            </w:pPr>
            <w:r>
              <w:rPr>
                <w:b/>
                <w:bCs/>
              </w:rPr>
              <w:t xml:space="preserve">Facilitator note — sensitivity (SPEC §6)</w:t>
            </w:r>
          </w:p>
          <w:p>
            <w:pPr>
              <w:spacing w:after="60"/>
            </w:pPr>
            <w:r>
              <w:t xml:space="preserve">Cases touching public-health-and-safety regulatory decisions (here, radioactive waste storage) get a one-line note per SPEC §6, even without a literal trigger word — the real-world stakes are serious, though the case's own math never asks students to optimize casualty counts or treat harm as an abstract quantity to minimize.</w:t>
            </w:r>
          </w:p>
        </w:tc>
      </w:tr>
    </w:tbl>
    <w:p>
      <w:pPr>
        <w:spacing w:after="200"/>
      </w:pPr>
    </w:p>
    <w:p>
      <w:pPr>
        <w:pStyle w:val="Heading1"/>
        <w:spacing w:after="150" w:before="300"/>
      </w:pPr>
      <w:r>
        <w:rPr>
          <w:b/>
          <w:bCs/>
        </w:rPr>
        <w:t xml:space="preserve">Publish-Time Run-of-Show</w:t>
      </w:r>
    </w:p>
    <w:p>
      <w:pPr>
        <w:pStyle w:val="Heading2"/>
        <w:spacing w:after="120" w:before="240"/>
      </w:pPr>
      <w:r>
        <w:rPr>
          <w:b/>
          <w:bCs/>
        </w:rPr>
        <w:t xml:space="preserve">The two arguments and the margin</w:t>
      </w:r>
    </w:p>
    <w:p>
      <w:pPr>
        <w:spacing w:after="120"/>
      </w:pPr>
      <w:r>
        <w:t xml:space="preserve">Graded primary metric: safety rating (out of 5) — the commission's own stated core mandate.</w:t>
      </w:r>
    </w:p>
    <w:p>
      <w:pPr>
        <w:spacing w:after="120"/>
      </w:pPr>
      <w:r>
        <w:rPr>
          <w:b/>
          <w:bCs/>
        </w:rPr>
        <w:t xml:space="preserve">Argument A — Isolation International: </w:t>
      </w:r>
      <w:r>
        <w:t xml:space="preserve">4.8/5 safety rating, 6.67% higher than NuStorage's 4.5. Operating since 1984 (four decades), above-ground and inland, no proximity to a Great Lake. For a commission whose entire mandate is public safety, not cost minimization, the highest-rated bidder is a real, defensible default.</w:t>
      </w:r>
    </w:p>
    <w:p>
      <w:pPr>
        <w:spacing w:after="120"/>
      </w:pPr>
      <w:r>
        <w:rPr>
          <w:b/>
          <w:bCs/>
        </w:rPr>
        <w:t xml:space="preserve">Argument B — NuStorage, LLC: </w:t>
      </w:r>
      <w:r>
        <w:t xml:space="preserve">Costs dramatically less — $117,424.08 to transport and store all 250,000 rods for one year, against Isolation's $432,527.55 (a 268% gap). NuStorage's 4.5 safety rating is still excellent by any reasonable standard, and the below-ground design is a real, disclosed engineering choice meant to contain a leak, not just a proximity risk to weigh against it.</w:t>
      </w:r>
    </w:p>
    <w:p>
      <w:pPr>
        <w:spacing w:after="120"/>
      </w:pPr>
      <w:r>
        <w:rPr>
          <w:b/>
          <w:bCs/>
        </w:rPr>
        <w:t xml:space="preserve">Margin: </w:t>
      </w:r>
      <w:r>
        <w:t xml:space="preserve">6.67% (safety rating, 4.8 vs. 4.5) — the graded metric, per case.json balance.margin_pct. The 268% cost gap is real and disclosed context (Challenge 3, D2/D3) but is not the graded metric: it follows from an unavoidable geometric fact (cube-packing vs. cylinder-packing efficiency), not a close call.</w:t>
      </w:r>
    </w:p>
    <w:p>
      <w:pPr>
        <w:pStyle w:val="Heading2"/>
        <w:spacing w:after="120" w:before="240"/>
      </w:pPr>
      <w:r>
        <w:rPr>
          <w:b/>
          <w:bCs/>
        </w:rPr>
        <w:t xml:space="preserve">The five Socratic questions</w:t>
      </w:r>
    </w:p>
    <w:p>
      <w:pPr>
        <w:pStyle w:val="ListParagraph"/>
        <w:numPr>
          <w:ilvl w:val="0"/>
          <w:numId w:val="2"/>
        </w:numPr>
        <w:spacing w:after="80"/>
      </w:pPr>
      <w:r>
        <w:t xml:space="preserve">Isolation's safety rating is 6.67% higher than NuStorage's — how would you explain to the commission why that gap is or isn't decisive on its own?</w:t>
      </w:r>
    </w:p>
    <w:p>
      <w:pPr>
        <w:pStyle w:val="ListParagraph"/>
        <w:numPr>
          <w:ilvl w:val="0"/>
          <w:numId w:val="2"/>
        </w:numPr>
        <w:spacing w:after="80"/>
      </w:pPr>
      <w:r>
        <w:t xml:space="preserve">NuStorage costs 268% less than Isolation for the same 250,000-rod order — does a cost gap that large ever get to override a safety-rating difference for a body whose whole mandate is public safety?</w:t>
      </w:r>
    </w:p>
    <w:p>
      <w:pPr>
        <w:pStyle w:val="ListParagraph"/>
        <w:numPr>
          <w:ilvl w:val="0"/>
          <w:numId w:val="2"/>
        </w:numPr>
        <w:spacing w:after="80"/>
      </w:pPr>
      <w:r>
        <w:t xml:space="preserve">The rod-per-container calculation assumes zero wasted space — how would a real packing inefficiency (say, 15% wasted space) change each company's cost and capacity numbers?</w:t>
      </w:r>
    </w:p>
    <w:p>
      <w:pPr>
        <w:pStyle w:val="ListParagraph"/>
        <w:numPr>
          <w:ilvl w:val="0"/>
          <w:numId w:val="2"/>
        </w:numPr>
        <w:spacing w:after="80"/>
      </w:pPr>
      <w:r>
        <w:t xml:space="preserve">NuStorage's facility sits below ground near Lake Huron; Isolation's sits above ground inland. Is that difference already reflected in their safety ratings, or is it a separate risk factor?</w:t>
      </w:r>
    </w:p>
    <w:p>
      <w:pPr>
        <w:pStyle w:val="ListParagraph"/>
        <w:numPr>
          <w:ilvl w:val="0"/>
          <w:numId w:val="2"/>
        </w:numPr>
        <w:spacing w:after="80"/>
      </w:pPr>
      <w:r>
        <w:t xml:space="preserve">The original case's own numbers were flagged as “very one-sided” by the people who wrote it. What does it mean for a case's design that the same math, viewed through a different lens (safety instead of cost), turns out much closer?</w:t>
      </w:r>
    </w:p>
    <w:p>
      <w:pPr>
        <w:pStyle w:val="Heading2"/>
        <w:spacing w:after="120" w:before="240"/>
      </w:pPr>
      <w:r>
        <w:rPr>
          <w:b/>
          <w:bCs/>
        </w:rPr>
        <w:t xml:space="preserve">The trap</w:t>
      </w:r>
    </w:p>
    <w:p>
      <w:pPr>
        <w:spacing w:after="120"/>
      </w:pPr>
      <w:r>
        <w:t xml:space="preserve">Two independent traps live in this case — watch for both.</w:t>
      </w:r>
    </w:p>
    <w:p>
      <w:pPr>
        <w:spacing w:after="120"/>
      </w:pPr>
      <w:r>
        <w:rPr>
          <w:b/>
          <w:bCs/>
        </w:rPr>
        <w:t xml:space="preserve">Trap 1 — cost-over-safety. </w:t>
      </w:r>
      <w:r>
        <w:t xml:space="preserve">A Hero computes the dramatic cost difference, recommends NuStorage on price alone, and never engages with the fact that the deciding body is a safety regulator, not a cost-minimizing business. The case's real tension is that the numbers point hard one way (cost) while the commission's actual job points toward a different, closer number (safety). Watch for a pitch that treats “cheaper” as automatically “better” for this particular decision-maker.</w:t>
      </w:r>
    </w:p>
    <w:p>
      <w:pPr>
        <w:spacing w:after="120"/>
      </w:pPr>
      <w:r>
        <w:rPr>
          <w:b/>
          <w:bCs/>
        </w:rPr>
        <w:t xml:space="preserve">Trap 2 — the wrong rounding direction on D2's container count. </w:t>
      </w:r>
      <w:r>
        <w:t xml:space="preserve">Assumption 1 (rods-per-container) and Assumption 2 (facility max capacity) both round down — the case states this twice, training a “this case rounds down” reflex. D2's own question — how many containers are needed to hold all 250,000 rods — is the reverse operation: it needs the ceiling, not the floor, because a partial container of leftover rods still needs a whole container. A Hero who applies the rounding-down reflex here (e.g. flooring 250,000 ÷ 916 rods/barrel = 272.9 to 272 barrels, instead of ceiling to 273) silently understates both companies' order cost and D6's lining total — and the resulting number (272 vs. the correct 273) is close enough that nothing downstream looks obviously wrong. Watch for a barrel/crate count that is exactly one below what full ceiling-division gives.</w:t>
      </w:r>
    </w:p>
    <w:p>
      <w:pPr>
        <w:pStyle w:val="Heading2"/>
        <w:spacing w:after="120" w:before="240"/>
      </w:pPr>
      <w:r>
        <w:rPr>
          <w:b/>
          <w:bCs/>
        </w:rPr>
        <w:t xml:space="preserve">What a strong defense sounds like</w:t>
      </w:r>
    </w:p>
    <w:p>
      <w:pPr>
        <w:spacing w:after="120"/>
      </w:pPr>
      <w:r>
        <w:t xml:space="preserve">Not an answer key — this case has no single right answer. A strong defense, for either option, names its deciding factor explicitly (safety rating vs. total cost) and explains why that factor should govern for a public-safety regulator specifically, rather than treating one number as obviously “the” answer. It engages the commission's own charter — that safety is a threshold, not an automatic tiebreaker — before reaching a conclusion, even if it ultimately argues for the lower-cost option. It shows the D1–D6 arithmetic correctly (including the ceiling-not-floor container count) and treats the rail-transport twist as a real, separate factor worth naming rather than folding invisibly into the safety rating. Weak defenses either ignore the mandate language entirely and pick on cost alone, or dismiss cost without acknowledging it is real, disclosed data the case explicitly asks students to compute.</w:t>
      </w:r>
    </w:p>
    <w:p>
      <w:pPr>
        <w:pStyle w:val="Heading2"/>
        <w:spacing w:after="120" w:before="240"/>
      </w:pPr>
      <w:r>
        <w:rPr>
          <w:b/>
          <w:bCs/>
        </w:rPr>
        <w:t xml:space="preserve">Skills this case exercises</w:t>
      </w:r>
    </w:p>
    <w:p>
      <w:pPr>
        <w:spacing w:after="120"/>
      </w:pPr>
      <w:r>
        <w:t xml:space="preserve">From case.json standards[] (13 ids):</w:t>
      </w:r>
    </w:p>
    <w:p>
      <w:pPr>
        <w:pStyle w:val="ListParagraph"/>
        <w:numPr>
          <w:ilvl w:val="0"/>
          <w:numId w:val="2"/>
        </w:numPr>
        <w:spacing w:after="80"/>
      </w:pPr>
      <w:r>
        <w:t xml:space="preserve">Cylinder</w:t>
      </w:r>
    </w:p>
    <w:p>
      <w:pPr>
        <w:pStyle w:val="ListParagraph"/>
        <w:numPr>
          <w:ilvl w:val="0"/>
          <w:numId w:val="2"/>
        </w:numPr>
        <w:spacing w:after="80"/>
      </w:pPr>
      <w:r>
        <w:t xml:space="preserve">How to find the volume of a cylinder</w:t>
      </w:r>
    </w:p>
    <w:p>
      <w:pPr>
        <w:pStyle w:val="ListParagraph"/>
        <w:numPr>
          <w:ilvl w:val="0"/>
          <w:numId w:val="2"/>
        </w:numPr>
        <w:spacing w:after="80"/>
      </w:pPr>
      <w:r>
        <w:t xml:space="preserve">How to find the area of a circle</w:t>
      </w:r>
    </w:p>
    <w:p>
      <w:pPr>
        <w:pStyle w:val="ListParagraph"/>
        <w:numPr>
          <w:ilvl w:val="0"/>
          <w:numId w:val="2"/>
        </w:numPr>
        <w:spacing w:after="80"/>
      </w:pPr>
      <w:r>
        <w:t xml:space="preserve">How to find the volume of a prism</w:t>
      </w:r>
    </w:p>
    <w:p>
      <w:pPr>
        <w:pStyle w:val="ListParagraph"/>
        <w:numPr>
          <w:ilvl w:val="0"/>
          <w:numId w:val="2"/>
        </w:numPr>
        <w:spacing w:after="80"/>
      </w:pPr>
      <w:r>
        <w:t xml:space="preserve">Prism</w:t>
      </w:r>
    </w:p>
    <w:p>
      <w:pPr>
        <w:pStyle w:val="ListParagraph"/>
        <w:numPr>
          <w:ilvl w:val="0"/>
          <w:numId w:val="2"/>
        </w:numPr>
        <w:spacing w:after="80"/>
      </w:pPr>
      <w:r>
        <w:t xml:space="preserve">How to find the area of a rectangle</w:t>
      </w:r>
    </w:p>
    <w:p>
      <w:pPr>
        <w:pStyle w:val="ListParagraph"/>
        <w:numPr>
          <w:ilvl w:val="0"/>
          <w:numId w:val="2"/>
        </w:numPr>
        <w:spacing w:after="80"/>
      </w:pPr>
      <w:r>
        <w:t xml:space="preserve">Volume</w:t>
      </w:r>
    </w:p>
    <w:p>
      <w:pPr>
        <w:pStyle w:val="ListParagraph"/>
        <w:numPr>
          <w:ilvl w:val="0"/>
          <w:numId w:val="2"/>
        </w:numPr>
        <w:spacing w:after="80"/>
      </w:pPr>
      <w:r>
        <w:t xml:space="preserve">Surface area</w:t>
      </w:r>
    </w:p>
    <w:p>
      <w:pPr>
        <w:pStyle w:val="ListParagraph"/>
        <w:numPr>
          <w:ilvl w:val="0"/>
          <w:numId w:val="2"/>
        </w:numPr>
        <w:spacing w:after="80"/>
      </w:pPr>
      <w:r>
        <w:t xml:space="preserve">How to find the surface area of a cylinder</w:t>
      </w:r>
    </w:p>
    <w:p>
      <w:pPr>
        <w:pStyle w:val="ListParagraph"/>
        <w:numPr>
          <w:ilvl w:val="0"/>
          <w:numId w:val="2"/>
        </w:numPr>
        <w:spacing w:after="80"/>
      </w:pPr>
      <w:r>
        <w:t xml:space="preserve">How to divide decimal numbers</w:t>
      </w:r>
    </w:p>
    <w:p>
      <w:pPr>
        <w:pStyle w:val="ListParagraph"/>
        <w:numPr>
          <w:ilvl w:val="0"/>
          <w:numId w:val="2"/>
        </w:numPr>
        <w:spacing w:after="80"/>
      </w:pPr>
      <w:r>
        <w:t xml:space="preserve">How to multiply decimal numbers</w:t>
      </w:r>
    </w:p>
    <w:p>
      <w:pPr>
        <w:pStyle w:val="ListParagraph"/>
        <w:numPr>
          <w:ilvl w:val="0"/>
          <w:numId w:val="2"/>
        </w:numPr>
        <w:spacing w:after="80"/>
      </w:pPr>
      <w:r>
        <w:t xml:space="preserve">Percent</w:t>
      </w:r>
    </w:p>
    <w:p>
      <w:pPr>
        <w:pStyle w:val="ListParagraph"/>
        <w:numPr>
          <w:ilvl w:val="0"/>
          <w:numId w:val="2"/>
        </w:numPr>
        <w:spacing w:after="80"/>
      </w:pPr>
      <w:r>
        <w:t xml:space="preserve">How to compare two or more values</w:t>
      </w:r>
    </w:p>
    <w:p>
      <w:pPr>
        <w:pageBreakBefore/>
      </w:pPr>
      <w:r>
        <w:t xml:space="preserve"/>
      </w:r>
    </w:p>
    <w:p>
      <w:pPr>
        <w:pStyle w:val="Heading1"/>
        <w:spacing w:after="150" w:before="300"/>
      </w:pPr>
      <w:r>
        <w:rPr>
          <w:b/>
          <w:bCs/>
        </w:rPr>
        <w:t xml:space="preserve">Guide Notes: Nuclear Waste</w:t>
      </w:r>
    </w:p>
    <w:p>
      <w:pPr>
        <w:spacing w:after="120"/>
      </w:pPr>
      <w:r>
        <w:t xml:space="preserve">Case: Nuclear Waste · Tier: T3 · Band: MS-stretch/HS-entry · Studio: Heroes Academy</w:t>
      </w:r>
    </w:p>
    <w:p>
      <w:pPr>
        <w:spacing w:after="120"/>
      </w:pPr>
      <w:r>
        <w:t xml:space="preserve">Standards: see case.json.standards[] for the exact ids (12 skills — cylinder/prism volume, circle/rectangle area, cylinder surface area, percent, and comparison)</w:t>
      </w:r>
    </w:p>
    <w:p>
      <w:pPr>
        <w:spacing w:after="120"/>
      </w:pPr>
      <w:r>
        <w:t xml:space="preserve">Legacy conversion, 2026-08-01, reformatted from the original 2021 Guide Notes (source/Y3/Session 5/Nuclear Waste/Guide Notes.docx) onto the current 11-anchor ladder. The original's own Lessons Learned section admits the cost numbers were “very one sided” — this conversion answers that by declaring safety rating (not cost) the graded primary metric, keeping the real, dramatic cost gap as disclosed context instead of forcing it into an artificial balance.</w:t>
      </w:r>
    </w:p>
    <w:p>
      <w:pPr>
        <w:pStyle w:val="Heading2"/>
        <w:spacing w:after="120" w:before="240"/>
      </w:pPr>
      <w:r>
        <w:rPr>
          <w:b/>
          <w:bCs/>
        </w:rPr>
        <w:t xml:space="preserve">Intro</w:t>
      </w:r>
    </w:p>
    <w:p>
      <w:pPr>
        <w:spacing w:after="120"/>
      </w:pPr>
      <w:r>
        <w:t xml:space="preserve">Frame the format: this is a real federal safety decision, not a worksheet. Name the opener — “Two companies. Two ways of storing something that stays dangerous for hundreds of thousands of years. One contract.”</w:t>
      </w:r>
    </w:p>
    <w:p>
      <w:pPr>
        <w:pStyle w:val="Heading2"/>
        <w:spacing w:after="120" w:before="240"/>
      </w:pPr>
      <w:r>
        <w:rPr>
          <w:b/>
          <w:bCs/>
        </w:rPr>
        <w:t xml:space="preserve">Launch</w:t>
      </w:r>
    </w:p>
    <w:p>
      <w:pPr>
        <w:spacing w:after="120"/>
      </w:pPr>
      <w:r>
        <w:t xml:space="preserve">Read both companies' safety ratings aloud — 4.8 and 4.5 — with no cost figures mentioned yet. Ask: “Just from the safety ratings, does this look like a close call or a clear one?” Do not confirm or correct answers here.</w:t>
      </w:r>
    </w:p>
    <w:p>
      <w:pPr>
        <w:pStyle w:val="Heading2"/>
        <w:spacing w:after="120" w:before="240"/>
      </w:pPr>
      <w:r>
        <w:rPr>
          <w:b/>
          <w:bCs/>
        </w:rPr>
        <w:t xml:space="preserve">Anchor 1 — Take a stand and vote</w:t>
      </w:r>
    </w:p>
    <w:p>
      <w:pPr>
        <w:spacing w:after="120"/>
      </w:pPr>
      <w:r>
        <w:rPr>
          <w:b/>
          <w:bCs/>
        </w:rPr>
        <w:t xml:space="preserve">TAKE A STAND AND VOTE. No reasoning yet, just commit.</w:t>
      </w:r>
    </w:p>
    <w:p>
      <w:pPr>
        <w:spacing w:after="120"/>
      </w:pPr>
      <w:r>
        <w:t xml:space="preserve">“Who awards Isolation International? Who awards NuStorage?” Show of hands, no discussion. Record the count — Close will ask them to vote again.</w:t>
      </w:r>
    </w:p>
    <w:p>
      <w:pPr>
        <w:pStyle w:val="Heading2"/>
        <w:spacing w:after="120" w:before="240"/>
      </w:pPr>
      <w:r>
        <w:rPr>
          <w:b/>
          <w:bCs/>
        </w:rPr>
        <w:t xml:space="preserve">Anchor 2 — What is the problem we're solving?</w:t>
      </w:r>
    </w:p>
    <w:p>
      <w:pPr>
        <w:spacing w:after="120"/>
      </w:pPr>
      <w:r>
        <w:rPr>
          <w:b/>
          <w:bCs/>
        </w:rPr>
        <w:t xml:space="preserve">“Is this the right question?” · “What do we need to consider in order to decide?” (the original Guide Notes' own language, preserved)</w:t>
      </w:r>
    </w:p>
    <w:p>
      <w:pPr>
        <w:spacing w:after="120"/>
      </w:pPr>
      <w:r>
        <w:t xml:space="preserve">Let confusion grow here, deliberately. Push on the commission's actual job: “This isn't a company picking the cheapest vendor — it's a safety regulator. Does that change what 'the right factor to focus on' should be?”</w:t>
      </w:r>
    </w:p>
    <w:p>
      <w:pPr>
        <w:pStyle w:val="Heading2"/>
        <w:spacing w:after="120" w:before="240"/>
      </w:pPr>
      <w:r>
        <w:rPr>
          <w:b/>
          <w:bCs/>
        </w:rPr>
        <w:t xml:space="preserve">Anchor 3 — What is the process?</w:t>
      </w:r>
    </w:p>
    <w:p>
      <w:pPr>
        <w:spacing w:after="120"/>
      </w:pPr>
      <w:r>
        <w:rPr>
          <w:b/>
          <w:bCs/>
        </w:rPr>
        <w:t xml:space="preserve">“Do we consider all of these factors, focus on 2-3, or focus on only one? Which one(s)?” (also the original's own language)</w:t>
      </w:r>
    </w:p>
    <w:p>
      <w:pPr>
        <w:spacing w:after="120"/>
      </w:pPr>
      <w:r>
        <w:t xml:space="preserve">Once the room has picked its real deciding factor(s), ask them to name the actual steps: find rods per container (a volume comparison), total cost for the full order, max facility capacity, and the safety-rating gap as a percentage. Re-ask: “Do we agree that's the right process for the factor we picked?”</w:t>
      </w:r>
    </w:p>
    <w:p>
      <w:pPr>
        <w:pStyle w:val="Heading2"/>
        <w:spacing w:after="120" w:before="240"/>
      </w:pPr>
      <w:r>
        <w:rPr>
          <w:b/>
          <w:bCs/>
        </w:rPr>
        <w:t xml:space="preserve">Anchor 4 — What don't we know?</w:t>
      </w:r>
    </w:p>
    <w:p>
      <w:pPr>
        <w:spacing w:after="120"/>
      </w:pPr>
      <w:r>
        <w:rPr>
          <w:b/>
          <w:bCs/>
        </w:rPr>
        <w:t xml:space="preserve">“Do we need to make assumptions? Which ones are critical?”</w:t>
      </w:r>
    </w:p>
    <w:p>
      <w:pPr>
        <w:spacing w:after="120"/>
      </w:pPr>
      <w:r>
        <w:t xml:space="preserve">Surface the two real conventions: rods-per-container assumes no wasted space (a real simplification of a much harder packing problem), and facility max capacity assumes the whole usable area is filled edge-to-edge. Ask which one actually matters more to the final numbers.</w:t>
      </w:r>
    </w:p>
    <w:p>
      <w:pPr>
        <w:pStyle w:val="Heading2"/>
        <w:spacing w:after="120" w:before="240"/>
      </w:pPr>
      <w:r>
        <w:rPr>
          <w:b/>
          <w:bCs/>
        </w:rPr>
        <w:t xml:space="preserve">Data Deep Dive</w:t>
      </w:r>
    </w:p>
    <w:p>
      <w:pPr>
        <w:spacing w:after="120"/>
      </w:pPr>
      <w:r>
        <w:t xml:space="preserve">Now, and only now, the numbers. Walk D1's volume comparison and D2's total-cost calculation together as a room, cold-calling for the cylinder-volume step specifically — this is where a Hero who used the wrong radius (diameter instead of radius) will get a real, visibly wrong rod count.</w:t>
      </w:r>
    </w:p>
    <w:p>
      <w:pPr>
        <w:spacing w:after="120"/>
      </w:pPr>
      <w:r>
        <w:t xml:space="preserve">D6, once the group is comfortable with volume. Surface area is a genuinely different calculation from volume, and the case gives Heroes a real reason to need it: each Isolation barrel is fully sealed and lined on the inside, at a real, disclosed $12.50/sq ft. Cold-call for whether a Hero remembered BOTH circular ends, not just the curved side wall — that's the same radius-vs-diameter trap as D1, applied to a different formula. One barrel: ~80.11 sq ft, $1,001.38 to line. All 273 barrels this contract needs: $273,376.74 — a real number that adds to Isolation's already-large cost disadvantage (Deep Conflict thread 1), without changing the graded safety-rating comparison at all.</w:t>
      </w:r>
    </w:p>
    <w:p>
      <w:pPr>
        <w:pStyle w:val="Heading2"/>
        <w:spacing w:after="120" w:before="240"/>
      </w:pPr>
      <w:r>
        <w:rPr>
          <w:b/>
          <w:bCs/>
        </w:rPr>
        <w:t xml:space="preserve">Twist — drop this at ~15 minutes into the discussion</w:t>
      </w:r>
    </w:p>
    <w:p>
      <w:pPr>
        <w:spacing w:after="120"/>
      </w:pPr>
      <w:r>
        <w:t xml:space="preserve">Deliver slowly, with pauses (the original Guide Notes' own twist, preserved):</w:t>
      </w:r>
    </w:p>
    <w:p>
      <w:pPr>
        <w:spacing w:after="120"/>
      </w:pPr>
      <w:r>
        <w:t xml:space="preserve">“Transportation from the reactor sites to whichever facility you chose is done by rail. That railroad passes through two major urban centers along the way.”</w:t>
      </w:r>
    </w:p>
    <w:p>
      <w:pPr>
        <w:spacing w:after="120"/>
      </w:pPr>
      <w:r>
        <w:t xml:space="preserve">Facilitator-only. This twist is deliberately qualitative, not a new number to plug in — it asks Heroes to weigh a real transportation-safety factor that neither company's bid quantifies. Ask: “Does this change your recommendation, or does it just add a factor you'd want the winning company to address separately?” A Hero who already picked based on safety rating has a real, harder question: does population-density-along-the-route belong in “safety rating” at all, or is it a genuinely separate risk the rating doesn't capture?</w:t>
      </w:r>
    </w:p>
    <w:p>
      <w:pPr>
        <w:spacing w:after="120"/>
      </w:pPr>
      <w:r>
        <w:t xml:space="preserve">Do not hand over a “correct” answer — this is a real, unresolved policy question, not a computation.</w:t>
      </w:r>
    </w:p>
    <w:p>
      <w:pPr>
        <w:pStyle w:val="Heading2"/>
        <w:spacing w:after="120" w:before="240"/>
      </w:pPr>
      <w:r>
        <w:rPr>
          <w:b/>
          <w:bCs/>
        </w:rPr>
        <w:t xml:space="preserve">Immediate recommit</w:t>
      </w:r>
    </w:p>
    <w:p>
      <w:pPr>
        <w:spacing w:after="120"/>
      </w:pPr>
      <w:r>
        <w:t xml:space="preserve">Re-vote immediately. Ask by name: “Did the rail route change your recommendation, or did it just make you want more information before finalizing?”</w:t>
      </w:r>
    </w:p>
    <w:p>
      <w:pPr>
        <w:pStyle w:val="Heading2"/>
        <w:spacing w:after="120" w:before="240"/>
      </w:pPr>
      <w:r>
        <w:rPr>
          <w:b/>
          <w:bCs/>
        </w:rPr>
        <w:t xml:space="preserve">Deep conflict — three threads (20-30 min)</w:t>
      </w:r>
    </w:p>
    <w:p>
      <w:pPr>
        <w:pStyle w:val="ListParagraph"/>
        <w:numPr>
          <w:ilvl w:val="0"/>
          <w:numId w:val="2"/>
        </w:numPr>
        <w:spacing w:after="80"/>
      </w:pPr>
      <w:r>
        <w:t xml:space="preserve">Safety rating vs. total cost. Isolation is safer by a real 6.67% margin; NuStorage is cheaper by a real 268%. For a public-safety regulator, is any cost difference big enough to outweigh a safety-rating edge, or is safety supposed to be the tiebreaker only when cost is close?</w:t>
      </w:r>
    </w:p>
    <w:p>
      <w:pPr>
        <w:pStyle w:val="ListParagraph"/>
        <w:numPr>
          <w:ilvl w:val="0"/>
          <w:numId w:val="2"/>
        </w:numPr>
        <w:spacing w:after="80"/>
      </w:pPr>
      <w:r>
        <w:t xml:space="preserve">What a safety rating doesn't capture. Above-ground inland vs. below-ground near a Great Lake; rail route through cities vs. not. Are these already priced into the 4.8/4.5 numbers, or are they real, separate risks the rating doesn't show?</w:t>
      </w:r>
    </w:p>
    <w:p>
      <w:pPr>
        <w:pStyle w:val="ListParagraph"/>
        <w:numPr>
          <w:ilvl w:val="0"/>
          <w:numId w:val="2"/>
        </w:numPr>
        <w:spacing w:after="80"/>
      </w:pPr>
      <w:r>
        <w:t xml:space="preserve">Who bears the decision, decades later. The Overview's own closing line says someone will live with this decision long after the commissioners retire. How should that change how much weight today's numbers get against tomorrow's unknowns?</w:t>
      </w:r>
    </w:p>
    <w:p>
      <w:pPr>
        <w:pStyle w:val="Heading2"/>
        <w:spacing w:after="120" w:before="240"/>
      </w:pPr>
      <w:r>
        <w:rPr>
          <w:b/>
          <w:bCs/>
        </w:rPr>
        <w:t xml:space="preserve">45-minute Socratic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DDDDD" w:val="clear"/>
            <w:tcMar>
              <w:top w:type="dxa" w:w="80"/>
              <w:left w:type="dxa" w:w="100"/>
              <w:bottom w:type="dxa" w:w="80"/>
              <w:right w:type="dxa" w:w="100"/>
            </w:tcMar>
          </w:tcPr>
          <w:p>
            <w:r>
              <w:rPr>
                <w:b/>
                <w:bCs/>
              </w:rPr>
              <w:t xml:space="preserve">Time</w:t>
            </w:r>
          </w:p>
        </w:tc>
        <w:tc>
          <w:tcPr>
            <w:tcW w:type="dxa" w:w="7150"/>
            <w:shd w:fill="DDDDDD" w:val="clear"/>
            <w:tcMar>
              <w:top w:type="dxa" w:w="80"/>
              <w:left w:type="dxa" w:w="100"/>
              <w:bottom w:type="dxa" w:w="80"/>
              <w:right w:type="dxa" w:w="100"/>
            </w:tcMar>
          </w:tcPr>
          <w:p>
            <w:r>
              <w:rPr>
                <w:b/>
                <w:bCs/>
              </w:rPr>
              <w:t xml:space="preserve">Move</w:t>
            </w:r>
          </w:p>
        </w:tc>
      </w:tr>
      <w:tr>
        <w:trPr>
          <w:tblHeader w:val="false"/>
        </w:trPr>
        <w:tc>
          <w:tcPr>
            <w:tcW w:type="dxa" w:w="2200"/>
            <w:tcMar>
              <w:top w:type="dxa" w:w="80"/>
              <w:left w:type="dxa" w:w="100"/>
              <w:bottom w:type="dxa" w:w="80"/>
              <w:right w:type="dxa" w:w="100"/>
            </w:tcMar>
          </w:tcPr>
          <w:p>
            <w:r>
              <w:rPr>
                <w:b w:val="false"/>
                <w:bCs w:val="false"/>
              </w:rPr>
              <w:t xml:space="preserve">0:00–3:00</w:t>
            </w:r>
          </w:p>
        </w:tc>
        <w:tc>
          <w:tcPr>
            <w:tcW w:type="dxa" w:w="7150"/>
            <w:tcMar>
              <w:top w:type="dxa" w:w="80"/>
              <w:left w:type="dxa" w:w="100"/>
              <w:bottom w:type="dxa" w:w="80"/>
              <w:right w:type="dxa" w:w="100"/>
            </w:tcMar>
          </w:tcPr>
          <w:p>
            <w:r>
              <w:rPr>
                <w:b w:val="false"/>
                <w:bCs w:val="false"/>
              </w:rPr>
              <w:t xml:space="preserve">Launch — read both safety ratings aloud, cold-call for a gut read, no costs yet</w:t>
            </w:r>
          </w:p>
        </w:tc>
      </w:tr>
      <w:tr>
        <w:trPr>
          <w:tblHeader w:val="false"/>
        </w:trPr>
        <w:tc>
          <w:tcPr>
            <w:tcW w:type="dxa" w:w="2200"/>
            <w:tcMar>
              <w:top w:type="dxa" w:w="80"/>
              <w:left w:type="dxa" w:w="100"/>
              <w:bottom w:type="dxa" w:w="80"/>
              <w:right w:type="dxa" w:w="100"/>
            </w:tcMar>
          </w:tcPr>
          <w:p>
            <w:r>
              <w:rPr>
                <w:b w:val="false"/>
                <w:bCs w:val="false"/>
              </w:rPr>
              <w:t xml:space="preserve">3:00–10:00</w:t>
            </w:r>
          </w:p>
        </w:tc>
        <w:tc>
          <w:tcPr>
            <w:tcW w:type="dxa" w:w="7150"/>
            <w:tcMar>
              <w:top w:type="dxa" w:w="80"/>
              <w:left w:type="dxa" w:w="100"/>
              <w:bottom w:type="dxa" w:w="80"/>
              <w:right w:type="dxa" w:w="100"/>
            </w:tcMar>
          </w:tcPr>
          <w:p>
            <w:r>
              <w:rPr>
                <w:b w:val="false"/>
                <w:bCs w:val="false"/>
              </w:rPr>
              <w:t xml:space="preserve">Position defense — “Convince us your company deserves the contract, not just that it's cheaper or safer”</w:t>
            </w:r>
          </w:p>
        </w:tc>
      </w:tr>
      <w:tr>
        <w:trPr>
          <w:tblHeader w:val="false"/>
        </w:trPr>
        <w:tc>
          <w:tcPr>
            <w:tcW w:type="dxa" w:w="2200"/>
            <w:tcMar>
              <w:top w:type="dxa" w:w="80"/>
              <w:left w:type="dxa" w:w="100"/>
              <w:bottom w:type="dxa" w:w="80"/>
              <w:right w:type="dxa" w:w="100"/>
            </w:tcMar>
          </w:tcPr>
          <w:p>
            <w:r>
              <w:rPr>
                <w:b w:val="false"/>
                <w:bCs w:val="false"/>
              </w:rPr>
              <w:t xml:space="preserve">10:00–15:00</w:t>
            </w:r>
          </w:p>
        </w:tc>
        <w:tc>
          <w:tcPr>
            <w:tcW w:type="dxa" w:w="7150"/>
            <w:tcMar>
              <w:top w:type="dxa" w:w="80"/>
              <w:left w:type="dxa" w:w="100"/>
              <w:bottom w:type="dxa" w:w="80"/>
              <w:right w:type="dxa" w:w="100"/>
            </w:tcMar>
          </w:tcPr>
          <w:p>
            <w:r>
              <w:rPr>
                <w:b w:val="false"/>
                <w:bCs w:val="false"/>
              </w:rPr>
              <w:t xml:space="preserve">Pressure-test the models — “Which factor is actually deciding your vote?”</w:t>
            </w:r>
          </w:p>
        </w:tc>
      </w:tr>
      <w:tr>
        <w:trPr>
          <w:tblHeader w:val="false"/>
        </w:trPr>
        <w:tc>
          <w:tcPr>
            <w:tcW w:type="dxa" w:w="2200"/>
            <w:tcMar>
              <w:top w:type="dxa" w:w="80"/>
              <w:left w:type="dxa" w:w="100"/>
              <w:bottom w:type="dxa" w:w="80"/>
              <w:right w:type="dxa" w:w="100"/>
            </w:tcMar>
          </w:tcPr>
          <w:p>
            <w:r>
              <w:rPr>
                <w:b w:val="false"/>
                <w:bCs w:val="false"/>
              </w:rPr>
              <w:t xml:space="preserve">15:00</w:t>
            </w:r>
          </w:p>
        </w:tc>
        <w:tc>
          <w:tcPr>
            <w:tcW w:type="dxa" w:w="7150"/>
            <w:tcMar>
              <w:top w:type="dxa" w:w="80"/>
              <w:left w:type="dxa" w:w="100"/>
              <w:bottom w:type="dxa" w:w="80"/>
              <w:right w:type="dxa" w:w="100"/>
            </w:tcMar>
          </w:tcPr>
          <w:p>
            <w:r>
              <w:rPr>
                <w:b w:val="false"/>
                <w:bCs w:val="false"/>
              </w:rPr>
              <w:t xml:space="preserve">DROP THE TWIST — the rail route through two urban centers, delivered slowly</w:t>
            </w:r>
          </w:p>
        </w:tc>
      </w:tr>
      <w:tr>
        <w:trPr>
          <w:tblHeader w:val="false"/>
        </w:trPr>
        <w:tc>
          <w:tcPr>
            <w:tcW w:type="dxa" w:w="2200"/>
            <w:tcMar>
              <w:top w:type="dxa" w:w="80"/>
              <w:left w:type="dxa" w:w="100"/>
              <w:bottom w:type="dxa" w:w="80"/>
              <w:right w:type="dxa" w:w="100"/>
            </w:tcMar>
          </w:tcPr>
          <w:p>
            <w:r>
              <w:rPr>
                <w:b w:val="false"/>
                <w:bCs w:val="false"/>
              </w:rPr>
              <w:t xml:space="preserve">15:00–20:00</w:t>
            </w:r>
          </w:p>
        </w:tc>
        <w:tc>
          <w:tcPr>
            <w:tcW w:type="dxa" w:w="7150"/>
            <w:tcMar>
              <w:top w:type="dxa" w:w="80"/>
              <w:left w:type="dxa" w:w="100"/>
              <w:bottom w:type="dxa" w:w="80"/>
              <w:right w:type="dxa" w:w="100"/>
            </w:tcMar>
          </w:tcPr>
          <w:p>
            <w:r>
              <w:rPr>
                <w:b w:val="false"/>
                <w:bCs w:val="false"/>
              </w:rPr>
              <w:t xml:space="preserve">Immediate recommit — did the route change anyone's answer</w:t>
            </w:r>
          </w:p>
        </w:tc>
      </w:tr>
      <w:tr>
        <w:trPr>
          <w:tblHeader w:val="false"/>
        </w:trPr>
        <w:tc>
          <w:tcPr>
            <w:tcW w:type="dxa" w:w="2200"/>
            <w:tcMar>
              <w:top w:type="dxa" w:w="80"/>
              <w:left w:type="dxa" w:w="100"/>
              <w:bottom w:type="dxa" w:w="80"/>
              <w:right w:type="dxa" w:w="100"/>
            </w:tcMar>
          </w:tcPr>
          <w:p>
            <w:r>
              <w:rPr>
                <w:b w:val="false"/>
                <w:bCs w:val="false"/>
              </w:rPr>
              <w:t xml:space="preserve">20:00–30:00</w:t>
            </w:r>
          </w:p>
        </w:tc>
        <w:tc>
          <w:tcPr>
            <w:tcW w:type="dxa" w:w="7150"/>
            <w:tcMar>
              <w:top w:type="dxa" w:w="80"/>
              <w:left w:type="dxa" w:w="100"/>
              <w:bottom w:type="dxa" w:w="80"/>
              <w:right w:type="dxa" w:w="100"/>
            </w:tcMar>
          </w:tcPr>
          <w:p>
            <w:r>
              <w:rPr>
                <w:b w:val="false"/>
                <w:bCs w:val="false"/>
              </w:rPr>
              <w:t xml:space="preserve">Threaded deep conflict (safety vs. cost; what the rating doesn't capture; who bears it later)</w:t>
            </w:r>
          </w:p>
        </w:tc>
      </w:tr>
      <w:tr>
        <w:trPr>
          <w:tblHeader w:val="false"/>
        </w:trPr>
        <w:tc>
          <w:tcPr>
            <w:tcW w:type="dxa" w:w="2200"/>
            <w:tcMar>
              <w:top w:type="dxa" w:w="80"/>
              <w:left w:type="dxa" w:w="100"/>
              <w:bottom w:type="dxa" w:w="80"/>
              <w:right w:type="dxa" w:w="100"/>
            </w:tcMar>
          </w:tcPr>
          <w:p>
            <w:r>
              <w:rPr>
                <w:b w:val="false"/>
                <w:bCs w:val="false"/>
              </w:rPr>
              <w:t xml:space="preserve">30:00–45:00</w:t>
            </w:r>
          </w:p>
        </w:tc>
        <w:tc>
          <w:tcPr>
            <w:tcW w:type="dxa" w:w="7150"/>
            <w:tcMar>
              <w:top w:type="dxa" w:w="80"/>
              <w:left w:type="dxa" w:w="100"/>
              <w:bottom w:type="dxa" w:w="80"/>
              <w:right w:type="dxa" w:w="100"/>
            </w:tcMar>
          </w:tcPr>
          <w:p>
            <w:r>
              <w:rPr>
                <w:b w:val="false"/>
                <w:bCs w:val="false"/>
              </w:rPr>
              <w:t xml:space="preserve">Close, re-vote, reflection, lessons learned</w:t>
            </w:r>
          </w:p>
        </w:tc>
      </w:tr>
    </w:tbl>
    <w:p>
      <w:pPr>
        <w:spacing w:after="200"/>
      </w:pPr>
    </w:p>
    <w:p>
      <w:pPr>
        <w:pStyle w:val="Heading2"/>
        <w:spacing w:after="120" w:before="240"/>
      </w:pPr>
      <w:r>
        <w:rPr>
          <w:b/>
          <w:bCs/>
        </w:rPr>
        <w:t xml:space="preserve">Close</w:t>
      </w:r>
    </w:p>
    <w:p>
      <w:pPr>
        <w:spacing w:after="120"/>
      </w:pPr>
      <w:r>
        <w:t xml:space="preserve">VOTE AGAIN. “Did we ask the right question at the start?” “What math was new to you tonight, and how did you actually attack it?” Compare the closing vote to Anchor 1's — a room that didn't move at all after the twist is worth asking about directly: did the rail route not feel like a real factor, or did the room already treat “safety” as bigger than what the rating number alone captures?</w:t>
      </w:r>
    </w:p>
    <w:p>
      <w:pPr>
        <w:pStyle w:val="Heading2"/>
        <w:spacing w:after="120" w:before="240"/>
      </w:pPr>
      <w:r>
        <w:rPr>
          <w:b/>
          <w:bCs/>
        </w:rPr>
        <w:t xml:space="preserve">Lessons Learned</w:t>
      </w:r>
    </w:p>
    <w:p>
      <w:pPr>
        <w:spacing w:after="120"/>
      </w:pPr>
      <w:r>
        <w:rPr>
          <w:i/>
          <w:iCs/>
        </w:rPr>
        <w:t xml:space="preserve">(To be filled after the first real run — placeholder structure only.)</w:t>
      </w:r>
    </w:p>
    <w:p>
      <w:pPr>
        <w:pStyle w:val="ListParagraph"/>
        <w:numPr>
          <w:ilvl w:val="0"/>
          <w:numId w:val="2"/>
        </w:numPr>
        <w:spacing w:after="80"/>
      </w:pPr>
      <w:r>
        <w:t xml:space="preserve">Whether the cylinder-volume step (D1) or the max-capacity area calculation (D3) was the place most Heroes actually got stuck.</w:t>
      </w:r>
    </w:p>
    <w:p>
      <w:pPr>
        <w:pStyle w:val="ListParagraph"/>
        <w:numPr>
          <w:ilvl w:val="0"/>
          <w:numId w:val="2"/>
        </w:numPr>
        <w:spacing w:after="80"/>
      </w:pPr>
      <w:r>
        <w:t xml:space="preserve">Whether Heroes anchored on safety rating or cost as their real deciding factor, and whether that split along any pattern.</w:t>
      </w:r>
    </w:p>
    <w:p>
      <w:pPr>
        <w:pStyle w:val="ListParagraph"/>
        <w:numPr>
          <w:ilvl w:val="0"/>
          <w:numId w:val="2"/>
        </w:numPr>
        <w:spacing w:after="80"/>
      </w:pPr>
      <w:r>
        <w:t xml:space="preserve">Whether the qualitative rail-route twist landed as a real complication or felt like it needed a number to matter.</w:t>
      </w:r>
    </w:p>
    <w:p>
      <w:pPr>
        <w:pStyle w:val="Heading2"/>
        <w:spacing w:after="120" w:before="240"/>
      </w:pPr>
      <w:r>
        <w:rPr>
          <w:b/>
          <w:bCs/>
        </w:rPr>
        <w:t xml:space="preserve">Standards Touched On</w:t>
      </w:r>
    </w:p>
    <w:p>
      <w:pPr>
        <w:spacing w:after="120"/>
      </w:pPr>
      <w:r>
        <w:t xml:space="preserve">Cylinder · Volume · Percent · Prism · Surface Area · How to find the volume of a cylinder · How to find the area of a circle · How to find the volume of a prism · How to find the area of a rectangle · How to find the surface area of a cylinder · How to compare two or more values</w:t>
      </w:r>
    </w:p>
    <w:p>
      <w:pPr>
        <w:pStyle w:val="Heading2"/>
        <w:spacing w:after="120" w:before="240"/>
      </w:pPr>
      <w:r>
        <w:rPr>
          <w:b/>
          <w:bCs/>
        </w:rPr>
        <w:t xml:space="preserve">Facilitator note — sensitivity</w:t>
      </w:r>
    </w:p>
    <w:p>
      <w:pPr>
        <w:spacing w:after="120"/>
      </w:pPr>
      <w:r>
        <w:t xml:space="preserve">Cases touching public-health-and-safety regulatory decisions (here, radioactive waste storage) get a one-line note per SPEC §6, even without a literal trigger word — the real-world stakes are serious, though the case's own math never asks students to optimize casualty counts or treat harm as an abstract quantity to minimize.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2026-08-23T04:30:56.304Z</dcterms:created>
  <dcterms:modified xsi:type="dcterms:W3CDTF">2026-08-23T04:30:56.310Z</dcterms:modified>
</cp:coreProperties>
</file>

<file path=docProps/custom.xml><?xml version="1.0" encoding="utf-8"?>
<Properties xmlns="http://schemas.openxmlformats.org/officeDocument/2006/custom-properties" xmlns:vt="http://schemas.openxmlformats.org/officeDocument/2006/docPropsVTypes"/>
</file>