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32"/>
          <w:szCs w:val="32"/>
        </w:rPr>
        <w:t xml:space="preserve">Facilitator Guide: Phone Plan</w:t>
      </w:r>
    </w:p>
    <w:p>
      <w:pPr>
        <w:spacing w:after="60"/>
      </w:pPr>
      <w:r>
        <w:rPr>
          <w:b/>
          <w:bCs/>
          <w:color w:val="C00000"/>
        </w:rPr>
        <w:t xml:space="preserve">FACILITATOR ONLY — do not share with students</w:t>
      </w:r>
    </w:p>
    <w:p>
      <w:pPr>
        <w:spacing w:after="120"/>
      </w:pPr>
      <w:r>
        <w:t xml:space="preserve">MS | Math | Case Study | 2026-27 | Heroes Academy · Tier T2</w:t>
      </w:r>
    </w:p>
    <w:p>
      <w:pPr>
        <w:pStyle w:val="Heading1"/>
        <w:spacing w:after="120" w:before="300"/>
      </w:pPr>
      <w:r>
        <w:t xml:space="preserve">Publish-Time Run-of-Show</w:t>
      </w:r>
    </w:p>
    <w:p>
      <w:pPr>
        <w:spacing w:after="120"/>
      </w:pPr>
      <w:r>
        <w:t xml:space="preserve">A 45-minute Socratic arc: cold-call vote (Anchor 1), name the real problem (Anchor 2), agree on the process (Anchor 3), surface the two modeling assumptions (Anchor 4), work D1–D3's math as a room, drop the $150 device-credit twist at ~15 minutes, re-vote, then run the three-thread deep conflict before closing. Full minute-by-minute table is below under "45-Minute Socratic Plan."</w:t>
      </w:r>
    </w:p>
    <w:p>
      <w:pPr>
        <w:pStyle w:val="Heading2"/>
        <w:spacing w:after="100" w:before="200"/>
      </w:pPr>
      <w:r>
        <w:t xml:space="preserve">The two arguments</w:t>
      </w:r>
    </w:p>
    <w:p>
      <w:pPr>
        <w:spacing w:after="120"/>
      </w:pPr>
      <w:r>
        <w:rPr>
          <w:b/>
          <w:bCs/>
        </w:rPr>
        <w:t xml:space="preserve">Argument A — Carrier V: </w:t>
      </w:r>
    </w:p>
    <w:p>
      <w:pPr>
        <w:spacing w:after="120"/>
      </w:pPr>
      <w:r>
        <w:t xml:space="preserve">Carrier V's per-line rate beyond 2 lines ($15) is far cheaper than Carrier T's ($25) — the two carriers' cost lines cross at exactly 3 lines ($102.60 with tax, both), and the Handleson family's own stated plan is to add Charity's line, their 3rd, within the next year. Choosing on today's 2-line price alone optimizes for a need that expires in roughly twelve months.</w:t>
      </w:r>
    </w:p>
    <w:p>
      <w:pPr>
        <w:spacing w:after="120"/>
      </w:pPr>
      <w:r>
        <w:rPr>
          <w:b/>
          <w:bCs/>
        </w:rPr>
        <w:t xml:space="preserve">Argument B — Carrier T: </w:t>
      </w:r>
    </w:p>
    <w:p>
      <w:pPr>
        <w:spacing w:after="120"/>
      </w:pPr>
      <w:r>
        <w:t xml:space="preserve">At the family's actual, current 2-line need, Carrier T costs $75.60 a month with tax against Carrier V's $86.40 — a real 14.29% difference, and T includes unlimited hotspot data against V's capped 15 GB, which matters directly for Nate's stated hotspot use while traveling. A 3rd line is a plan, not a signed contract; the family is paying today's bill with today's money.</w:t>
      </w:r>
    </w:p>
    <w:p>
      <w:pPr>
        <w:pStyle w:val="Heading2"/>
        <w:spacing w:after="100" w:before="200"/>
      </w:pPr>
      <w:r>
        <w:t xml:space="preserve">The margin</w:t>
      </w:r>
    </w:p>
    <w:p>
      <w:pPr>
        <w:spacing w:after="120"/>
      </w:pPr>
      <w:r>
        <w:t xml:space="preserve">14.29% — total monthly cost with tax at the family's current 2-line need (Carrier T $75.60 vs. Carrier V $86.40; Appendix A/B). This is the graded primary metric. D3's break-even analysis (exactly 3 lines, both carriers at $102.60/month) is real, disclosed context behind Argument A without being the graded metric itself — see case.json.derived for the full worked equations:</w:t>
      </w:r>
    </w:p>
    <w:p>
      <w:pPr>
        <w:pStyle w:val="ListParagraph"/>
        <w:numPr>
          <w:ilvl w:val="0"/>
          <w:numId w:val="2"/>
        </w:numPr>
        <w:spacing w:after="80"/>
      </w:pPr>
      <w:r>
        <w:t xml:space="preserve">carrier_V_equation: cost = 15(n − 2) + 80, n ≥ 2</w:t>
      </w:r>
    </w:p>
    <w:p>
      <w:pPr>
        <w:pStyle w:val="ListParagraph"/>
        <w:numPr>
          <w:ilvl w:val="0"/>
          <w:numId w:val="2"/>
        </w:numPr>
        <w:spacing w:after="80"/>
      </w:pPr>
      <w:r>
        <w:t xml:space="preserve">carrier_T_equation: cost = 25(n − 2) + 70, n ≥ 2</w:t>
      </w:r>
    </w:p>
    <w:p>
      <w:pPr>
        <w:pStyle w:val="ListParagraph"/>
        <w:numPr>
          <w:ilvl w:val="0"/>
          <w:numId w:val="2"/>
        </w:numPr>
        <w:spacing w:after="80"/>
      </w:pPr>
      <w:r>
        <w:t xml:space="preserve">break_even_lines: 3 (pre-tax $90 = $90; with tax $102.60 = $102.60)</w:t>
      </w:r>
    </w:p>
    <w:p>
      <w:pPr>
        <w:pStyle w:val="ListParagraph"/>
        <w:numPr>
          <w:ilvl w:val="0"/>
          <w:numId w:val="2"/>
        </w:numPr>
        <w:spacing w:after="80"/>
      </w:pPr>
      <w:r>
        <w:t xml:space="preserve">monthly_diff_at_2lines: $10.80 → annual_savings_choosing_T_at_2lines: $129.60</w:t>
      </w:r>
    </w:p>
    <w:p>
      <w:pPr>
        <w:pStyle w:val="ListParagraph"/>
        <w:numPr>
          <w:ilvl w:val="0"/>
          <w:numId w:val="2"/>
        </w:numPr>
        <w:spacing w:after="80"/>
      </w:pPr>
      <w:r>
        <w:t xml:space="preserve">twist_carrier_V_credit: $150 one-time device-upgrade credit, which beats that full year of T's savings by $20.40</w:t>
      </w:r>
    </w:p>
    <w:p>
      <w:pPr>
        <w:pStyle w:val="Heading1"/>
        <w:spacing w:after="120" w:before="300"/>
      </w:pPr>
      <w:r>
        <w:t xml:space="preserve">The Trap</w:t>
      </w:r>
    </w:p>
    <w:p>
      <w:pPr>
        <w:spacing w:after="120"/>
      </w:pPr>
      <w:r>
        <w:rPr>
          <w:b/>
          <w:bCs/>
        </w:rPr>
        <w:t xml:space="preserve">Two independent traps live in this case — watch for both.</w:t>
      </w:r>
    </w:p>
    <w:p>
      <w:pPr>
        <w:pStyle w:val="Heading2"/>
        <w:spacing w:after="100" w:before="200"/>
      </w:pPr>
      <w:r>
        <w:t xml:space="preserve">Trap 1 — stops at 2 lines</w:t>
      </w:r>
    </w:p>
    <w:p>
      <w:pPr>
        <w:spacing w:after="120"/>
      </w:pPr>
      <w:r>
        <w:t xml:space="preserve">A Hero computes the 2-line monthly cost, finds Carrier T cheaper, and stops — never checking what happens at 3 lines even though the case's own Background states the family's 1-year plan explicitly. The real tension is that "cheaper today" and "cheaper for the plan you've already stated" are different questions with different answers here. Watch for a pitch that reports one line count and calls the case closed.</w:t>
      </w:r>
    </w:p>
    <w:p>
      <w:pPr>
        <w:pStyle w:val="Heading2"/>
        <w:spacing w:after="100" w:before="200"/>
      </w:pPr>
      <w:r>
        <w:t xml:space="preserve">Trap 2 — reports the wrong number of lines at break-even</w:t>
      </w:r>
    </w:p>
    <w:p>
      <w:pPr>
        <w:spacing w:after="120"/>
      </w:pPr>
      <w:r>
        <w:t xml:space="preserve">D3 asks a Hero to solve the two carriers' cost equations as a system and find the break-even point. D1's own equation form is "(rate per additional line)(lines beyond the first 2) + (flat rate for the first 2 lines)" — so the system solves for x = lines beyond the first 2, not total lines. The correct solve gives x = 1, and a Hero who reports "the break-even is 1 line" instead of converting back to 3 total lines has done the algebra right and answered the question wrong. D1's text does carry a parenthetical warning aimed at exactly this ("a 3-line plan is 1 additional line past the flat-rate pair, not 3"), but a hurried Hero skimming past that line is entirely plausible — watch for a "break-even = 1" answer and ask what "1" is counting.</w:t>
      </w:r>
    </w:p>
    <w:p>
      <w:pPr>
        <w:pStyle w:val="Heading1"/>
        <w:spacing w:after="120" w:before="300"/>
      </w:pPr>
      <w:r>
        <w:t xml:space="preserve">Five Socratic Questions</w:t>
      </w:r>
    </w:p>
    <w:p>
      <w:pPr>
        <w:pStyle w:val="ListParagraph"/>
        <w:numPr>
          <w:ilvl w:val="0"/>
          <w:numId w:val="2"/>
        </w:numPr>
        <w:spacing w:after="80"/>
      </w:pPr>
      <w:r>
        <w:t xml:space="preserve">Your D2 numbers say Carrier T is cheaper by 14.29% at 2 lines — how would you explain to Nate and Fiona why a percentage that size is or isn't worth building a full recommendation on?</w:t>
      </w:r>
    </w:p>
    <w:p>
      <w:pPr>
        <w:pStyle w:val="ListParagraph"/>
        <w:numPr>
          <w:ilvl w:val="0"/>
          <w:numId w:val="2"/>
        </w:numPr>
        <w:spacing w:after="80"/>
      </w:pPr>
      <w:r>
        <w:t xml:space="preserve">The break-even point lands at exactly 3 lines, right when Charity is expected to get her phone — is that a coincidence worth mentioning in your pitch, or just a fact about the numbers?</w:t>
      </w:r>
    </w:p>
    <w:p>
      <w:pPr>
        <w:pStyle w:val="ListParagraph"/>
        <w:numPr>
          <w:ilvl w:val="0"/>
          <w:numId w:val="2"/>
        </w:numPr>
        <w:spacing w:after="80"/>
      </w:pPr>
      <w:r>
        <w:t xml:space="preserve">Carrier V's $150 credit beats a full year of Carrier T's savings by less than $21 — how would your recommendation change if that credit were $100 instead of $150?</w:t>
      </w:r>
    </w:p>
    <w:p>
      <w:pPr>
        <w:pStyle w:val="ListParagraph"/>
        <w:numPr>
          <w:ilvl w:val="0"/>
          <w:numId w:val="2"/>
        </w:numPr>
        <w:spacing w:after="80"/>
      </w:pPr>
      <w:r>
        <w:t xml:space="preserve">Appendix B assumes each carrier's additional-line rate stays the same when Charity's line is added — what would you tell the family if that assumption turned out to be wrong?</w:t>
      </w:r>
    </w:p>
    <w:p>
      <w:pPr>
        <w:pStyle w:val="ListParagraph"/>
        <w:numPr>
          <w:ilvl w:val="0"/>
          <w:numId w:val="2"/>
        </w:numPr>
        <w:spacing w:after="200"/>
      </w:pPr>
      <w:r>
        <w:t xml:space="preserve">If the Handlesons were confident they'd only need 2 lines for the next three years, would today's monthly cost or the eventual break-even point matter more to their decision?</w:t>
      </w:r>
    </w:p>
    <w:p>
      <w:pPr>
        <w:pStyle w:val="Heading1"/>
        <w:spacing w:after="120" w:before="300"/>
      </w:pPr>
      <w:r>
        <w:t xml:space="preserve">What a Strong Defense Sounds Like</w:t>
      </w:r>
    </w:p>
    <w:p>
      <w:pPr>
        <w:spacing w:after="120"/>
      </w:pPr>
      <w:r>
        <w:t xml:space="preserve">Not an answer key — this case has no single right answer. A strong defense names which time horizon it's optimizing for and says so explicitly, rather than treating "cheaper" as a fixed property of one carrier. It works D1's equations correctly and, critically, reports D3's break-even as 3 total lines, not the raw x = 1 the system solve produces — showing the reasoning step that converts "lines beyond 2" back to a total. It uses the 14.29% gap at 2 lines and the $150-vs-$129.60 twist as two separate pieces of evidence rather than collapsing them into one number, and it takes a real position on whether a one-time credit should outweigh a stated multi-year plan instead of dodging the tension. Heroes who only compute one line count, or who report "break-even = 1" without converting, have not cleared the bar even if their arithmetic is correct.</w:t>
      </w:r>
    </w:p>
    <w:p>
      <w:pPr>
        <w:pStyle w:val="Heading1"/>
        <w:spacing w:after="120" w:before="300"/>
      </w:pPr>
      <w:r>
        <w:t xml:space="preserve">Guide Notes — the anchor ladder</w:t>
      </w:r>
    </w:p>
    <w:p>
      <w:pPr>
        <w:pStyle w:val="Heading2"/>
        <w:spacing w:after="100" w:before="200"/>
      </w:pPr>
      <w:r>
        <w:t xml:space="preserve">Intro</w:t>
      </w:r>
    </w:p>
    <w:p>
      <w:pPr>
        <w:spacing w:after="120"/>
      </w:pPr>
      <w:r>
        <w:t xml:space="preserve">Frame the format: this is a real household budgeting decision, not a worksheet problem. Name the opener — "Two carriers, two prices, and a family that's about to add a third line whether they plan their phone bill around it or not."</w:t>
      </w:r>
    </w:p>
    <w:p>
      <w:pPr>
        <w:pStyle w:val="Heading2"/>
        <w:spacing w:after="100" w:before="200"/>
      </w:pPr>
      <w:r>
        <w:t xml:space="preserve">Launch</w:t>
      </w:r>
    </w:p>
    <w:p>
      <w:pPr>
        <w:spacing w:after="120"/>
      </w:pPr>
      <w:r>
        <w:t xml:space="preserve">Read Appendix A's pricing table aloud with no monthly totals computed yet. Ask: "Just from the rates, which carrier do you think is cheaper right now? Which one do you think is cheaper later?" Do not confirm or correct answers — the point is a gut read before anyone writes an equation.</w:t>
      </w:r>
    </w:p>
    <w:p>
      <w:pPr>
        <w:pStyle w:val="Heading2"/>
        <w:spacing w:after="100" w:before="200"/>
      </w:pPr>
      <w:r>
        <w:t xml:space="preserve">Anchor 1 — Take a stand and vote</w:t>
      </w:r>
    </w:p>
    <w:p>
      <w:pPr>
        <w:spacing w:after="120"/>
      </w:pPr>
      <w:r>
        <w:t xml:space="preserve">TAKE A STAND AND VOTE. No reasoning yet, just commit. "Who signs up for Carrier V? Who signs up for Carrier T?" Show of hands, no discussion. Record the count — Close will ask them to vote again.</w:t>
      </w:r>
    </w:p>
    <w:p>
      <w:pPr>
        <w:pStyle w:val="Heading2"/>
        <w:spacing w:after="100" w:before="200"/>
      </w:pPr>
      <w:r>
        <w:t xml:space="preserve">Anchor 2 — What is the problem we're solving?</w:t>
      </w:r>
    </w:p>
    <w:p>
      <w:pPr>
        <w:spacing w:after="120"/>
      </w:pPr>
      <w:r>
        <w:t xml:space="preserve">"Is this the right question?" · "Is it just as simple as which carrier is cheaper, or is there something else to consider?" Let confusion grow here, deliberately. Push on the family's own stated plan: "Is 'cheaper' a fixed fact about a carrier, or does it depend on how many lines you're comparing at?" If the room lands on "cheaper today and cheaper in a year might be different carriers" on its own, that's the case working as designed.</w:t>
      </w:r>
    </w:p>
    <w:p>
      <w:pPr>
        <w:pStyle w:val="Heading2"/>
        <w:spacing w:after="100" w:before="200"/>
      </w:pPr>
      <w:r>
        <w:t xml:space="preserve">Anchor 3 — What is the process?</w:t>
      </w:r>
    </w:p>
    <w:p>
      <w:pPr>
        <w:spacing w:after="120"/>
      </w:pPr>
      <w:r>
        <w:t xml:space="preserve">"If we go through this process and find the data, how will we decide?" Once the room has a working definition of the tradeoff, ask them to name the actual steps: write each carrier's cost as an equation, compute totals with tax at 2/3/4 lines, solve the system to find where the lines cross. Re-ask: "Do we agree on that process?"</w:t>
      </w:r>
    </w:p>
    <w:p>
      <w:pPr>
        <w:pStyle w:val="Heading2"/>
        <w:spacing w:after="100" w:before="200"/>
      </w:pPr>
      <w:r>
        <w:t xml:space="preserve">Anchor 4 — What don't we know?</w:t>
      </w:r>
    </w:p>
    <w:p>
      <w:pPr>
        <w:spacing w:after="120"/>
      </w:pPr>
      <w:r>
        <w:t xml:space="preserve">"Do we need to make assumptions? Which ones are critical?" Surface Appendix B's two real conventions: the flat 8% tax, and the assumption that today's additional-line rate holds when the 3rd/4th line is actually added a year from now — a real, disclosed uncertainty neither carrier guarantees in writing.</w:t>
      </w:r>
    </w:p>
    <w:p>
      <w:pPr>
        <w:pStyle w:val="Heading2"/>
        <w:spacing w:after="100" w:before="200"/>
      </w:pPr>
      <w:r>
        <w:t xml:space="preserve">Data Deep Dive</w:t>
      </w:r>
    </w:p>
    <w:p>
      <w:pPr>
        <w:spacing w:after="120"/>
      </w:pPr>
      <w:r>
        <w:t xml:space="preserve">Now, and only now, the numbers. Walk D1's two equations and D3's system-of-equations solution together as a room, cold-calling for the slope/y-intercept identification specifically — this is where a Hero who mixed up which number is the rate and which is the fixed cost will visibly disagree with everyone else's equation.</w:t>
      </w:r>
    </w:p>
    <w:p>
      <w:pPr>
        <w:pStyle w:val="Heading2"/>
        <w:spacing w:after="100" w:before="200"/>
      </w:pPr>
      <w:r>
        <w:t xml:space="preserve">Twist — drop this at ~15 minutes into the discussion</w:t>
      </w:r>
    </w:p>
    <w:p>
      <w:pPr>
        <w:spacing w:after="120"/>
      </w:pPr>
      <w:r>
        <w:t xml:space="preserve">Deliver slowly, with pauses: "Fiona stops by the Carrier V store just to compare notes. The rep tells her: sign up this month and get a one-time $150 device-upgrade credit. Carrier T isn't offering anything like it right now."</w:t>
      </w:r>
    </w:p>
    <w:p>
      <w:pPr>
        <w:spacing w:after="120"/>
      </w:pPr>
      <w:r>
        <w:t xml:space="preserve">Facilitator-only: at the family's current 2-line need, Carrier T saves $10.80 a month over Carrier V — $129.60 over a full year. Carrier V's one-time $150 credit is larger than that entire year of savings. The twist flips the first-year verdict: a Hero who recommended Carrier T purely on monthly cost has to reckon with a real number that says otherwise once the credit is priced in. This was designed to be genuinely close ($150 vs. $129.60, not $150 vs. $50) — say so if a Hero notices how tight it is. Do not tell a Hero which time horizon is the "right" one to optimize for — that framing question is the point of the twist, not a script to hand over unprompted.</w:t>
      </w:r>
    </w:p>
    <w:p>
      <w:pPr>
        <w:pStyle w:val="Heading2"/>
        <w:spacing w:after="100" w:before="200"/>
      </w:pPr>
      <w:r>
        <w:t xml:space="preserve">Immediate recommit</w:t>
      </w:r>
    </w:p>
    <w:p>
      <w:pPr>
        <w:spacing w:after="120"/>
      </w:pPr>
      <w:r>
        <w:t xml:space="preserve">Re-vote immediately. Ask by name: "Did the credit change your answer? If you recommended Carrier T and didn't change your mind, what's your argument for ignoring $150?"</w:t>
      </w:r>
    </w:p>
    <w:p>
      <w:pPr>
        <w:pStyle w:val="Heading2"/>
        <w:spacing w:after="100" w:before="200"/>
      </w:pPr>
      <w:r>
        <w:t xml:space="preserve">Deep conflict — three threads (20–30 min)</w:t>
      </w:r>
    </w:p>
    <w:p>
      <w:pPr>
        <w:pStyle w:val="ListParagraph"/>
        <w:numPr>
          <w:ilvl w:val="0"/>
          <w:numId w:val="2"/>
        </w:numPr>
        <w:spacing w:after="80"/>
      </w:pPr>
      <w:r>
        <w:t xml:space="preserve">Monthly cost vs. one-time credit. A recurring $10.80/month saving and a one-time $150 credit are different shapes of money. Is comparing them over exactly one year fair, or does the comparison depend on how long the family expects to stay with either carrier?</w:t>
      </w:r>
    </w:p>
    <w:p>
      <w:pPr>
        <w:pStyle w:val="ListParagraph"/>
        <w:numPr>
          <w:ilvl w:val="0"/>
          <w:numId w:val="2"/>
        </w:numPr>
        <w:spacing w:after="80"/>
      </w:pPr>
      <w:r>
        <w:t xml:space="preserve">Today's need vs. next year's plan. The break-even point (3 lines) lands almost exactly when Charity is expected to get her phone. Should a family budget for the line count they have, or the one they're planning for?</w:t>
      </w:r>
    </w:p>
    <w:p>
      <w:pPr>
        <w:pStyle w:val="ListParagraph"/>
        <w:numPr>
          <w:ilvl w:val="0"/>
          <w:numId w:val="2"/>
        </w:numPr>
        <w:spacing w:after="80"/>
      </w:pPr>
      <w:r>
        <w:t xml:space="preserve">What a promotion is worth trusting. Carrier V's credit is a one-time offer; the per-line rates in Appendix A are the ongoing price. Should a one-time incentive carry the same weight in the decision as a permanent price difference?</w:t>
      </w:r>
    </w:p>
    <w:p>
      <w:pPr>
        <w:pStyle w:val="Heading2"/>
        <w:spacing w:after="100" w:before="200"/>
      </w:pPr>
      <w:r>
        <w:t xml:space="preserve">Close</w:t>
      </w:r>
    </w:p>
    <w:p>
      <w:pPr>
        <w:spacing w:after="120"/>
      </w:pPr>
      <w:r>
        <w:t xml:space="preserve">VOTE AGAIN. "Did we ask the right question at the start?" "What math was new to you tonight, and how did you actually attack it?" Compare the closing vote to Anchor 1's — a room that didn't move at all after the twist is worth asking about directly: did the credit not land, or did the room already weigh a one-time credit against the standing family plan on their own?</w:t>
      </w:r>
    </w:p>
    <w:p>
      <w:pPr>
        <w:pStyle w:val="Heading2"/>
        <w:spacing w:after="100" w:before="200"/>
      </w:pPr>
      <w:r>
        <w:t xml:space="preserve">Lessons Learned</w:t>
      </w:r>
    </w:p>
    <w:p>
      <w:pPr>
        <w:spacing w:after="120"/>
      </w:pPr>
      <w:r>
        <w:t xml:space="preserve">(To be filled after the first real run — placeholder structure only.)</w:t>
      </w:r>
    </w:p>
    <w:p>
      <w:pPr>
        <w:pStyle w:val="ListParagraph"/>
        <w:numPr>
          <w:ilvl w:val="0"/>
          <w:numId w:val="2"/>
        </w:numPr>
        <w:spacing w:after="80"/>
      </w:pPr>
      <w:r>
        <w:t xml:space="preserve">Whether the slope/y-intercept identification (D1) or the system-of-equations solve (D3) was the place most Heroes actually got stuck.</w:t>
      </w:r>
    </w:p>
    <w:p>
      <w:pPr>
        <w:pStyle w:val="ListParagraph"/>
        <w:numPr>
          <w:ilvl w:val="0"/>
          <w:numId w:val="2"/>
        </w:numPr>
        <w:spacing w:after="80"/>
      </w:pPr>
      <w:r>
        <w:t xml:space="preserve">Whether Heroes checked the 3-line cost on their own before the case's own Background text prompted them to, or needed Anchor 2 to surface it.</w:t>
      </w:r>
    </w:p>
    <w:p>
      <w:pPr>
        <w:pStyle w:val="ListParagraph"/>
        <w:numPr>
          <w:ilvl w:val="0"/>
          <w:numId w:val="2"/>
        </w:numPr>
        <w:spacing w:after="80"/>
      </w:pPr>
      <w:r>
        <w:t xml:space="preserve">Whether the $150-vs-$129.60 twist felt like a genuine reversal or too close to call cleanly.</w:t>
      </w:r>
    </w:p>
    <w:p>
      <w:pPr>
        <w:pStyle w:val="Heading1"/>
        <w:spacing w:after="120" w:before="300"/>
      </w:pPr>
      <w:r>
        <w:t xml:space="preserve">45-Minute Socratic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rPr>
          <w:tblHeader/>
        </w:trPr>
        <w:tc>
          <w:tcPr>
            <w:tcW w:type="dxa" w:w="2160"/>
            <w:shd w:fill="D9D9D9" w:val="clear"/>
            <w:tcMar>
              <w:top w:type="dxa" w:w="80"/>
              <w:left w:type="dxa" w:w="100"/>
              <w:bottom w:type="dxa" w:w="80"/>
              <w:right w:type="dxa" w:w="100"/>
            </w:tcMar>
          </w:tcPr>
          <w:p>
            <w:r>
              <w:rPr>
                <w:b/>
                <w:bCs/>
              </w:rPr>
              <w:t xml:space="preserve">Time</w:t>
            </w:r>
          </w:p>
        </w:tc>
        <w:tc>
          <w:tcPr>
            <w:tcW w:type="dxa" w:w="7200"/>
            <w:shd w:fill="D9D9D9" w:val="clear"/>
            <w:tcMar>
              <w:top w:type="dxa" w:w="80"/>
              <w:left w:type="dxa" w:w="100"/>
              <w:bottom w:type="dxa" w:w="80"/>
              <w:right w:type="dxa" w:w="100"/>
            </w:tcMar>
          </w:tcPr>
          <w:p>
            <w:r>
              <w:rPr>
                <w:b/>
                <w:bCs/>
              </w:rPr>
              <w:t xml:space="preserve">Move</w:t>
            </w:r>
          </w:p>
        </w:tc>
      </w:tr>
      <w:tr>
        <w:trPr>
          <w:tblHeader w:val="false"/>
        </w:trPr>
        <w:tc>
          <w:tcPr>
            <w:tcW w:type="dxa" w:w="2160"/>
            <w:tcMar>
              <w:top w:type="dxa" w:w="80"/>
              <w:left w:type="dxa" w:w="100"/>
              <w:bottom w:type="dxa" w:w="80"/>
              <w:right w:type="dxa" w:w="100"/>
            </w:tcMar>
          </w:tcPr>
          <w:p>
            <w:r>
              <w:rPr>
                <w:b w:val="false"/>
                <w:bCs w:val="false"/>
              </w:rPr>
              <w:t xml:space="preserve">0:00–3:00</w:t>
            </w:r>
          </w:p>
        </w:tc>
        <w:tc>
          <w:tcPr>
            <w:tcW w:type="dxa" w:w="7200"/>
            <w:tcMar>
              <w:top w:type="dxa" w:w="80"/>
              <w:left w:type="dxa" w:w="100"/>
              <w:bottom w:type="dxa" w:w="80"/>
              <w:right w:type="dxa" w:w="100"/>
            </w:tcMar>
          </w:tcPr>
          <w:p>
            <w:r>
              <w:rPr>
                <w:b w:val="false"/>
                <w:bCs w:val="false"/>
              </w:rPr>
              <w:t xml:space="preserve">Launch — read the pricing table, cold-call for a gut read, no totals yet</w:t>
            </w:r>
          </w:p>
        </w:tc>
      </w:tr>
      <w:tr>
        <w:trPr>
          <w:tblHeader w:val="false"/>
        </w:trPr>
        <w:tc>
          <w:tcPr>
            <w:tcW w:type="dxa" w:w="2160"/>
            <w:tcMar>
              <w:top w:type="dxa" w:w="80"/>
              <w:left w:type="dxa" w:w="100"/>
              <w:bottom w:type="dxa" w:w="80"/>
              <w:right w:type="dxa" w:w="100"/>
            </w:tcMar>
          </w:tcPr>
          <w:p>
            <w:r>
              <w:rPr>
                <w:b w:val="false"/>
                <w:bCs w:val="false"/>
              </w:rPr>
              <w:t xml:space="preserve">3:00–10:00</w:t>
            </w:r>
          </w:p>
        </w:tc>
        <w:tc>
          <w:tcPr>
            <w:tcW w:type="dxa" w:w="7200"/>
            <w:tcMar>
              <w:top w:type="dxa" w:w="80"/>
              <w:left w:type="dxa" w:w="100"/>
              <w:bottom w:type="dxa" w:w="80"/>
              <w:right w:type="dxa" w:w="100"/>
            </w:tcMar>
          </w:tcPr>
          <w:p>
            <w:r>
              <w:rPr>
                <w:b w:val="false"/>
                <w:bCs w:val="false"/>
              </w:rPr>
              <w:t xml:space="preserve">Position defense — "Convince us your carrier is cheaper, not just different"</w:t>
            </w:r>
          </w:p>
        </w:tc>
      </w:tr>
      <w:tr>
        <w:trPr>
          <w:tblHeader w:val="false"/>
        </w:trPr>
        <w:tc>
          <w:tcPr>
            <w:tcW w:type="dxa" w:w="2160"/>
            <w:tcMar>
              <w:top w:type="dxa" w:w="80"/>
              <w:left w:type="dxa" w:w="100"/>
              <w:bottom w:type="dxa" w:w="80"/>
              <w:right w:type="dxa" w:w="100"/>
            </w:tcMar>
          </w:tcPr>
          <w:p>
            <w:r>
              <w:rPr>
                <w:b w:val="false"/>
                <w:bCs w:val="false"/>
              </w:rPr>
              <w:t xml:space="preserve">10:00–15:00</w:t>
            </w:r>
          </w:p>
        </w:tc>
        <w:tc>
          <w:tcPr>
            <w:tcW w:type="dxa" w:w="7200"/>
            <w:tcMar>
              <w:top w:type="dxa" w:w="80"/>
              <w:left w:type="dxa" w:w="100"/>
              <w:bottom w:type="dxa" w:w="80"/>
              <w:right w:type="dxa" w:w="100"/>
            </w:tcMar>
          </w:tcPr>
          <w:p>
            <w:r>
              <w:rPr>
                <w:b w:val="false"/>
                <w:bCs w:val="false"/>
              </w:rPr>
              <w:t xml:space="preserve">Pressure-test the models — "Whose recommendation depends on which line count?"</w:t>
            </w:r>
          </w:p>
        </w:tc>
      </w:tr>
      <w:tr>
        <w:trPr>
          <w:tblHeader w:val="false"/>
        </w:trPr>
        <w:tc>
          <w:tcPr>
            <w:tcW w:type="dxa" w:w="2160"/>
            <w:tcMar>
              <w:top w:type="dxa" w:w="80"/>
              <w:left w:type="dxa" w:w="100"/>
              <w:bottom w:type="dxa" w:w="80"/>
              <w:right w:type="dxa" w:w="100"/>
            </w:tcMar>
          </w:tcPr>
          <w:p>
            <w:r>
              <w:rPr>
                <w:b w:val="false"/>
                <w:bCs w:val="false"/>
              </w:rPr>
              <w:t xml:space="preserve">15:00</w:t>
            </w:r>
          </w:p>
        </w:tc>
        <w:tc>
          <w:tcPr>
            <w:tcW w:type="dxa" w:w="7200"/>
            <w:tcMar>
              <w:top w:type="dxa" w:w="80"/>
              <w:left w:type="dxa" w:w="100"/>
              <w:bottom w:type="dxa" w:w="80"/>
              <w:right w:type="dxa" w:w="100"/>
            </w:tcMar>
          </w:tcPr>
          <w:p>
            <w:r>
              <w:rPr>
                <w:b w:val="false"/>
                <w:bCs w:val="false"/>
              </w:rPr>
              <w:t xml:space="preserve">DROP THE TWIST — the $150 device-upgrade credit, delivered slowly</w:t>
            </w:r>
          </w:p>
        </w:tc>
      </w:tr>
      <w:tr>
        <w:trPr>
          <w:tblHeader w:val="false"/>
        </w:trPr>
        <w:tc>
          <w:tcPr>
            <w:tcW w:type="dxa" w:w="2160"/>
            <w:tcMar>
              <w:top w:type="dxa" w:w="80"/>
              <w:left w:type="dxa" w:w="100"/>
              <w:bottom w:type="dxa" w:w="80"/>
              <w:right w:type="dxa" w:w="100"/>
            </w:tcMar>
          </w:tcPr>
          <w:p>
            <w:r>
              <w:rPr>
                <w:b w:val="false"/>
                <w:bCs w:val="false"/>
              </w:rPr>
              <w:t xml:space="preserve">15:00–20:00</w:t>
            </w:r>
          </w:p>
        </w:tc>
        <w:tc>
          <w:tcPr>
            <w:tcW w:type="dxa" w:w="7200"/>
            <w:tcMar>
              <w:top w:type="dxa" w:w="80"/>
              <w:left w:type="dxa" w:w="100"/>
              <w:bottom w:type="dxa" w:w="80"/>
              <w:right w:type="dxa" w:w="100"/>
            </w:tcMar>
          </w:tcPr>
          <w:p>
            <w:r>
              <w:rPr>
                <w:b w:val="false"/>
                <w:bCs w:val="false"/>
              </w:rPr>
              <w:t xml:space="preserve">Immediate recommit — did the credit change anyone's answer, and why</w:t>
            </w:r>
          </w:p>
        </w:tc>
      </w:tr>
      <w:tr>
        <w:trPr>
          <w:tblHeader w:val="false"/>
        </w:trPr>
        <w:tc>
          <w:tcPr>
            <w:tcW w:type="dxa" w:w="2160"/>
            <w:tcMar>
              <w:top w:type="dxa" w:w="80"/>
              <w:left w:type="dxa" w:w="100"/>
              <w:bottom w:type="dxa" w:w="80"/>
              <w:right w:type="dxa" w:w="100"/>
            </w:tcMar>
          </w:tcPr>
          <w:p>
            <w:r>
              <w:rPr>
                <w:b w:val="false"/>
                <w:bCs w:val="false"/>
              </w:rPr>
              <w:t xml:space="preserve">20:00–30:00</w:t>
            </w:r>
          </w:p>
        </w:tc>
        <w:tc>
          <w:tcPr>
            <w:tcW w:type="dxa" w:w="7200"/>
            <w:tcMar>
              <w:top w:type="dxa" w:w="80"/>
              <w:left w:type="dxa" w:w="100"/>
              <w:bottom w:type="dxa" w:w="80"/>
              <w:right w:type="dxa" w:w="100"/>
            </w:tcMar>
          </w:tcPr>
          <w:p>
            <w:r>
              <w:rPr>
                <w:b w:val="false"/>
                <w:bCs w:val="false"/>
              </w:rPr>
              <w:t xml:space="preserve">Threaded deep conflict (monthly vs. one-time; today vs. next year; trusting a promo)</w:t>
            </w:r>
          </w:p>
        </w:tc>
      </w:tr>
      <w:tr>
        <w:trPr>
          <w:tblHeader w:val="false"/>
        </w:trPr>
        <w:tc>
          <w:tcPr>
            <w:tcW w:type="dxa" w:w="2160"/>
            <w:tcMar>
              <w:top w:type="dxa" w:w="80"/>
              <w:left w:type="dxa" w:w="100"/>
              <w:bottom w:type="dxa" w:w="80"/>
              <w:right w:type="dxa" w:w="100"/>
            </w:tcMar>
          </w:tcPr>
          <w:p>
            <w:r>
              <w:rPr>
                <w:b w:val="false"/>
                <w:bCs w:val="false"/>
              </w:rPr>
              <w:t xml:space="preserve">30:00–45:00</w:t>
            </w:r>
          </w:p>
        </w:tc>
        <w:tc>
          <w:tcPr>
            <w:tcW w:type="dxa" w:w="7200"/>
            <w:tcMar>
              <w:top w:type="dxa" w:w="80"/>
              <w:left w:type="dxa" w:w="100"/>
              <w:bottom w:type="dxa" w:w="80"/>
              <w:right w:type="dxa" w:w="100"/>
            </w:tcMar>
          </w:tcPr>
          <w:p>
            <w:r>
              <w:rPr>
                <w:b w:val="false"/>
                <w:bCs w:val="false"/>
              </w:rPr>
              <w:t xml:space="preserve">Close, re-vote, reflection, lessons learned</w:t>
            </w:r>
          </w:p>
        </w:tc>
      </w:tr>
    </w:tbl>
    <w:p>
      <w:pPr>
        <w:spacing w:after="120"/>
      </w:pPr>
    </w:p>
    <w:p>
      <w:pPr>
        <w:pStyle w:val="Heading1"/>
        <w:spacing w:after="120" w:before="300"/>
      </w:pPr>
      <w:r>
        <w:t xml:space="preserve">Standards / Skills Touched On</w:t>
      </w:r>
    </w:p>
    <w:p>
      <w:pPr>
        <w:spacing w:after="120"/>
      </w:pPr>
      <w:r>
        <w:t xml:space="preserve">Variable · Equation · Slope · Y-Intercept · System Of Equations · Percent · How to write a linear equation given a set of data · How to solve a system of linear equations · How to find the percent of a number · How to compare two or more values</w:t>
      </w:r>
    </w:p>
    <w:p>
      <w:pPr>
        <w:spacing w:after="120"/>
      </w:pPr>
      <w:r>
        <w:t xml:space="preserve">Standard ids (from case.json.standards[]): advanced-operations-variable, advanced-operations-equation, statistics-and-probability-slope, statistics-and-probability-y-intercept, statistics-and-probability-how-to-write-a-linear-equation-given-a-set-of-data, statistics-and-probability-system-of-equations, statistics-and-probability-how-to-solve-a-system-of-linear-equations, advanced-numbers-percent, advanced-numbers-how-to-find-the-percent-of-a-number, number-sense-how-to-compare-two-or-more-values.</w:t>
      </w:r>
    </w:p>
    <w:p>
      <w:pPr>
        <w:pStyle w:val="Heading1"/>
        <w:spacing w:after="120" w:before="300"/>
      </w:pPr>
      <w:r>
        <w:t xml:space="preserve">Cohort Bands</w:t>
      </w:r>
    </w:p>
    <w:p>
      <w:pPr>
        <w:pStyle w:val="ListParagraph"/>
        <w:numPr>
          <w:ilvl w:val="0"/>
          <w:numId w:val="2"/>
        </w:numPr>
        <w:spacing w:after="80"/>
      </w:pPr>
      <w:r>
        <w:t xml:space="preserve">Full (12-20): Anchors 2-3 run as written; the room debates today's price vs. the 1-year plan before the break-even math settles part of it.</w:t>
      </w:r>
    </w:p>
    <w:p>
      <w:pPr>
        <w:pStyle w:val="ListParagraph"/>
        <w:numPr>
          <w:ilvl w:val="0"/>
          <w:numId w:val="2"/>
        </w:numPr>
        <w:spacing w:after="80"/>
      </w:pPr>
      <w:r>
        <w:t xml:space="preserve">Compressed (6-11): Anchors 2-3 combine into one pass; D1's two equations are derived together instead of one-at-a-time.</w:t>
      </w:r>
    </w:p>
    <w:p>
      <w:pPr>
        <w:pStyle w:val="ListParagraph"/>
        <w:numPr>
          <w:ilvl w:val="0"/>
          <w:numId w:val="2"/>
        </w:numPr>
        <w:spacing w:after="80"/>
      </w:pPr>
      <w:r>
        <w:t xml:space="preserve">1:1 / pair (1-2): No vote to take — Anchor 1 becomes a stated initial position instead of a cold-call; guide plays devil's advocate directly.</w:t>
      </w:r>
    </w:p>
    <w:p>
      <w:pPr>
        <w:pStyle w:val="Heading1"/>
        <w:spacing w:after="120" w:before="300"/>
      </w:pPr>
      <w:r>
        <w:t xml:space="preserve">Content Note — sensitivity (SPEC §6)</w:t>
      </w:r>
    </w:p>
    <w:p>
      <w:pPr>
        <w:spacing w:after="120"/>
      </w:pPr>
      <w:r>
        <w:t xml:space="preserve">None required. The stakes are a household budgeting decision, not personal illness, death, or hardship.</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2026-08-23T04:30:22.647Z</dcterms:created>
  <dcterms:modified xsi:type="dcterms:W3CDTF">2026-08-23T04:30:22.648Z</dcterms:modified>
</cp:coreProperties>
</file>

<file path=docProps/custom.xml><?xml version="1.0" encoding="utf-8"?>
<Properties xmlns="http://schemas.openxmlformats.org/officeDocument/2006/custom-properties" xmlns:vt="http://schemas.openxmlformats.org/officeDocument/2006/docPropsVTypes"/>
</file>