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Airstrike</w:t>
      </w:r>
    </w:p>
    <w:p>
      <w:pPr>
        <w:spacing w:after="240"/>
        <w:jc w:val="center"/>
      </w:pPr>
      <w:r>
        <w:rPr>
          <w:i/>
          <w:iCs/>
          <w:sz w:val="22"/>
          <w:szCs w:val="22"/>
        </w:rPr>
        <w:t xml:space="preserve"/>
      </w:r>
    </w:p>
    <w:p>
      <w:r>
        <w:t xml:space="preserve">MS | Math | Case Study | 2026-27 | Heroes Academy</w:t>
      </w:r>
    </w:p>
    <w:p>
      <w:pPr>
        <w:pStyle w:val="Heading2"/>
        <w:spacing w:after="120" w:before="240"/>
      </w:pPr>
      <w:r>
        <w:t xml:space="preserve">Overview</w:t>
      </w:r>
    </w:p>
    <w:p>
      <w:r>
        <w:t xml:space="preserve">The klaxon cuts through the War Room before the analyst even finishes standing up. "General — all enemy missile sites just lit up. Launch sequences are initiating across the board." General Marcus T. Reyes doesn't look up from the screen yet. "Time to launch?"</w:t>
      </w:r>
    </w:p>
    <w:p>
      <w:r>
        <w:t xml:space="preserve">"Twelve minutes, sir. Maybe less."</w:t>
      </w:r>
    </w:p>
    <w:p>
      <w:r>
        <w:t xml:space="preserve">Reyes is already moving. "Get the birds at Camp Dragonbreath in the air. Now." Across the room, Lieutenant General Reina Harper is pulling two folders off her desk before he's even finished the sentence — she's been running these numbers for a week, hoping she'd never have to hand them over for real. "Grey Dawn and Desert Sparrow, sir. Both ready. You have four minutes before the jets are airborne, and then it's fixed — no changing the plan once they're off the runway."</w:t>
      </w:r>
    </w:p>
    <w:p>
      <w:r>
        <w:t xml:space="preserve">Reyes takes both folders. Two F-16s are already taxiing on the tarmac feed behind her, engines spooling. He has four minutes to read what's inside, and then the choice is made for however long it takes those jets to fly.</w:t>
      </w:r>
    </w:p>
    <w:p>
      <w:r>
        <w:t xml:space="preserve">He opens the first folder.</w:t>
      </w:r>
    </w:p>
    <w:p>
      <w:pPr>
        <w:pStyle w:val="Heading2"/>
        <w:spacing w:after="120" w:before="240"/>
      </w:pPr>
      <w:r>
        <w:t xml:space="preserve">Background</w:t>
      </w:r>
    </w:p>
    <w:p>
      <w:r>
        <w:t xml:space="preserve">General Marcus T. Reyes commands the joint strike cell responsible for Camp Dragonbreath, a forward airbase sitting just across the border from a hostile state whose ballistic missile program has been under close watch for months. When the base's early-warning radar confirms that every tracked missile site in the region has begun launch preparations, Reyes has to choose how to use the only aircraft he has in the air in time to matter: two F-16 fighters, armed and airborne within four minutes of the order, leaving exactly </w:t>
      </w:r>
      <w:r>
        <w:rPr>
          <w:b/>
          <w:bCs/>
        </w:rPr>
        <w:t xml:space="preserve">12 minutes</w:t>
      </w:r>
      <w:r>
        <w:t xml:space="preserve"> of flight time before the missile sites finish their launch sequences (</w:t>
      </w:r>
      <w:r>
        <w:rPr>
          <w:b/>
          <w:bCs/>
        </w:rPr>
        <w:t xml:space="preserve">SEE APPENDIX A</w:t>
      </w:r>
      <w:r>
        <w:t xml:space="preserve">).</w:t>
      </w:r>
    </w:p>
    <w:p>
      <w:r>
        <w:t xml:space="preserve">Lieutenant General Harper's team has prepared two pre-analyzed strike plans:</w:t>
      </w:r>
    </w:p>
    <w:p>
      <w:r>
        <w:rPr>
          <w:b/>
          <w:bCs/>
        </w:rPr>
        <w:t xml:space="preserve">Operation Grey Dawn</w:t>
      </w:r>
      <w:r>
        <w:t xml:space="preserve"> — order both F-16s to attack and destroy the long-range </w:t>
      </w:r>
      <w:r>
        <w:rPr>
          <w:b/>
          <w:bCs/>
        </w:rPr>
        <w:t xml:space="preserve">ICBM</w:t>
      </w:r>
      <w:r>
        <w:t xml:space="preserve"> sites first; only after every reachable ICBM site is destroyed do the jets use any remaining flight time on short-range </w:t>
      </w:r>
      <w:r>
        <w:rPr>
          <w:b/>
          <w:bCs/>
        </w:rPr>
        <w:t xml:space="preserve">SRBM</w:t>
      </w:r>
      <w:r>
        <w:t xml:space="preserve"> sites.</w:t>
      </w:r>
    </w:p>
    <w:p>
      <w:r>
        <w:rPr>
          <w:b/>
          <w:bCs/>
        </w:rPr>
        <w:t xml:space="preserve">Operation Desert Sparrow</w:t>
      </w:r>
      <w:r>
        <w:t xml:space="preserve"> — order both F-16s to attack and destroy as many missile sites as possible along the fastest available route, with no priority given to ICBM sites over SRBM sites.</w:t>
      </w:r>
    </w:p>
    <w:p>
      <w:r>
        <w:t xml:space="preserve">The Defense Intelligence Agency's site survey lists nine ICBM sites and six SRBM sites, each carrying one of five warhead classes, plotted on a coordinate grid centered on Camp Dragonbreath (</w:t>
      </w:r>
      <w:r>
        <w:rPr>
          <w:b/>
          <w:bCs/>
        </w:rPr>
        <w:t xml:space="preserve">SEE APPENDIX A</w:t>
      </w:r>
      <w:r>
        <w:t xml:space="preserve">). Each warhead class carries a real population-at-risk figure if it reaches a major urban center (</w:t>
      </w:r>
      <w:r>
        <w:rPr>
          <w:b/>
          <w:bCs/>
        </w:rPr>
        <w:t xml:space="preserve">SEE APPENDIX B</w:t>
      </w:r>
      <w:r>
        <w:t xml:space="preserve">). The two missile types are not equally dangerous to the same people: each ICBM site carries a single long-range missile whose class can reach the entire continental United States and is not stopped by the U.S. missile defense system now in place (</w:t>
      </w:r>
      <w:r>
        <w:rPr>
          <w:b/>
          <w:bCs/>
        </w:rPr>
        <w:t xml:space="preserve">SEE APPENDIX C</w:t>
      </w:r>
      <w:r>
        <w:t xml:space="preserve">). Each SRBM site carries a shorter-range missile that threatens regional allied cities and nearby U.S. military installations, and unlike the ICBM threat, an allied missile-defense network has a real, if partial, chance of shooting an SRBM down after launch (</w:t>
      </w:r>
      <w:r>
        <w:rPr>
          <w:b/>
          <w:bCs/>
        </w:rPr>
        <w:t xml:space="preserve">SEE APPENDIX C</w:t>
      </w:r>
      <w:r>
        <w:t xml:space="preserve">).</w:t>
      </w:r>
    </w:p>
    <w:p>
      <w:r>
        <w:t xml:space="preserve">Once airborne, every F-16 in this case flies at the same top speed, and cannot fire on a target until it closes to within a fixed standoff distance of it (</w:t>
      </w:r>
      <w:r>
        <w:rPr>
          <w:b/>
          <w:bCs/>
        </w:rPr>
        <w:t xml:space="preserve">SEE APPENDIX C</w:t>
      </w:r>
      <w:r>
        <w:t xml:space="preserve">). Every missile site destroyed before it launches counts its population-at-risk figure as protected — for an SRBM site, that figure already has the Appendix C intercept chance built into it, whether the site is destroyed or left standing (</w:t>
      </w:r>
      <w:r>
        <w:rPr>
          <w:b/>
          <w:bCs/>
        </w:rPr>
        <w:t xml:space="preserve">SEE APPENDIX D, MA4</w:t>
      </w:r>
      <w:r>
        <w:t xml:space="preserve">). Every site still standing when the 12-minute window closes is a population still at risk. How each site's yield translates to a population-at-risk figure, and every other modeling convention this case fixes, is in </w:t>
      </w:r>
      <w:r>
        <w:rPr>
          <w:b/>
          <w:bCs/>
        </w:rPr>
        <w:t xml:space="preserve">APPENDIX D</w:t>
      </w:r>
      <w:r>
        <w:t xml:space="preserve">. Every cited figure in Appendix C is fully sourced in </w:t>
      </w:r>
      <w:r>
        <w:rPr>
          <w:b/>
          <w:bCs/>
        </w:rPr>
        <w:t xml:space="preserve">APPENDIX E</w:t>
      </w:r>
      <w:r>
        <w:t xml:space="preserve">.</w:t>
      </w:r>
    </w:p>
    <w:p>
      <w:r>
        <w:t xml:space="preserve">The vocabulary and "how to…" skills this case will ask you to research are listed in </w:t>
      </w:r>
      <w:r>
        <w:rPr>
          <w:b/>
          <w:bCs/>
        </w:rPr>
        <w:t xml:space="preserve">APPENDIX F</w:t>
      </w:r>
      <w:r>
        <w:t xml:space="preserve"> — that is where Challenge 1 sends you.</w:t>
      </w:r>
    </w:p>
    <w:p>
      <w:pPr>
        <w:pStyle w:val="Heading2"/>
        <w:spacing w:after="120" w:before="240"/>
      </w:pPr>
      <w:r>
        <w:t xml:space="preserve">Dilemma</w:t>
      </w:r>
    </w:p>
    <w:p>
      <w:r>
        <w:t xml:space="preserve">You are General Marcus T. Reyes.</w:t>
      </w:r>
    </w:p>
    <w:p>
      <w:r>
        <w:t xml:space="preserve">Do you:</w:t>
      </w:r>
    </w:p>
    <w:p>
      <w:r>
        <w:rPr>
          <w:b/>
          <w:bCs/>
        </w:rPr>
        <w:t xml:space="preserve">A.)</w:t>
      </w:r>
      <w:r>
        <w:t xml:space="preserve"> Choose Operation Grey Dawn </w:t>
      </w:r>
      <w:r>
        <w:rPr>
          <w:b/>
          <w:bCs/>
        </w:rPr>
        <w:t xml:space="preserve">OR</w:t>
      </w:r>
    </w:p>
    <w:p>
      <w:r>
        <w:rPr>
          <w:b/>
          <w:bCs/>
        </w:rPr>
        <w:t xml:space="preserve">B.)</w:t>
      </w:r>
      <w:r>
        <w:t xml:space="preserve"> Choose Operation Desert Sparrow</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Include the following:</w:t>
      </w:r>
    </w:p>
    <w:p>
      <w:pPr>
        <w:ind w:left="360"/>
      </w:pPr>
      <w:r>
        <w:t xml:space="preserve">- </w:t>
      </w:r>
      <w:r>
        <w:rPr>
          <w:b/>
          <w:bCs/>
        </w:rPr>
        <w:t xml:space="preserve">D1 — A coordinate table and plotted diagram</w:t>
      </w:r>
      <w:r>
        <w:t xml:space="preserve"> of all 15 missile sites and Camp Dragonbreath from Appendix A, each site labeled with the quadrant it falls in.</w:t>
      </w:r>
    </w:p>
    <w:p>
      <w:pPr>
        <w:ind w:left="360"/>
      </w:pPr>
      <w:r>
        <w:t xml:space="preserve">- </w:t>
      </w:r>
      <w:r>
        <w:rPr>
          <w:b/>
          <w:bCs/>
        </w:rPr>
        <w:t xml:space="preserve">D2 — Flight-path distances.</w:t>
      </w:r>
      <w:r>
        <w:t xml:space="preserve"> For each F-16 in your chosen operation, the distance in kilometers from Camp Dragonbreath to its first target, and between every subsequent pair of targets on its flight path, calculated using the distance formula on the coordinate plane (Appendix A, Appendix C).</w:t>
      </w:r>
    </w:p>
    <w:p>
      <w:pPr>
        <w:ind w:left="360"/>
      </w:pPr>
      <w:r>
        <w:t xml:space="preserve">- </w:t>
      </w:r>
      <w:r>
        <w:rPr>
          <w:b/>
          <w:bCs/>
        </w:rPr>
        <w:t xml:space="preserve">D3 — Flight-path times.</w:t>
      </w:r>
      <w:r>
        <w:t xml:space="preserve"> For each leg you found in D2, the flight time in minutes, converting the F-16's cruising speed (Appendix C) into kilometers per minute, plus a running cumulative flight-time total for each jet, rounded to the nearest tenth of a minute.</w:t>
      </w:r>
    </w:p>
    <w:p>
      <w:pPr>
        <w:ind w:left="360"/>
      </w:pPr>
      <w:r>
        <w:t xml:space="preserve">- </w:t>
      </w:r>
      <w:r>
        <w:rPr>
          <w:b/>
          <w:bCs/>
        </w:rPr>
        <w:t xml:space="preserve">D4 — Sites not reached in time.</w:t>
      </w:r>
      <w:r>
        <w:t xml:space="preserve"> A list of every missile site your operation will </w:t>
      </w:r>
      <w:r>
        <w:rPr>
          <w:i/>
          <w:iCs/>
        </w:rPr>
        <w:t xml:space="preserve">not</w:t>
      </w:r>
      <w:r>
        <w:t xml:space="preserve"> reach before the 12-minute window closes, and the expected population impact of each one — applying Appendix D's SRBM intercept-probability discount where it applies.</w:t>
      </w:r>
    </w:p>
    <w:p>
      <w:pPr>
        <w:ind w:left="360"/>
      </w:pPr>
      <w:r>
        <w:t xml:space="preserve">- </w:t>
      </w:r>
      <w:r>
        <w:rPr>
          <w:b/>
          <w:bCs/>
        </w:rPr>
        <w:t xml:space="preserve">D5 — A bar graph</w:t>
      </w:r>
      <w:r>
        <w:t xml:space="preserve"> comparing total expected population protected under Operation Grey Dawn versus Operation Desert Sparrow.</w:t>
      </w:r>
    </w:p>
    <w:p>
      <w:pPr>
        <w:ind w:left="360"/>
      </w:pPr>
      <w:r>
        <w:t xml:space="preserve">- </w:t>
      </w:r>
      <w:r>
        <w:rPr>
          <w:b/>
          <w:bCs/>
        </w:rPr>
        <w:t xml:space="preserve">D6 — A recommendation</w:t>
      </w:r>
      <w:r>
        <w:t xml:space="preserve"> stating which operation you chose and why, citing the population-protected totals from D4 and D5. (Reminder: Appendix D's MA4 applies the SRBM intercept discount to a destroyed SRBM site's population-at-risk value too, not only to sites left standing — check your D4/D5 totals against that rule before you write D6.)</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DIA Site Survey — Coordinates and Warhead Classes</w:t>
      </w:r>
    </w:p>
    <w:p>
      <w:r>
        <w:t xml:space="preserve">Each grid unit represents </w:t>
      </w:r>
      <w:r>
        <w:rPr>
          <w:b/>
          <w:bCs/>
        </w:rPr>
        <w:t xml:space="preserve">10 kilometers</w:t>
      </w:r>
      <w:r>
        <w:t xml:space="preserve">. Camp Dragonbreath sits at the origin of this survey's coordinate grid.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Site</w:t>
            </w:r>
          </w:p>
        </w:tc>
        <w:tc>
          <w:tcPr>
            <w:tcW w:type="dxa" w:w="2250"/>
            <w:shd w:fill="DDDDDD" w:val="clear"/>
          </w:tcPr>
          <w:p>
            <w:r>
              <w:t xml:space="preserve">Type</w:t>
            </w:r>
          </w:p>
        </w:tc>
        <w:tc>
          <w:tcPr>
            <w:tcW w:type="dxa" w:w="2250"/>
            <w:shd w:fill="DDDDDD" w:val="clear"/>
          </w:tcPr>
          <w:p>
            <w:r>
              <w:t xml:space="preserve">Grid coordinate</w:t>
            </w:r>
          </w:p>
        </w:tc>
        <w:tc>
          <w:tcPr>
            <w:tcW w:type="dxa" w:w="2250"/>
            <w:shd w:fill="DDDDDD" w:val="clear"/>
          </w:tcPr>
          <w:p>
            <w:r>
              <w:t xml:space="preserve">Warhead class</w:t>
            </w:r>
          </w:p>
        </w:tc>
      </w:tr>
      <w:tr>
        <w:tc>
          <w:tcPr>
            <w:tcW w:type="dxa" w:w="2250"/>
          </w:tcPr>
          <w:p>
            <w:r>
              <w:t xml:space="preserve">Camp Dragonbreath</w:t>
            </w:r>
          </w:p>
        </w:tc>
        <w:tc>
          <w:tcPr>
            <w:tcW w:type="dxa" w:w="2250"/>
          </w:tcPr>
          <w:p>
            <w:r>
              <w:t xml:space="preserve">Base</w:t>
            </w:r>
          </w:p>
        </w:tc>
        <w:tc>
          <w:tcPr>
            <w:tcW w:type="dxa" w:w="2250"/>
          </w:tcPr>
          <w:p>
            <w:r>
              <w:t xml:space="preserve">(2, -19)</w:t>
            </w:r>
          </w:p>
        </w:tc>
        <w:tc>
          <w:tcPr>
            <w:tcW w:type="dxa" w:w="2250"/>
          </w:tcPr>
          <w:p>
            <w:r>
              <w:t xml:space="preserve">—</w:t>
            </w:r>
          </w:p>
        </w:tc>
      </w:tr>
      <w:tr>
        <w:tc>
          <w:tcPr>
            <w:tcW w:type="dxa" w:w="2250"/>
          </w:tcPr>
          <w:p>
            <w:r>
              <w:t xml:space="preserve">ICBM-Alpha</w:t>
            </w:r>
          </w:p>
        </w:tc>
        <w:tc>
          <w:tcPr>
            <w:tcW w:type="dxa" w:w="2250"/>
          </w:tcPr>
          <w:p>
            <w:r>
              <w:t xml:space="preserve">ICBM</w:t>
            </w:r>
          </w:p>
        </w:tc>
        <w:tc>
          <w:tcPr>
            <w:tcW w:type="dxa" w:w="2250"/>
          </w:tcPr>
          <w:p>
            <w:r>
              <w:t xml:space="preserve">(6, 9)</w:t>
            </w:r>
          </w:p>
        </w:tc>
        <w:tc>
          <w:tcPr>
            <w:tcW w:type="dxa" w:w="2250"/>
          </w:tcPr>
          <w:p>
            <w:r>
              <w:t xml:space="preserve">5.2 MT</w:t>
            </w:r>
          </w:p>
        </w:tc>
      </w:tr>
      <w:tr>
        <w:tc>
          <w:tcPr>
            <w:tcW w:type="dxa" w:w="2250"/>
          </w:tcPr>
          <w:p>
            <w:r>
              <w:t xml:space="preserve">ICBM-Bravo</w:t>
            </w:r>
          </w:p>
        </w:tc>
        <w:tc>
          <w:tcPr>
            <w:tcW w:type="dxa" w:w="2250"/>
          </w:tcPr>
          <w:p>
            <w:r>
              <w:t xml:space="preserve">ICBM</w:t>
            </w:r>
          </w:p>
        </w:tc>
        <w:tc>
          <w:tcPr>
            <w:tcW w:type="dxa" w:w="2250"/>
          </w:tcPr>
          <w:p>
            <w:r>
              <w:t xml:space="preserve">(-3, 7.5)</w:t>
            </w:r>
          </w:p>
        </w:tc>
        <w:tc>
          <w:tcPr>
            <w:tcW w:type="dxa" w:w="2250"/>
          </w:tcPr>
          <w:p>
            <w:r>
              <w:t xml:space="preserve">100 kt</w:t>
            </w:r>
          </w:p>
        </w:tc>
      </w:tr>
      <w:tr>
        <w:tc>
          <w:tcPr>
            <w:tcW w:type="dxa" w:w="2250"/>
          </w:tcPr>
          <w:p>
            <w:r>
              <w:t xml:space="preserve">ICBM-Charlie</w:t>
            </w:r>
          </w:p>
        </w:tc>
        <w:tc>
          <w:tcPr>
            <w:tcW w:type="dxa" w:w="2250"/>
          </w:tcPr>
          <w:p>
            <w:r>
              <w:t xml:space="preserve">ICBM</w:t>
            </w:r>
          </w:p>
        </w:tc>
        <w:tc>
          <w:tcPr>
            <w:tcW w:type="dxa" w:w="2250"/>
          </w:tcPr>
          <w:p>
            <w:r>
              <w:t xml:space="preserve">(10, 0)</w:t>
            </w:r>
          </w:p>
        </w:tc>
        <w:tc>
          <w:tcPr>
            <w:tcW w:type="dxa" w:w="2250"/>
          </w:tcPr>
          <w:p>
            <w:r>
              <w:t xml:space="preserve">1 MT</w:t>
            </w:r>
          </w:p>
        </w:tc>
      </w:tr>
      <w:tr>
        <w:tc>
          <w:tcPr>
            <w:tcW w:type="dxa" w:w="2250"/>
          </w:tcPr>
          <w:p>
            <w:r>
              <w:t xml:space="preserve">ICBM-Delta</w:t>
            </w:r>
          </w:p>
        </w:tc>
        <w:tc>
          <w:tcPr>
            <w:tcW w:type="dxa" w:w="2250"/>
          </w:tcPr>
          <w:p>
            <w:r>
              <w:t xml:space="preserve">ICBM</w:t>
            </w:r>
          </w:p>
        </w:tc>
        <w:tc>
          <w:tcPr>
            <w:tcW w:type="dxa" w:w="2250"/>
          </w:tcPr>
          <w:p>
            <w:r>
              <w:t xml:space="preserve">(-8, -4)</w:t>
            </w:r>
          </w:p>
        </w:tc>
        <w:tc>
          <w:tcPr>
            <w:tcW w:type="dxa" w:w="2250"/>
          </w:tcPr>
          <w:p>
            <w:r>
              <w:t xml:space="preserve">3.1 MT</w:t>
            </w:r>
          </w:p>
        </w:tc>
      </w:tr>
      <w:tr>
        <w:tc>
          <w:tcPr>
            <w:tcW w:type="dxa" w:w="2250"/>
          </w:tcPr>
          <w:p>
            <w:r>
              <w:t xml:space="preserve">ICBM-Echo</w:t>
            </w:r>
          </w:p>
        </w:tc>
        <w:tc>
          <w:tcPr>
            <w:tcW w:type="dxa" w:w="2250"/>
          </w:tcPr>
          <w:p>
            <w:r>
              <w:t xml:space="preserve">ICBM</w:t>
            </w:r>
          </w:p>
        </w:tc>
        <w:tc>
          <w:tcPr>
            <w:tcW w:type="dxa" w:w="2250"/>
          </w:tcPr>
          <w:p>
            <w:r>
              <w:t xml:space="preserve">(1, -8.5)</w:t>
            </w:r>
          </w:p>
        </w:tc>
        <w:tc>
          <w:tcPr>
            <w:tcW w:type="dxa" w:w="2250"/>
          </w:tcPr>
          <w:p>
            <w:r>
              <w:t xml:space="preserve">50 kt</w:t>
            </w:r>
          </w:p>
        </w:tc>
      </w:tr>
      <w:tr>
        <w:tc>
          <w:tcPr>
            <w:tcW w:type="dxa" w:w="2250"/>
          </w:tcPr>
          <w:p>
            <w:r>
              <w:t xml:space="preserve">ICBM-Foxtrot</w:t>
            </w:r>
          </w:p>
        </w:tc>
        <w:tc>
          <w:tcPr>
            <w:tcW w:type="dxa" w:w="2250"/>
          </w:tcPr>
          <w:p>
            <w:r>
              <w:t xml:space="preserve">ICBM</w:t>
            </w:r>
          </w:p>
        </w:tc>
        <w:tc>
          <w:tcPr>
            <w:tcW w:type="dxa" w:w="2250"/>
          </w:tcPr>
          <w:p>
            <w:r>
              <w:t xml:space="preserve">(-7, -1)</w:t>
            </w:r>
          </w:p>
        </w:tc>
        <w:tc>
          <w:tcPr>
            <w:tcW w:type="dxa" w:w="2250"/>
          </w:tcPr>
          <w:p>
            <w:r>
              <w:t xml:space="preserve">5.2 MT</w:t>
            </w:r>
          </w:p>
        </w:tc>
      </w:tr>
      <w:tr>
        <w:tc>
          <w:tcPr>
            <w:tcW w:type="dxa" w:w="2250"/>
          </w:tcPr>
          <w:p>
            <w:r>
              <w:t xml:space="preserve">ICBM-Golf</w:t>
            </w:r>
          </w:p>
        </w:tc>
        <w:tc>
          <w:tcPr>
            <w:tcW w:type="dxa" w:w="2250"/>
          </w:tcPr>
          <w:p>
            <w:r>
              <w:t xml:space="preserve">ICBM</w:t>
            </w:r>
          </w:p>
        </w:tc>
        <w:tc>
          <w:tcPr>
            <w:tcW w:type="dxa" w:w="2250"/>
          </w:tcPr>
          <w:p>
            <w:r>
              <w:t xml:space="preserve">(-17, -13)</w:t>
            </w:r>
          </w:p>
        </w:tc>
        <w:tc>
          <w:tcPr>
            <w:tcW w:type="dxa" w:w="2250"/>
          </w:tcPr>
          <w:p>
            <w:r>
              <w:t xml:space="preserve">1 MT</w:t>
            </w:r>
          </w:p>
        </w:tc>
      </w:tr>
      <w:tr>
        <w:tc>
          <w:tcPr>
            <w:tcW w:type="dxa" w:w="2250"/>
          </w:tcPr>
          <w:p>
            <w:r>
              <w:t xml:space="preserve">ICBM-Hotel</w:t>
            </w:r>
          </w:p>
        </w:tc>
        <w:tc>
          <w:tcPr>
            <w:tcW w:type="dxa" w:w="2250"/>
          </w:tcPr>
          <w:p>
            <w:r>
              <w:t xml:space="preserve">ICBM</w:t>
            </w:r>
          </w:p>
        </w:tc>
        <w:tc>
          <w:tcPr>
            <w:tcW w:type="dxa" w:w="2250"/>
          </w:tcPr>
          <w:p>
            <w:r>
              <w:t xml:space="preserve">(-14, 11)</w:t>
            </w:r>
          </w:p>
        </w:tc>
        <w:tc>
          <w:tcPr>
            <w:tcW w:type="dxa" w:w="2250"/>
          </w:tcPr>
          <w:p>
            <w:r>
              <w:t xml:space="preserve">3.1 MT</w:t>
            </w:r>
          </w:p>
        </w:tc>
      </w:tr>
      <w:tr>
        <w:tc>
          <w:tcPr>
            <w:tcW w:type="dxa" w:w="2250"/>
          </w:tcPr>
          <w:p>
            <w:r>
              <w:t xml:space="preserve">ICBM-India</w:t>
            </w:r>
          </w:p>
        </w:tc>
        <w:tc>
          <w:tcPr>
            <w:tcW w:type="dxa" w:w="2250"/>
          </w:tcPr>
          <w:p>
            <w:r>
              <w:t xml:space="preserve">ICBM</w:t>
            </w:r>
          </w:p>
        </w:tc>
        <w:tc>
          <w:tcPr>
            <w:tcW w:type="dxa" w:w="2250"/>
          </w:tcPr>
          <w:p>
            <w:r>
              <w:t xml:space="preserve">(13, 12.5)</w:t>
            </w:r>
          </w:p>
        </w:tc>
        <w:tc>
          <w:tcPr>
            <w:tcW w:type="dxa" w:w="2250"/>
          </w:tcPr>
          <w:p>
            <w:r>
              <w:t xml:space="preserve">50 kt</w:t>
            </w:r>
          </w:p>
        </w:tc>
      </w:tr>
      <w:tr>
        <w:tc>
          <w:tcPr>
            <w:tcW w:type="dxa" w:w="2250"/>
          </w:tcPr>
          <w:p>
            <w:r>
              <w:t xml:space="preserve">SRBM-Alpha</w:t>
            </w:r>
          </w:p>
        </w:tc>
        <w:tc>
          <w:tcPr>
            <w:tcW w:type="dxa" w:w="2250"/>
          </w:tcPr>
          <w:p>
            <w:r>
              <w:t xml:space="preserve">SRBM</w:t>
            </w:r>
          </w:p>
        </w:tc>
        <w:tc>
          <w:tcPr>
            <w:tcW w:type="dxa" w:w="2250"/>
          </w:tcPr>
          <w:p>
            <w:r>
              <w:t xml:space="preserve">(-3, 4)</w:t>
            </w:r>
          </w:p>
        </w:tc>
        <w:tc>
          <w:tcPr>
            <w:tcW w:type="dxa" w:w="2250"/>
          </w:tcPr>
          <w:p>
            <w:r>
              <w:t xml:space="preserve">5.2 MT</w:t>
            </w:r>
          </w:p>
        </w:tc>
      </w:tr>
      <w:tr>
        <w:tc>
          <w:tcPr>
            <w:tcW w:type="dxa" w:w="2250"/>
          </w:tcPr>
          <w:p>
            <w:r>
              <w:t xml:space="preserve">SRBM-Bravo</w:t>
            </w:r>
          </w:p>
        </w:tc>
        <w:tc>
          <w:tcPr>
            <w:tcW w:type="dxa" w:w="2250"/>
          </w:tcPr>
          <w:p>
            <w:r>
              <w:t xml:space="preserve">SRBM</w:t>
            </w:r>
          </w:p>
        </w:tc>
        <w:tc>
          <w:tcPr>
            <w:tcW w:type="dxa" w:w="2250"/>
          </w:tcPr>
          <w:p>
            <w:r>
              <w:t xml:space="preserve">(10, 4)</w:t>
            </w:r>
          </w:p>
        </w:tc>
        <w:tc>
          <w:tcPr>
            <w:tcW w:type="dxa" w:w="2250"/>
          </w:tcPr>
          <w:p>
            <w:r>
              <w:t xml:space="preserve">100 kt</w:t>
            </w:r>
          </w:p>
        </w:tc>
      </w:tr>
      <w:tr>
        <w:tc>
          <w:tcPr>
            <w:tcW w:type="dxa" w:w="2250"/>
          </w:tcPr>
          <w:p>
            <w:r>
              <w:t xml:space="preserve">SRBM-Charlie</w:t>
            </w:r>
          </w:p>
        </w:tc>
        <w:tc>
          <w:tcPr>
            <w:tcW w:type="dxa" w:w="2250"/>
          </w:tcPr>
          <w:p>
            <w:r>
              <w:t xml:space="preserve">SRBM</w:t>
            </w:r>
          </w:p>
        </w:tc>
        <w:tc>
          <w:tcPr>
            <w:tcW w:type="dxa" w:w="2250"/>
          </w:tcPr>
          <w:p>
            <w:r>
              <w:t xml:space="preserve">(14, -2)</w:t>
            </w:r>
          </w:p>
        </w:tc>
        <w:tc>
          <w:tcPr>
            <w:tcW w:type="dxa" w:w="2250"/>
          </w:tcPr>
          <w:p>
            <w:r>
              <w:t xml:space="preserve">1 MT</w:t>
            </w:r>
          </w:p>
        </w:tc>
      </w:tr>
      <w:tr>
        <w:tc>
          <w:tcPr>
            <w:tcW w:type="dxa" w:w="2250"/>
          </w:tcPr>
          <w:p>
            <w:r>
              <w:t xml:space="preserve">SRBM-Delta</w:t>
            </w:r>
          </w:p>
        </w:tc>
        <w:tc>
          <w:tcPr>
            <w:tcW w:type="dxa" w:w="2250"/>
          </w:tcPr>
          <w:p>
            <w:r>
              <w:t xml:space="preserve">SRBM</w:t>
            </w:r>
          </w:p>
        </w:tc>
        <w:tc>
          <w:tcPr>
            <w:tcW w:type="dxa" w:w="2250"/>
          </w:tcPr>
          <w:p>
            <w:r>
              <w:t xml:space="preserve">(-17, 7)</w:t>
            </w:r>
          </w:p>
        </w:tc>
        <w:tc>
          <w:tcPr>
            <w:tcW w:type="dxa" w:w="2250"/>
          </w:tcPr>
          <w:p>
            <w:r>
              <w:t xml:space="preserve">3.1 MT</w:t>
            </w:r>
          </w:p>
        </w:tc>
      </w:tr>
      <w:tr>
        <w:tc>
          <w:tcPr>
            <w:tcW w:type="dxa" w:w="2250"/>
          </w:tcPr>
          <w:p>
            <w:r>
              <w:t xml:space="preserve">SRBM-Echo</w:t>
            </w:r>
          </w:p>
        </w:tc>
        <w:tc>
          <w:tcPr>
            <w:tcW w:type="dxa" w:w="2250"/>
          </w:tcPr>
          <w:p>
            <w:r>
              <w:t xml:space="preserve">SRBM</w:t>
            </w:r>
          </w:p>
        </w:tc>
        <w:tc>
          <w:tcPr>
            <w:tcW w:type="dxa" w:w="2250"/>
          </w:tcPr>
          <w:p>
            <w:r>
              <w:t xml:space="preserve">(-2, 14)</w:t>
            </w:r>
          </w:p>
        </w:tc>
        <w:tc>
          <w:tcPr>
            <w:tcW w:type="dxa" w:w="2250"/>
          </w:tcPr>
          <w:p>
            <w:r>
              <w:t xml:space="preserve">50 kt</w:t>
            </w:r>
          </w:p>
        </w:tc>
      </w:tr>
      <w:tr>
        <w:tc>
          <w:tcPr>
            <w:tcW w:type="dxa" w:w="2250"/>
          </w:tcPr>
          <w:p>
            <w:r>
              <w:t xml:space="preserve">SRBM-Foxtrot</w:t>
            </w:r>
          </w:p>
        </w:tc>
        <w:tc>
          <w:tcPr>
            <w:tcW w:type="dxa" w:w="2250"/>
          </w:tcPr>
          <w:p>
            <w:r>
              <w:t xml:space="preserve">SRBM</w:t>
            </w:r>
          </w:p>
        </w:tc>
        <w:tc>
          <w:tcPr>
            <w:tcW w:type="dxa" w:w="2250"/>
          </w:tcPr>
          <w:p>
            <w:r>
              <w:t xml:space="preserve">(1, -13)</w:t>
            </w:r>
          </w:p>
        </w:tc>
        <w:tc>
          <w:tcPr>
            <w:tcW w:type="dxa" w:w="2250"/>
          </w:tcPr>
          <w:p>
            <w:r>
              <w:t xml:space="preserve">5.2 MT</w:t>
            </w:r>
          </w:p>
        </w:tc>
      </w:tr>
    </w:tbl>
    <w:p/>
    <w:p>
      <w:r>
        <w:rPr>
          <w:i/>
          <w:iCs/>
        </w:rPr>
        <w:t xml:space="preserve">Reproduced directly from the DIA survey plot used to build this case (originally a Desmos-style scatter plot); this table is the authoritative, load-bearing copy of that data. Warhead-class colors on the original plot: red = 5.2 MT, purple = 3.1 MT, green = 1 MT, blue = 100 kt, black = 50 kt.</w:t>
      </w:r>
    </w:p>
    <w:p>
      <w:pPr>
        <w:pStyle w:val="Heading2"/>
        <w:spacing w:after="120" w:before="240"/>
      </w:pPr>
      <w:r>
        <w:t xml:space="preserve">Appendix B: Population-at-Risk by Warhead Class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Warhead class</w:t>
            </w:r>
          </w:p>
        </w:tc>
        <w:tc>
          <w:tcPr>
            <w:tcW w:type="dxa" w:w="2250"/>
            <w:shd w:fill="DDDDDD" w:val="clear"/>
          </w:tcPr>
          <w:p>
            <w:r>
              <w:t xml:space="preserve">5-psi blast radius</w:t>
            </w:r>
          </w:p>
        </w:tc>
        <w:tc>
          <w:tcPr>
            <w:tcW w:type="dxa" w:w="2250"/>
            <w:shd w:fill="DDDDDD" w:val="clear"/>
          </w:tcPr>
          <w:p>
            <w:r>
              <w:t xml:space="preserve">Area at risk</w:t>
            </w:r>
          </w:p>
        </w:tc>
        <w:tc>
          <w:tcPr>
            <w:tcW w:type="dxa" w:w="2250"/>
            <w:shd w:fill="DDDDDD" w:val="clear"/>
          </w:tcPr>
          <w:p>
            <w:r>
              <w:t xml:space="preserve">Population at risk</w:t>
            </w:r>
          </w:p>
        </w:tc>
      </w:tr>
      <w:tr>
        <w:tc>
          <w:tcPr>
            <w:tcW w:type="dxa" w:w="2250"/>
          </w:tcPr>
          <w:p>
            <w:r>
              <w:t xml:space="preserve">5.2 megaton</w:t>
            </w:r>
          </w:p>
        </w:tc>
        <w:tc>
          <w:tcPr>
            <w:tcW w:type="dxa" w:w="2250"/>
          </w:tcPr>
          <w:p>
            <w:r>
              <w:t xml:space="preserve">17.92 km</w:t>
            </w:r>
          </w:p>
        </w:tc>
        <w:tc>
          <w:tcPr>
            <w:tcW w:type="dxa" w:w="2250"/>
          </w:tcPr>
          <w:p>
            <w:r>
              <w:t xml:space="preserve">1,008 km²</w:t>
            </w:r>
          </w:p>
        </w:tc>
        <w:tc>
          <w:tcPr>
            <w:tcW w:type="dxa" w:w="2250"/>
          </w:tcPr>
          <w:p>
            <w:r>
              <w:t xml:space="preserve">1,057,614</w:t>
            </w:r>
          </w:p>
        </w:tc>
      </w:tr>
      <w:tr>
        <w:tc>
          <w:tcPr>
            <w:tcW w:type="dxa" w:w="2250"/>
          </w:tcPr>
          <w:p>
            <w:r>
              <w:t xml:space="preserve">3.1 megaton</w:t>
            </w:r>
          </w:p>
        </w:tc>
        <w:tc>
          <w:tcPr>
            <w:tcW w:type="dxa" w:w="2250"/>
          </w:tcPr>
          <w:p>
            <w:r>
              <w:t xml:space="preserve">15.08 km</w:t>
            </w:r>
          </w:p>
        </w:tc>
        <w:tc>
          <w:tcPr>
            <w:tcW w:type="dxa" w:w="2250"/>
          </w:tcPr>
          <w:p>
            <w:r>
              <w:t xml:space="preserve">714 km²</w:t>
            </w:r>
          </w:p>
        </w:tc>
        <w:tc>
          <w:tcPr>
            <w:tcW w:type="dxa" w:w="2250"/>
          </w:tcPr>
          <w:p>
            <w:r>
              <w:t xml:space="preserve">749,145</w:t>
            </w:r>
          </w:p>
        </w:tc>
      </w:tr>
      <w:tr>
        <w:tc>
          <w:tcPr>
            <w:tcW w:type="dxa" w:w="2250"/>
          </w:tcPr>
          <w:p>
            <w:r>
              <w:t xml:space="preserve">1 megaton</w:t>
            </w:r>
          </w:p>
        </w:tc>
        <w:tc>
          <w:tcPr>
            <w:tcW w:type="dxa" w:w="2250"/>
          </w:tcPr>
          <w:p>
            <w:r>
              <w:t xml:space="preserve">10.34 km</w:t>
            </w:r>
          </w:p>
        </w:tc>
        <w:tc>
          <w:tcPr>
            <w:tcW w:type="dxa" w:w="2250"/>
          </w:tcPr>
          <w:p>
            <w:r>
              <w:t xml:space="preserve">336 km²</w:t>
            </w:r>
          </w:p>
        </w:tc>
        <w:tc>
          <w:tcPr>
            <w:tcW w:type="dxa" w:w="2250"/>
          </w:tcPr>
          <w:p>
            <w:r>
              <w:t xml:space="preserve">352,364</w:t>
            </w:r>
          </w:p>
        </w:tc>
      </w:tr>
      <w:tr>
        <w:tc>
          <w:tcPr>
            <w:tcW w:type="dxa" w:w="2250"/>
          </w:tcPr>
          <w:p>
            <w:r>
              <w:t xml:space="preserve">100 kiloton</w:t>
            </w:r>
          </w:p>
        </w:tc>
        <w:tc>
          <w:tcPr>
            <w:tcW w:type="dxa" w:w="2250"/>
          </w:tcPr>
          <w:p>
            <w:r>
              <w:t xml:space="preserve">4.80 km</w:t>
            </w:r>
          </w:p>
        </w:tc>
        <w:tc>
          <w:tcPr>
            <w:tcW w:type="dxa" w:w="2250"/>
          </w:tcPr>
          <w:p>
            <w:r>
              <w:t xml:space="preserve">72 km²</w:t>
            </w:r>
          </w:p>
        </w:tc>
        <w:tc>
          <w:tcPr>
            <w:tcW w:type="dxa" w:w="2250"/>
          </w:tcPr>
          <w:p>
            <w:r>
              <w:t xml:space="preserve">75,915</w:t>
            </w:r>
          </w:p>
        </w:tc>
      </w:tr>
      <w:tr>
        <w:tc>
          <w:tcPr>
            <w:tcW w:type="dxa" w:w="2250"/>
          </w:tcPr>
          <w:p>
            <w:r>
              <w:t xml:space="preserve">50 kiloton</w:t>
            </w:r>
          </w:p>
        </w:tc>
        <w:tc>
          <w:tcPr>
            <w:tcW w:type="dxa" w:w="2250"/>
          </w:tcPr>
          <w:p>
            <w:r>
              <w:t xml:space="preserve">3.81 km</w:t>
            </w:r>
          </w:p>
        </w:tc>
        <w:tc>
          <w:tcPr>
            <w:tcW w:type="dxa" w:w="2250"/>
          </w:tcPr>
          <w:p>
            <w:r>
              <w:t xml:space="preserve">46 km²</w:t>
            </w:r>
          </w:p>
        </w:tc>
        <w:tc>
          <w:tcPr>
            <w:tcW w:type="dxa" w:w="2250"/>
          </w:tcPr>
          <w:p>
            <w:r>
              <w:t xml:space="preserve">47,823</w:t>
            </w:r>
          </w:p>
        </w:tc>
      </w:tr>
    </w:tbl>
    <w:p/>
    <w:p>
      <w:r>
        <w:rPr>
          <w:i/>
          <w:iCs/>
        </w:rPr>
        <w:t xml:space="preserve">Derived, not assumed — see Appendix D, Modeling Assumption MA3, for the two real, cited sources this table is computed from (a blast-radius scaling law and a representative urban-density figure) and why the population figures do NOT scale linearly with yield.</w:t>
      </w:r>
    </w:p>
    <w:p>
      <w:pPr>
        <w:pStyle w:val="Heading2"/>
        <w:spacing w:after="120" w:before="240"/>
      </w:pPr>
      <w:r>
        <w:t xml:space="preserve">Appendix C: Aircraft &amp; Missile Technical 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Spec</w:t>
            </w:r>
          </w:p>
        </w:tc>
        <w:tc>
          <w:tcPr>
            <w:tcW w:type="dxa" w:w="3000"/>
            <w:shd w:fill="DDDDDD" w:val="clear"/>
          </w:tcPr>
          <w:p>
            <w:r>
              <w:t xml:space="preserve">Value</w:t>
            </w:r>
          </w:p>
        </w:tc>
        <w:tc>
          <w:tcPr>
            <w:tcW w:type="dxa" w:w="3000"/>
            <w:shd w:fill="DDDDDD" w:val="clear"/>
          </w:tcPr>
          <w:p>
            <w:r>
              <w:t xml:space="preserve">Source</w:t>
            </w:r>
          </w:p>
        </w:tc>
      </w:tr>
      <w:tr>
        <w:tc>
          <w:tcPr>
            <w:tcW w:type="dxa" w:w="3000"/>
          </w:tcPr>
          <w:p>
            <w:r>
              <w:t xml:space="preserve">F-16 top speed</w:t>
            </w:r>
          </w:p>
        </w:tc>
        <w:tc>
          <w:tcPr>
            <w:tcW w:type="dxa" w:w="3000"/>
          </w:tcPr>
          <w:p>
            <w:r>
              <w:t xml:space="preserve">~2,400 km/h (Mach 2 class, ~1,500 mph at altitude)</w:t>
            </w:r>
          </w:p>
        </w:tc>
        <w:tc>
          <w:tcPr>
            <w:tcW w:type="dxa" w:w="3000"/>
          </w:tcPr>
          <w:p>
            <w:r>
              <w:t xml:space="preserve">[S1]</w:t>
            </w:r>
          </w:p>
        </w:tc>
      </w:tr>
      <w:tr>
        <w:tc>
          <w:tcPr>
            <w:tcW w:type="dxa" w:w="3000"/>
          </w:tcPr>
          <w:p>
            <w:r>
              <w:t xml:space="preserve">Firing standoff distance</w:t>
            </w:r>
          </w:p>
        </w:tc>
        <w:tc>
          <w:tcPr>
            <w:tcW w:type="dxa" w:w="3000"/>
          </w:tcPr>
          <w:p>
            <w:r>
              <w:t xml:space="preserve">2 km (jet cannot fire until within 2 km of target)</w:t>
            </w:r>
          </w:p>
        </w:tc>
        <w:tc>
          <w:tcPr>
            <w:tcW w:type="dxa" w:w="3000"/>
          </w:tcPr>
          <w:p>
            <w:r>
              <w:t xml:space="preserve">Modeling Assumption MA1</w:t>
            </w:r>
          </w:p>
        </w:tc>
      </w:tr>
      <w:tr>
        <w:tc>
          <w:tcPr>
            <w:tcW w:type="dxa" w:w="3000"/>
          </w:tcPr>
          <w:p>
            <w:r>
              <w:t xml:space="preserve">ICBM analog (DF-5-class) range</w:t>
            </w:r>
          </w:p>
        </w:tc>
        <w:tc>
          <w:tcPr>
            <w:tcW w:type="dxa" w:w="3000"/>
          </w:tcPr>
          <w:p>
            <w:r>
              <w:t xml:space="preserve">12,000 km — covers the continental United States from this case's region</w:t>
            </w:r>
          </w:p>
        </w:tc>
        <w:tc>
          <w:tcPr>
            <w:tcW w:type="dxa" w:w="3000"/>
          </w:tcPr>
          <w:p>
            <w:r>
              <w:t xml:space="preserve">[S2]</w:t>
            </w:r>
          </w:p>
        </w:tc>
      </w:tr>
      <w:tr>
        <w:tc>
          <w:tcPr>
            <w:tcW w:type="dxa" w:w="3000"/>
          </w:tcPr>
          <w:p>
            <w:r>
              <w:t xml:space="preserve">ICBM analog intercept capability</w:t>
            </w:r>
          </w:p>
        </w:tc>
        <w:tc>
          <w:tcPr>
            <w:tcW w:type="dxa" w:w="3000"/>
          </w:tcPr>
          <w:p>
            <w:r>
              <w:t xml:space="preserve">Current U.S. missile defense is not designed to intercept this missile class</w:t>
            </w:r>
          </w:p>
        </w:tc>
        <w:tc>
          <w:tcPr>
            <w:tcW w:type="dxa" w:w="3000"/>
          </w:tcPr>
          <w:p>
            <w:r>
              <w:t xml:space="preserve">[S2]</w:t>
            </w:r>
          </w:p>
        </w:tc>
      </w:tr>
      <w:tr>
        <w:tc>
          <w:tcPr>
            <w:tcW w:type="dxa" w:w="3000"/>
          </w:tcPr>
          <w:p>
            <w:r>
              <w:t xml:space="preserve">SRBM analog (TR-1 Temp-class) range</w:t>
            </w:r>
          </w:p>
        </w:tc>
        <w:tc>
          <w:tcPr>
            <w:tcW w:type="dxa" w:w="3000"/>
          </w:tcPr>
          <w:p>
            <w:r>
              <w:t xml:space="preserve">900 km — covers regional allied cities and nearby U.S. bases</w:t>
            </w:r>
          </w:p>
        </w:tc>
        <w:tc>
          <w:tcPr>
            <w:tcW w:type="dxa" w:w="3000"/>
          </w:tcPr>
          <w:p>
            <w:r>
              <w:t xml:space="preserve">[S3]</w:t>
            </w:r>
          </w:p>
        </w:tc>
      </w:tr>
      <w:tr>
        <w:tc>
          <w:tcPr>
            <w:tcW w:type="dxa" w:w="3000"/>
          </w:tcPr>
          <w:p>
            <w:r>
              <w:t xml:space="preserve">SRBM analog intercept rate</w:t>
            </w:r>
          </w:p>
        </w:tc>
        <w:tc>
          <w:tcPr>
            <w:tcW w:type="dxa" w:w="3000"/>
          </w:tcPr>
          <w:p>
            <w:r>
              <w:t xml:space="preserve">5.6% chance a launched SRBM is shot down before impact</w:t>
            </w:r>
          </w:p>
        </w:tc>
        <w:tc>
          <w:tcPr>
            <w:tcW w:type="dxa" w:w="3000"/>
          </w:tcPr>
          <w:p>
            <w:r>
              <w:t xml:space="preserve">Modeling Assumption MA2</w:t>
            </w:r>
          </w:p>
        </w:tc>
      </w:tr>
    </w:tbl>
    <w:p/>
    <w:p>
      <w:pPr>
        <w:pStyle w:val="Heading2"/>
        <w:spacing w:after="120" w:before="240"/>
      </w:pPr>
      <w:r>
        <w:t xml:space="preserve">Appendix D: Modeling Assumptions</w:t>
      </w:r>
    </w:p>
    <w:p>
      <w:pPr>
        <w:ind w:left="480"/>
      </w:pPr>
      <w:r>
        <w:t xml:space="preserve">These figures are </w:t>
      </w:r>
      <w:r>
        <w:rPr>
          <w:b/>
          <w:bCs/>
        </w:rPr>
        <w:t xml:space="preserve">not sourced</w:t>
      </w:r>
      <w:r>
        <w:t xml:space="preserve">. They are stated scenario assumptions chosen by the case author, layered on top of Appendix C's real, cited hardware specs.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Firing standoff distance</w:t>
            </w:r>
          </w:p>
        </w:tc>
        <w:tc>
          <w:tcPr>
            <w:tcW w:type="dxa" w:w="1800"/>
          </w:tcPr>
          <w:p>
            <w:r>
              <w:t xml:space="preserve">2 km, subtracted from every leg's flight distance before converting to time</w:t>
            </w:r>
          </w:p>
        </w:tc>
        <w:tc>
          <w:tcPr>
            <w:tcW w:type="dxa" w:w="1800"/>
          </w:tcPr>
          <w:p>
            <w:r>
              <w:t xml:space="preserve">A fixed tactical simplification so every leg's time is computable from distance and speed alone</w:t>
            </w:r>
          </w:p>
        </w:tc>
        <w:tc>
          <w:tcPr>
            <w:tcW w:type="dxa" w:w="1800"/>
          </w:tcPr>
          <w:p>
            <w:r>
              <w:t xml:space="preserve">Negligible on its own (≤2 km on legs of 30–340 km), but it is what makes D3's flight-time arithmetic exact rather than approximate</w:t>
            </w:r>
          </w:p>
        </w:tc>
      </w:tr>
      <w:tr>
        <w:tc>
          <w:tcPr>
            <w:tcW w:type="dxa" w:w="1800"/>
          </w:tcPr>
          <w:p>
            <w:r>
              <w:t xml:space="preserve">MA2</w:t>
            </w:r>
          </w:p>
        </w:tc>
        <w:tc>
          <w:tcPr>
            <w:tcW w:type="dxa" w:w="1800"/>
          </w:tcPr>
          <w:p>
            <w:r>
              <w:t xml:space="preserve">SRBM intercept rate</w:t>
            </w:r>
          </w:p>
        </w:tc>
        <w:tc>
          <w:tcPr>
            <w:tcW w:type="dxa" w:w="1800"/>
          </w:tcPr>
          <w:p>
            <w:r>
              <w:t xml:space="preserve">5.6% of launched SRBM-class missiles are shot down before impact; the remaining 94.4% reach their target</w:t>
            </w:r>
          </w:p>
        </w:tc>
        <w:tc>
          <w:tcPr>
            <w:tcW w:type="dxa" w:w="1800"/>
          </w:tcPr>
          <w:p>
            <w:r>
              <w:t xml:space="preserve">No public, unclassified success-rate figure exists for any specific regional missile-defense network; the case fixes one value so every SRBM site's expected-casualty figure is computable and comparable</w:t>
            </w:r>
          </w:p>
        </w:tc>
        <w:tc>
          <w:tcPr>
            <w:tcW w:type="dxa" w:w="1800"/>
          </w:tcPr>
          <w:p>
            <w:r>
              <w:t xml:space="preserve">This is the single most load-bearing assumption in the case: how much SRBM sites count toward the population-protected total is directly scaled by this figure, so a Hero should be ready to defend it and show how their recommendation would change under a different rate.</w:t>
            </w:r>
          </w:p>
        </w:tc>
      </w:tr>
      <w:tr>
        <w:tc>
          <w:tcPr>
            <w:tcW w:type="dxa" w:w="1800"/>
          </w:tcPr>
          <w:p>
            <w:r>
              <w:t xml:space="preserve">MA3</w:t>
            </w:r>
          </w:p>
        </w:tc>
        <w:tc>
          <w:tcPr>
            <w:tcW w:type="dxa" w:w="1800"/>
          </w:tcPr>
          <w:p>
            <w:r>
              <w:t xml:space="preserve">Population-at-risk by warhead class (Appendix B)</w:t>
            </w:r>
          </w:p>
        </w:tc>
        <w:tc>
          <w:tcPr>
            <w:tcW w:type="dxa" w:w="1800"/>
          </w:tcPr>
          <w:p>
            <w:r>
              <w:t xml:space="preserve">1,057,614 / 749,145 / 352,364 / 75,915 / 47,823 for 5.2 MT / 3.1 MT / 1 MT / 100 kt / 50 kt respectively</w:t>
            </w:r>
          </w:p>
        </w:tc>
        <w:tc>
          <w:tcPr>
            <w:tcW w:type="dxa" w:w="1800"/>
          </w:tcPr>
          <w:p>
            <w:r>
              <w:rPr>
                <w:b/>
                <w:bCs/>
              </w:rPr>
              <w:t xml:space="preserve">Derived from two real, cited sources, not guessed:</w:t>
            </w:r>
            <w:r>
              <w:t xml:space="preserve"> (1) blast radius scales with the cube root of yield — R(Y) = R₀·(Y/Y₀)^(1/3) — a real physical consequence of a point explosion's energy expanding roughly spherically (Sedov-Taylor scaling), documented in Glasstone &amp; Dolan's </w:t>
            </w:r>
            <w:r>
              <w:rPr>
                <w:i/>
                <w:iCs/>
              </w:rPr>
              <w:t xml:space="preserve">The Effects of Nuclear Weapons</w:t>
            </w:r>
            <w:r>
              <w:t xml:space="preserve"> [S4], anchored at the 5-psi overpressure radius for 100 kt (4.8 km) and cross-checked against the 1 Mt anchor (10.3 km); (2) a representative "major urban center" population density of 2,716 people/sq mi — the real U.S. Census-derived average density across all central cities in 2000, the most recent year for which this source reports a single nationwide central-city average (individual 2020 top-50-city densities vary far more widely, from ~1,100 to ~29,000/sq mi — see [S5]'s own Appendix A city table) [S5]. Population at risk = π·R² × density. Because area scales as yield^(2/3), NOT linearly with yield, this is a real, sourced nonlinearity: smaller warheads are relatively more population-dense per kiloton than a linear guess would suggest — which is exactly why the earlier linear-ish convention over-stated the low-yield figures (250,000/100,000 vs. the derived 75,915/47,823)</w:t>
            </w:r>
          </w:p>
        </w:tc>
        <w:tc>
          <w:tcPr>
            <w:tcW w:type="dxa" w:w="1800"/>
          </w:tcPr>
          <w:p>
            <w:r>
              <w:rPr>
                <w:b/>
                <w:bCs/>
              </w:rPr>
              <w:t xml:space="preserve">Still the case's most load-bearing assumption, and legitimately so — this is now a real, sourced computation, not an arbitrary guess, and it is STILL genuinely sensitive.</w:t>
            </w:r>
            <w:r>
              <w:t xml:space="preserve"> That is not a defect: no two real cities have the same density (a dense city core can run 3-10x this average; a sprawling metro can run well under it), and this case's "major urban center" is deliberately unnamed/fictional, so which real density applies is genuinely unknowable in advance — the same category of irreducible uncertainty as forecasting a future event, not a research gap. A Tier 2 assumption-flex check (</w:t>
            </w:r>
            <w:r>
              <w:rPr>
                <w:rFonts w:ascii="Courier New" w:cs="Courier New" w:eastAsia="Courier New" w:hAnsi="Courier New"/>
              </w:rPr>
              <w:t xml:space="preserve">sensitivity_model.py</w:t>
            </w:r>
            <w:r>
              <w:t xml:space="preserve">, re-run against the derived figures) found: flexing the 5.2 MT figure -50% flips the winner from B to A; flexing the 3.1 MT figure +50% also flips it. Every deliverable that totals population (D4, D5, D6) depends directly on this table — a grader should expect a Hero's final numbers to move if they use a different, defensibly-argued density figure, and should treat a Hero who interrogates this specific table (rather than treating it as gospel) as doing exactly the right thing.</w:t>
            </w:r>
          </w:p>
        </w:tc>
      </w:tr>
      <w:tr>
        <w:tc>
          <w:tcPr>
            <w:tcW w:type="dxa" w:w="1800"/>
          </w:tcPr>
          <w:p>
            <w:r>
              <w:t xml:space="preserve">MA4</w:t>
            </w:r>
          </w:p>
        </w:tc>
        <w:tc>
          <w:tcPr>
            <w:tcW w:type="dxa" w:w="1800"/>
          </w:tcPr>
          <w:p>
            <w:r>
              <w:t xml:space="preserve">Destroying a site before launch fully protects that site's population</w:t>
            </w:r>
          </w:p>
        </w:tc>
        <w:tc>
          <w:tcPr>
            <w:tcW w:type="dxa" w:w="1800"/>
          </w:tcPr>
          <w:p>
            <w:r>
              <w:t xml:space="preserve">A destroyed site cannot launch its missile at all, so its full population-at-risk value (with the MA2 discount already applied for SRBM) counts as protected</w:t>
            </w:r>
          </w:p>
        </w:tc>
        <w:tc>
          <w:tcPr>
            <w:tcW w:type="dxa" w:w="1800"/>
          </w:tcPr>
          <w:p>
            <w:r>
              <w:t xml:space="preserve">Direct consequence of "destroyed before the 12-minute window closes"</w:t>
            </w:r>
          </w:p>
        </w:tc>
        <w:tc>
          <w:tcPr>
            <w:tcW w:type="dxa" w:w="1800"/>
          </w:tcPr>
          <w:p>
            <w:r>
              <w:t xml:space="preserve">None — this is definitional, not a free parameter</w:t>
            </w:r>
          </w:p>
        </w:tc>
      </w:tr>
    </w:tbl>
    <w:p/>
    <w:p>
      <w:pPr>
        <w:pStyle w:val="Heading2"/>
        <w:spacing w:after="120" w:before="240"/>
      </w:pPr>
      <w:r>
        <w:t xml:space="preserve">Appendix E: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F-16 Fighting Falcon maximum speed</w:t>
            </w:r>
          </w:p>
        </w:tc>
        <w:tc>
          <w:tcPr>
            <w:tcW w:type="dxa" w:w="1500"/>
          </w:tcPr>
          <w:p>
            <w:r>
              <w:t xml:space="preserve">~1,500 mph / Mach 2 (≈2,410 km/h at altitude)</w:t>
            </w:r>
          </w:p>
        </w:tc>
        <w:tc>
          <w:tcPr>
            <w:tcW w:type="dxa" w:w="1500"/>
          </w:tcPr>
          <w:p>
            <w:r>
              <w:t xml:space="preserve">U.S. Air Force / Lockheed Martin F-16 fact sheets (public USAF and manufacturer fact sheets converge on Mach 2 / 1,500 mph; direct fetch of the af.mil and Lockheed Martin PDF pages was blocked by the sites' bot protection during this research pass, so this is graded MEDIUM rather than HIGH — see RESEARCH_LOG.md)</w:t>
            </w:r>
          </w:p>
        </w:tc>
        <w:tc>
          <w:tcPr>
            <w:tcW w:type="dxa" w:w="1500"/>
          </w:tcPr>
          <w:p>
            <w:r>
              <w:t xml:space="preserve">2026-08-13</w:t>
            </w:r>
          </w:p>
        </w:tc>
        <w:tc>
          <w:tcPr>
            <w:tcW w:type="dxa" w:w="1500"/>
          </w:tcPr>
          <w:p>
            <w:r>
              <w:t xml:space="preserve">MEDIUM</w:t>
            </w:r>
          </w:p>
        </w:tc>
      </w:tr>
      <w:tr>
        <w:tc>
          <w:tcPr>
            <w:tcW w:type="dxa" w:w="1500"/>
          </w:tcPr>
          <w:p>
            <w:r>
              <w:t xml:space="preserve">S2</w:t>
            </w:r>
          </w:p>
        </w:tc>
        <w:tc>
          <w:tcPr>
            <w:tcW w:type="dxa" w:w="1500"/>
          </w:tcPr>
          <w:p>
            <w:r>
              <w:t xml:space="preserve">DF-5 (CSS-4)-class ICBM range and U.S. missile-defense intercept posture</w:t>
            </w:r>
          </w:p>
        </w:tc>
        <w:tc>
          <w:tcPr>
            <w:tcW w:type="dxa" w:w="1500"/>
          </w:tcPr>
          <w:p>
            <w:r>
              <w:t xml:space="preserve">12,000 km effective range; not currently intercepted by U.S. missile defense</w:t>
            </w:r>
          </w:p>
        </w:tc>
        <w:tc>
          <w:tcPr>
            <w:tcW w:type="dxa" w:w="1500"/>
          </w:tcPr>
          <w:p>
            <w:r>
              <w:t xml:space="preserve">CSIS Missile Threat Project — "DF-5 (A/B)" (</w:t>
            </w:r>
            <w:hyperlink w:history="1" r:id="rIdvsvfzhcj2w52nc1n6fght">
              <w:r>
                <w:rPr>
                  <w:rStyle w:val="Hyperlink"/>
                </w:rPr>
                <w:t xml:space="preserve">missilethreat.csis.org/missile/df-5-ab</w:t>
              </w:r>
            </w:hyperlink>
            <w:r>
              <w:t xml:space="preserve">)</w:t>
            </w:r>
          </w:p>
        </w:tc>
        <w:tc>
          <w:tcPr>
            <w:tcW w:type="dxa" w:w="1500"/>
          </w:tcPr>
          <w:p>
            <w:r>
              <w:t xml:space="preserve">2026-08-13</w:t>
            </w:r>
          </w:p>
        </w:tc>
        <w:tc>
          <w:tcPr>
            <w:tcW w:type="dxa" w:w="1500"/>
          </w:tcPr>
          <w:p>
            <w:r>
              <w:t xml:space="preserve">HIGH</w:t>
            </w:r>
          </w:p>
        </w:tc>
      </w:tr>
      <w:tr>
        <w:tc>
          <w:tcPr>
            <w:tcW w:type="dxa" w:w="1500"/>
          </w:tcPr>
          <w:p>
            <w:r>
              <w:t xml:space="preserve">S3</w:t>
            </w:r>
          </w:p>
        </w:tc>
        <w:tc>
          <w:tcPr>
            <w:tcW w:type="dxa" w:w="1500"/>
          </w:tcPr>
          <w:p>
            <w:r>
              <w:t xml:space="preserve">TR-1 Temp (SS-12 Scaleboard / SS-22)-class SRBM range</w:t>
            </w:r>
          </w:p>
        </w:tc>
        <w:tc>
          <w:tcPr>
            <w:tcW w:type="dxa" w:w="1500"/>
          </w:tcPr>
          <w:p>
            <w:r>
              <w:t xml:space="preserve">900 km (SS-22 variant)</w:t>
            </w:r>
          </w:p>
        </w:tc>
        <w:tc>
          <w:tcPr>
            <w:tcW w:type="dxa" w:w="1500"/>
          </w:tcPr>
          <w:p>
            <w:r>
              <w:t xml:space="preserve">Wikipedia, "TR-1 Temp" (</w:t>
            </w:r>
            <w:hyperlink w:history="1" r:id="rIdkfei--famxb20nqsusl8c">
              <w:r>
                <w:rPr>
                  <w:rStyle w:val="Hyperlink"/>
                </w:rPr>
                <w:t xml:space="preserve">en.wikipedia.org/wiki/TR-1_Temp</w:t>
              </w:r>
            </w:hyperlink>
            <w:r>
              <w:t xml:space="preserve">) — a real, since-decommissioned (1988–89, INF Treaty) Soviet-era system; this case uses its real published range as the SRBM analog's technical spec</w:t>
            </w:r>
          </w:p>
        </w:tc>
        <w:tc>
          <w:tcPr>
            <w:tcW w:type="dxa" w:w="1500"/>
          </w:tcPr>
          <w:p>
            <w:r>
              <w:t xml:space="preserve">2026-08-13</w:t>
            </w:r>
          </w:p>
        </w:tc>
        <w:tc>
          <w:tcPr>
            <w:tcW w:type="dxa" w:w="1500"/>
          </w:tcPr>
          <w:p>
            <w:r>
              <w:t xml:space="preserve">HIGH</w:t>
            </w:r>
          </w:p>
        </w:tc>
      </w:tr>
      <w:tr>
        <w:tc>
          <w:tcPr>
            <w:tcW w:type="dxa" w:w="1500"/>
          </w:tcPr>
          <w:p>
            <w:r>
              <w:t xml:space="preserve">S4</w:t>
            </w:r>
          </w:p>
        </w:tc>
        <w:tc>
          <w:tcPr>
            <w:tcW w:type="dxa" w:w="1500"/>
          </w:tcPr>
          <w:p>
            <w:r>
              <w:t xml:space="preserve">Nuclear blast radius cube-root yield scaling; 5-psi overpressure radius anchors</w:t>
            </w:r>
          </w:p>
        </w:tc>
        <w:tc>
          <w:tcPr>
            <w:tcW w:type="dxa" w:w="1500"/>
          </w:tcPr>
          <w:p>
            <w:r>
              <w:t xml:space="preserve">R(Y) = R₀·(Y/Y₀)^(1/3); 100 kt → 4.8 km, 1 Mt → 10.3 km (5-psi ring)</w:t>
            </w:r>
          </w:p>
        </w:tc>
        <w:tc>
          <w:tcPr>
            <w:tcW w:type="dxa" w:w="1500"/>
          </w:tcPr>
          <w:p>
            <w:r>
              <w:t xml:space="preserve">Glasstone &amp; Dolan, </w:t>
            </w:r>
            <w:r>
              <w:rPr>
                <w:i/>
                <w:iCs/>
              </w:rPr>
              <w:t xml:space="preserve">The Effects of Nuclear Weapons</w:t>
            </w:r>
            <w:r>
              <w:t xml:space="preserve"> (1977) — the standard public reference behind NUKEMAP and similar public nuclear-effects estimators; anchor figures cross-checked against public blast-radius calculators (defconlevel.com, nukeblastsimulator.com) summarizing the same Glasstone &amp; Dolan curves</w:t>
            </w:r>
          </w:p>
        </w:tc>
        <w:tc>
          <w:tcPr>
            <w:tcW w:type="dxa" w:w="1500"/>
          </w:tcPr>
          <w:p>
            <w:r>
              <w:t xml:space="preserve">2026-08-13</w:t>
            </w:r>
          </w:p>
        </w:tc>
        <w:tc>
          <w:tcPr>
            <w:tcW w:type="dxa" w:w="1500"/>
          </w:tcPr>
          <w:p>
            <w:r>
              <w:t xml:space="preserve">HIGH</w:t>
            </w:r>
          </w:p>
        </w:tc>
      </w:tr>
      <w:tr>
        <w:tc>
          <w:tcPr>
            <w:tcW w:type="dxa" w:w="1500"/>
          </w:tcPr>
          <w:p>
            <w:r>
              <w:t xml:space="preserve">S5</w:t>
            </w:r>
          </w:p>
        </w:tc>
        <w:tc>
          <w:tcPr>
            <w:tcW w:type="dxa" w:w="1500"/>
          </w:tcPr>
          <w:p>
            <w:r>
              <w:t xml:space="preserve">Representative "major urban center" population density</w:t>
            </w:r>
          </w:p>
        </w:tc>
        <w:tc>
          <w:tcPr>
            <w:tcW w:type="dxa" w:w="1500"/>
          </w:tcPr>
          <w:p>
            <w:r>
              <w:t xml:space="preserve">2,716 persons/sq mi (average density across all U.S. central cities, 2000 -- the most recent year this source gives a single nationwide central-city average; "2,716.38" in an earlier draft of this case was a misread of the source's own footnote marker "38," not a decimal fraction)</w:t>
            </w:r>
          </w:p>
        </w:tc>
        <w:tc>
          <w:tcPr>
            <w:tcW w:type="dxa" w:w="1500"/>
          </w:tcPr>
          <w:p>
            <w:r>
              <w:t xml:space="preserve">Manhattan Institute, "How Large Cities Can Grow Denser and Flourish" (</w:t>
            </w:r>
            <w:hyperlink w:history="1" r:id="rIdvnzmpzfhade3eo9mjkkvf">
              <w:r>
                <w:rPr>
                  <w:rStyle w:val="Hyperlink"/>
                </w:rPr>
                <w:t xml:space="preserve">manhattan.institute/article/how-large-cities-can-grow-denser-and-flourish</w:t>
              </w:r>
            </w:hyperlink>
            <w:r>
              <w:t xml:space="preserve">), Appendix A PDF, local copy in </w:t>
            </w:r>
            <w:r>
              <w:rPr>
                <w:rFonts w:ascii="Courier New" w:cs="Courier New" w:eastAsia="Courier New" w:hAnsi="Courier New"/>
              </w:rPr>
              <w:t xml:space="preserve">sources/manhattan-institute-central-city-density-appendix.pdf</w:t>
            </w:r>
          </w:p>
        </w:tc>
        <w:tc>
          <w:tcPr>
            <w:tcW w:type="dxa" w:w="1500"/>
          </w:tcPr>
          <w:p>
            <w:r>
              <w:t xml:space="preserve">2026-08-18</w:t>
            </w:r>
          </w:p>
        </w:tc>
        <w:tc>
          <w:tcPr>
            <w:tcW w:type="dxa" w:w="1500"/>
          </w:tcPr>
          <w:p>
            <w:r>
              <w:t xml:space="preserve">HIGH</w:t>
            </w:r>
          </w:p>
        </w:tc>
      </w:tr>
    </w:tbl>
    <w:p/>
    <w:p>
      <w:r>
        <w:rPr>
          <w:i/>
          <w:iCs/>
        </w:rPr>
        <w:t xml:space="preserve">All figures in this case are sourced above or declared as a Modeling Assumption in Appendix D — there is no third category (SPEC.md §5). Appendix B's population-at-risk table is a computation from S4 and S5, not an independent claim.</w:t>
      </w:r>
    </w:p>
    <w:p>
      <w:pPr>
        <w:pStyle w:val="Heading2"/>
        <w:spacing w:after="120" w:before="240"/>
      </w:pPr>
      <w:r>
        <w:t xml:space="preserve">Appendix F: "How To…" Math Questions To Research</w:t>
      </w:r>
    </w:p>
    <w:p>
      <w:r>
        <w:rPr>
          <w:b/>
          <w:bCs/>
        </w:rPr>
        <w:t xml:space="preserve">Vocabulary terms</w:t>
      </w:r>
    </w:p>
    <w:p>
      <w:r>
        <w:t xml:space="preserve">Coordinate Plane · X-Axis · Y-Axis · Origin · Quadrant · Coordinate Pair (also Ordered Pair) · Pythagorean Theorem · Right Triangle · Hypotenuse · Distance · Time · Probability · Event · Outcome · Bar Graph</w:t>
      </w:r>
    </w:p>
    <w:p>
      <w:r>
        <w:rPr>
          <w:b/>
          <w:bCs/>
        </w:rPr>
        <w:t xml:space="preserve">"How to…" questions</w:t>
      </w:r>
    </w:p>
    <w:p>
      <w:pPr>
        <w:ind w:left="360"/>
      </w:pPr>
      <w:r>
        <w:t xml:space="preserve">- How to graph a coordinate pair on the coordinate plane</w:t>
      </w:r>
    </w:p>
    <w:p>
      <w:pPr>
        <w:ind w:left="360"/>
      </w:pPr>
      <w:r>
        <w:t xml:space="preserve">- How to find the distance between two coordinate pairs on a coordinate plane</w:t>
      </w:r>
    </w:p>
    <w:p>
      <w:pPr>
        <w:ind w:left="360"/>
      </w:pPr>
      <w:r>
        <w:t xml:space="preserve">- How to convert an amount with compound units</w:t>
      </w:r>
    </w:p>
    <w:p>
      <w:pPr>
        <w:ind w:left="360"/>
      </w:pPr>
      <w:r>
        <w:t xml:space="preserve">- How to convert between units of time</w:t>
      </w:r>
    </w:p>
    <w:p>
      <w:pPr>
        <w:ind w:left="360"/>
      </w:pPr>
      <w:r>
        <w:t xml:space="preserve">- How to find elapsed time</w:t>
      </w:r>
    </w:p>
    <w:p>
      <w:pPr>
        <w:ind w:left="360"/>
      </w:pPr>
      <w:r>
        <w:t xml:space="preserve">- How to round a number to a specified place value</w:t>
      </w:r>
    </w:p>
    <w:p>
      <w:pPr>
        <w:ind w:left="360"/>
      </w:pPr>
      <w:r>
        <w:t xml:space="preserve">- How to convert numbers to percents</w:t>
      </w:r>
    </w:p>
    <w:p>
      <w:pPr>
        <w:ind w:left="360"/>
      </w:pPr>
      <w:r>
        <w:t xml:space="preserve">- How to multiply decimal numbers</w:t>
      </w:r>
    </w:p>
    <w:p>
      <w:pPr>
        <w:ind w:left="360"/>
      </w:pPr>
      <w:r>
        <w:t xml:space="preserve">- How to add multi-digit numbers</w:t>
      </w:r>
    </w:p>
    <w:p>
      <w:pPr>
        <w:ind w:left="360"/>
      </w:pPr>
      <w:r>
        <w:t xml:space="preserve">- How to determine the probability of a single event</w:t>
      </w:r>
    </w:p>
    <w:p>
      <w:pPr>
        <w:ind w:left="360"/>
      </w:pPr>
      <w:r>
        <w:t xml:space="preserve">- How to compare two or more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svfzhcj2w52nc1n6fght" Type="http://schemas.openxmlformats.org/officeDocument/2006/relationships/hyperlink" Target="https://missilethreat.csis.org/missile/df-5-ab/" TargetMode="External"/><Relationship Id="rIdkfei--famxb20nqsusl8c" Type="http://schemas.openxmlformats.org/officeDocument/2006/relationships/hyperlink" Target="https://en.wikipedia.org/wiki/TR-1_Temp" TargetMode="External"/><Relationship Id="rIdvnzmpzfhade3eo9mjkkvf" Type="http://schemas.openxmlformats.org/officeDocument/2006/relationships/hyperlink" Target="https://manhattan.institute/article/how-large-cities-can-grow-denser-and-flourish-what-the-2020-census-reveals-about-urban-sprawl"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2026-08-19T02:52:47.852Z</dcterms:created>
  <dcterms:modified xsi:type="dcterms:W3CDTF">2026-08-19T02:52:47.857Z</dcterms:modified>
</cp:coreProperties>
</file>

<file path=docProps/custom.xml><?xml version="1.0" encoding="utf-8"?>
<Properties xmlns="http://schemas.openxmlformats.org/officeDocument/2006/custom-properties" xmlns:vt="http://schemas.openxmlformats.org/officeDocument/2006/docPropsVTypes"/>
</file>