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End Of Life</w:t>
      </w:r>
    </w:p>
    <w:p>
      <w:pPr>
        <w:spacing w:after="280"/>
        <w:jc w:val="center"/>
      </w:pPr>
      <w:r>
        <w:rPr>
          <w:i/>
          <w:iCs/>
          <w:sz w:val="22"/>
          <w:szCs w:val="22"/>
        </w:rPr>
        <w:t xml:space="preserve">MS | Math | Case Study | 2026-27 | Heroes Academy</w:t>
      </w:r>
    </w:p>
    <w:p>
      <w:pPr>
        <w:pStyle w:val="Heading2"/>
        <w:spacing w:after="140" w:before="280"/>
      </w:pPr>
      <w:r>
        <w:t xml:space="preserve">Overview</w:t>
      </w:r>
    </w:p>
    <w:p>
      <w:pPr>
        <w:spacing w:after="120"/>
      </w:pPr>
      <w:r>
        <w:t xml:space="preserve">Tyler Escovedo has read the same paragraph of the discharge pamphlet four times without absorbing a word of it. Across the cafeteria table, Lily picks the crust off a grilled cheese she isn't going to eat. Audrey and Caleb sit shoulder to shoulder, phones face-down, untouched. Upstairs, nine floors up, Lauren is exactly where she's been since Tuesday night — on a ventilator, breathing on a machine's schedule instead of her own.</w:t>
      </w:r>
    </w:p>
    <w:p>
      <w:pPr>
        <w:spacing w:after="120"/>
      </w:pPr>
      <w:r>
        <w:t xml:space="preserve">"Dr. Halbert said cold and slow," Audrey says quietly, more to the table than to anyone. "That's what she said. Cold and slow."</w:t>
      </w:r>
    </w:p>
    <w:p>
      <w:pPr>
        <w:spacing w:after="120"/>
      </w:pPr>
      <w:r>
        <w:t xml:space="preserve">Nobody answers. The cafeteria is nearly empty this late — just the hum of the soda case and a janitor mopping near the salad bar. Tyler turns his coffee cup a quarter turn, then another, watching a ring of condensation smear across the tray liner.</w:t>
      </w:r>
    </w:p>
    <w:p>
      <w:pPr>
        <w:spacing w:after="120"/>
      </w:pPr>
      <w:r>
        <w:t xml:space="preserve">His phone buzzes. Grace, already texting from the jet bridge in Los Angeles, landing soon. Three kids in this room and a fourth one still in the air, and every one of them is waiting on him to decide something no father should have to decide alone.</w:t>
      </w:r>
    </w:p>
    <w:p>
      <w:pPr>
        <w:spacing w:after="120"/>
      </w:pPr>
      <w:r>
        <w:t xml:space="preserve">The pamphlet in his hand describes what a ventilator does. What it doesn't tell him is when to turn it off — or whether "when" is even the right question.</w:t>
      </w:r>
    </w:p>
    <w:p>
      <w:pPr>
        <w:spacing w:after="120"/>
      </w:pPr>
      <w:r>
        <w:t xml:space="preserve">Lily finally looks up. "Dad. What are we doing?"</w:t>
      </w:r>
    </w:p>
    <w:p>
      <w:pPr>
        <w:pStyle w:val="Heading2"/>
        <w:spacing w:after="140" w:before="280"/>
      </w:pPr>
      <w:r>
        <w:t xml:space="preserve">Background</w:t>
      </w:r>
    </w:p>
    <w:p>
      <w:pPr>
        <w:spacing w:after="120"/>
      </w:pPr>
      <w:r>
        <w:rPr>
          <w:b/>
          <w:bCs/>
        </w:rPr>
        <w:t xml:space="preserve">Tyler Escovedo (44)</w:t>
      </w:r>
      <w:r>
        <w:t xml:space="preserve">, a software engineer, and </w:t>
      </w:r>
      <w:r>
        <w:rPr>
          <w:b/>
          <w:bCs/>
        </w:rPr>
        <w:t xml:space="preserve">Lauren Escovedo (45)</w:t>
      </w:r>
      <w:r>
        <w:t xml:space="preserve">, a labor and delivery nurse, are the parents of four children: </w:t>
      </w:r>
      <w:r>
        <w:rPr>
          <w:b/>
          <w:bCs/>
        </w:rPr>
        <w:t xml:space="preserve">Lily (14)</w:t>
      </w:r>
      <w:r>
        <w:t xml:space="preserve">, the only one still living at home; </w:t>
      </w:r>
      <w:r>
        <w:rPr>
          <w:b/>
          <w:bCs/>
        </w:rPr>
        <w:t xml:space="preserve">Audrey</w:t>
      </w:r>
      <w:r>
        <w:t xml:space="preserve"> and </w:t>
      </w:r>
      <w:r>
        <w:rPr>
          <w:b/>
          <w:bCs/>
        </w:rPr>
        <w:t xml:space="preserve">Caleb</w:t>
      </w:r>
      <w:r>
        <w:t xml:space="preserve">, both away at college; and </w:t>
      </w:r>
      <w:r>
        <w:rPr>
          <w:b/>
          <w:bCs/>
        </w:rPr>
        <w:t xml:space="preserve">Grace</w:t>
      </w:r>
      <w:r>
        <w:t xml:space="preserve">, the oldest, who lives out of state with her own two young children and is flying in to be with the family. Lauren was admitted after several nights without sleep, worsening headaches, and an inability to keep food down. Her heart stopped during a routine procedure on her first night in the hospital; she was resuscitated after six minutes of CPR and has been on a ventilator, unconscious, ever since. </w:t>
      </w:r>
      <w:r>
        <w:rPr>
          <w:b/>
          <w:bCs/>
        </w:rPr>
        <w:t xml:space="preserve">Dr. Ethan Halbert</w:t>
      </w:r>
      <w:r>
        <w:t xml:space="preserve">, overseeing her care, has told the family that Lauren's brain tumor is terminal, that she is not in pain, that there is less than a 5% chance she wakes before she dies, and that she will very likely survive </w:t>
      </w:r>
      <w:r>
        <w:rPr>
          <w:b/>
          <w:bCs/>
        </w:rPr>
        <w:t xml:space="preserve">two to three weeks</w:t>
      </w:r>
      <w:r>
        <w:t xml:space="preserve"> but will not survive more than </w:t>
      </w:r>
      <w:r>
        <w:rPr>
          <w:b/>
          <w:bCs/>
        </w:rPr>
        <w:t xml:space="preserve">50 days</w:t>
      </w:r>
      <w:r>
        <w:t xml:space="preserve"> (SEE APPENDIX C).</w:t>
      </w:r>
    </w:p>
    <w:p>
      <w:pPr>
        <w:spacing w:after="120"/>
      </w:pPr>
      <w:r>
        <w:t xml:space="preserve">As next of kin, Tyler holds medical decision authority, but the family is treating this as a shared decision. Two choices are in front of them, and only two: end mechanical ventilation on a date the family chooses, or leave the ventilator running and let Lauren's death happen on its own timeline, however long that turns out to be within Dr. Halbert's stated window.</w:t>
      </w:r>
    </w:p>
    <w:p>
      <w:pPr>
        <w:spacing w:after="120"/>
      </w:pPr>
      <w:r>
        <w:t xml:space="preserve">Every day Lauren remains hospitalized generates a new bill (SEE APPENDIX A). The family has employer health insurance through Tyler's job, but their plan has </w:t>
      </w:r>
      <w:r>
        <w:rPr>
          <w:b/>
          <w:bCs/>
        </w:rPr>
        <w:t xml:space="preserve">no maximum out-of-pocket limit</w:t>
      </w:r>
      <w:r>
        <w:t xml:space="preserve"> — nothing caps what they could ultimately owe. Tyler and Lauren's combined assets and liabilities, as of this week, are documented in a personal net-worth worksheet the family filled out with a financial planner last year (SEE APPENDIX B); which of those assets are actually liquid enough to spend on a hospital bill without a tax penalty or a slow sale is mapped separately (SEE APPENDIX F). The hospital's own billing statement also lists the current federal poverty guideline, which determines whether a patient qualifies for free or discounted care under state and hospital charity-care rules (SEE APPENDIX D). Appendix E lays out, as a stated modeling convention, how the daily rate observed in Appendix A is projected forward for however many additional days the family's choice requires, and how that daily rate is affected if Lauren ever leaves ICU/ventilator care for an alternative care setting. The vocabulary and "how to…" skills this case draws on are listed in Appendix G — that is where Challenge 1 sends you.</w:t>
      </w:r>
    </w:p>
    <w:p>
      <w:pPr>
        <w:pStyle w:val="Heading2"/>
        <w:spacing w:after="140" w:before="280"/>
      </w:pPr>
      <w:r>
        <w:t xml:space="preserve">Dilemma</w:t>
      </w:r>
    </w:p>
    <w:p>
      <w:pPr>
        <w:spacing w:after="120"/>
      </w:pPr>
      <w:r>
        <w:t xml:space="preserve">You are the Escovedo family.</w:t>
      </w:r>
    </w:p>
    <w:p>
      <w:pPr>
        <w:spacing w:after="120"/>
      </w:pPr>
      <w:r>
        <w:t xml:space="preserve">Do you:</w:t>
      </w:r>
    </w:p>
    <w:p>
      <w:pPr>
        <w:spacing w:after="120"/>
      </w:pPr>
      <w:r>
        <w:rPr>
          <w:b/>
          <w:bCs/>
        </w:rPr>
        <w:t xml:space="preserve">A.)</w:t>
      </w:r>
      <w:r>
        <w:t xml:space="preserve"> Remove Lauren from the breathing machine on a date you choose, ending her life then </w:t>
      </w:r>
      <w:r>
        <w:rPr>
          <w:b/>
          <w:bCs/>
        </w:rPr>
        <w:t xml:space="preserve">OR</w:t>
      </w:r>
    </w:p>
    <w:p>
      <w:pPr>
        <w:spacing w:after="120"/>
      </w:pPr>
      <w:r>
        <w:rPr>
          <w:b/>
          <w:bCs/>
        </w:rPr>
        <w:t xml:space="preserve">B.)</w:t>
      </w:r>
      <w:r>
        <w:t xml:space="preserve"> Keep Lauren on the breathing machine and let her die naturally, whenever that happens — no later than 50 days from now</w:t>
      </w:r>
    </w:p>
    <w:p>
      <w:pPr>
        <w:pStyle w:val="Heading2"/>
        <w:spacing w:after="140" w:before="280"/>
      </w:pPr>
      <w:r>
        <w:t xml:space="preserve">Challenges</w:t>
      </w:r>
    </w:p>
    <w:p>
      <w:pPr>
        <w:pStyle w:val="ListParagraph"/>
        <w:numPr>
          <w:ilvl w:val="0"/>
          <w:numId w:val="2"/>
        </w:numPr>
        <w:spacing w:after="60"/>
      </w:pPr>
      <w:r>
        <w:t xml:space="preserve">1.) Research and find an online resource that answers one of the "how to…" questions from the case study launch. Post a link to the resource as your submission.</w:t>
      </w:r>
    </w:p>
    <w:p>
      <w:pPr>
        <w:pStyle w:val="ListParagraph"/>
        <w:numPr>
          <w:ilvl w:val="0"/>
          <w:numId w:val="2"/>
        </w:numPr>
        <w:spacing w:after="60"/>
      </w:pPr>
      <w:r>
        <w:t xml:space="preserve">2.) Post 250 or more "excellent" words pitching a firm stance to your audience on which you would choose and why. Your pitch must include:</w:t>
      </w:r>
    </w:p>
    <w:p>
      <w:pPr>
        <w:pStyle w:val="ListParagraph"/>
        <w:numPr>
          <w:ilvl w:val="1"/>
          <w:numId w:val="2"/>
        </w:numPr>
        <w:spacing w:after="60"/>
      </w:pPr>
      <w:r>
        <w:t xml:space="preserve">a.) Use of the "how to…" resource you researched in Challenge 1.</w:t>
      </w:r>
    </w:p>
    <w:p>
      <w:pPr>
        <w:pStyle w:val="ListParagraph"/>
        <w:numPr>
          <w:ilvl w:val="1"/>
          <w:numId w:val="2"/>
        </w:numPr>
        <w:spacing w:after="60"/>
      </w:pPr>
      <w:r>
        <w:t xml:space="preserve">b.) At least one original visual display of the data.</w:t>
      </w:r>
    </w:p>
    <w:p>
      <w:pPr>
        <w:pStyle w:val="ListParagraph"/>
        <w:numPr>
          <w:ilvl w:val="0"/>
          <w:numId w:val="2"/>
        </w:numPr>
        <w:spacing w:after="60"/>
      </w:pPr>
      <w:r>
        <w:t xml:space="preserve">3.) Your pitch must include:</w:t>
      </w:r>
    </w:p>
    <w:p>
      <w:pPr>
        <w:pStyle w:val="ListParagraph"/>
        <w:numPr>
          <w:ilvl w:val="0"/>
          <w:numId w:val="2"/>
        </w:numPr>
        <w:spacing w:after="60"/>
      </w:pPr>
      <w:r>
        <w:rPr>
          <w:b/>
          <w:bCs/>
        </w:rPr>
        <w:t xml:space="preserve">D1 — A day-by-day hospital bill ledger.</w:t>
      </w:r>
      <w:r>
        <w:t xml:space="preserve"> Start from Appendix A's real Dec 11–13 bills, then extend the ledger — using Appendix E's daily rate — through the exact date your position ends: a specific calendar date if you choose Position A, and through Day 14, Day 21, and Day 50 if you choose Position B.</w:t>
      </w:r>
    </w:p>
    <w:p>
      <w:pPr>
        <w:pStyle w:val="ListParagraph"/>
        <w:numPr>
          <w:ilvl w:val="0"/>
          <w:numId w:val="2"/>
        </w:numPr>
        <w:spacing w:after="60"/>
      </w:pPr>
      <w:r>
        <w:rPr>
          <w:b/>
          <w:bCs/>
        </w:rPr>
        <w:t xml:space="preserve">D2 — A total out-of-pocket cost calculation</w:t>
      </w:r>
      <w:r>
        <w:t xml:space="preserve"> for the position you took, with the addition and multiplication that produced it shown.</w:t>
      </w:r>
    </w:p>
    <w:p>
      <w:pPr>
        <w:spacing w:after="120"/>
      </w:pPr>
      <w:r>
        <w:t xml:space="preserve">  </w:t>
      </w:r>
      <w:r>
        <w:rPr>
          <w:b/>
          <w:bCs/>
        </w:rPr>
        <w:t xml:space="preserve">D2's total is not your answer.</w:t>
      </w:r>
      <w:r>
        <w:t xml:space="preserve"> A bigger total tells you one option costs more than the other — it does not tell you whether the family can actually pay for either one as the bill comes due. Those are two different questions. Before you can defend a position, you need D4 and D5: does the family's available money run out before either scenario ends — and if so, on what day?</w:t>
      </w:r>
    </w:p>
    <w:p>
      <w:pPr>
        <w:pStyle w:val="ListParagraph"/>
        <w:numPr>
          <w:ilvl w:val="0"/>
          <w:numId w:val="2"/>
        </w:numPr>
        <w:spacing w:after="60"/>
      </w:pPr>
      <w:r>
        <w:rPr>
          <w:b/>
          <w:bCs/>
        </w:rPr>
        <w:t xml:space="preserve">D3 — An insurance-coverage percent.</w:t>
      </w:r>
      <w:r>
        <w:t xml:space="preserve"> For a typical day in Appendix A, what percent of the hospital's charge did insurance cover, and what percent was left as the family's balance? Explain what the Escovedos' plan having no out-of-pocket maximum (Background) means for that percent as the days add up.</w:t>
      </w:r>
    </w:p>
    <w:p>
      <w:pPr>
        <w:pStyle w:val="ListParagraph"/>
        <w:numPr>
          <w:ilvl w:val="0"/>
          <w:numId w:val="2"/>
        </w:numPr>
        <w:spacing w:after="60"/>
      </w:pPr>
      <w:r>
        <w:rPr>
          <w:b/>
          <w:bCs/>
        </w:rPr>
        <w:t xml:space="preserve">D4 — An assets map.</w:t>
      </w:r>
      <w:r>
        <w:t xml:space="preserve"> Using Appendices B and F, decide which specific line items the family draws on, and in what order, to cover your D2 total — and show the family's running liquid balance after each day's bill.</w:t>
      </w:r>
    </w:p>
    <w:p>
      <w:pPr>
        <w:pStyle w:val="ListParagraph"/>
        <w:numPr>
          <w:ilvl w:val="0"/>
          <w:numId w:val="2"/>
        </w:numPr>
        <w:spacing w:after="60"/>
      </w:pPr>
      <w:r>
        <w:rPr>
          <w:b/>
          <w:bCs/>
        </w:rPr>
        <w:t xml:space="preserve">D5 — A "running out of money" determination.</w:t>
      </w:r>
      <w:r>
        <w:t xml:space="preserve"> The exact day number, and calendar date, the cumulative bill first exceeds (a) the family's liquid, penalty-free assets and (b) the family's total net worth. Show the arithmetic, and round the day count to a whole day.</w:t>
      </w:r>
    </w:p>
    <w:p>
      <w:pPr>
        <w:pStyle w:val="ListParagraph"/>
        <w:numPr>
          <w:ilvl w:val="0"/>
          <w:numId w:val="2"/>
        </w:numPr>
        <w:spacing w:after="60"/>
      </w:pPr>
      <w:r>
        <w:rPr>
          <w:b/>
          <w:bCs/>
        </w:rPr>
        <w:t xml:space="preserve">D6 — An original visual display</w:t>
      </w:r>
      <w:r>
        <w:t xml:space="preserve"> comparing the Escovedos' asset composition (Appendix B) against the cumulative hospital bill at Day 14, Day 21, and Day 50.</w:t>
      </w:r>
    </w:p>
    <w:p>
      <w:pPr>
        <w:pStyle w:val="ListParagraph"/>
        <w:numPr>
          <w:ilvl w:val="0"/>
          <w:numId w:val="2"/>
        </w:numPr>
        <w:spacing w:after="60"/>
      </w:pPr>
      <w:r>
        <w:t xml:space="preserve">4.) 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60"/>
      </w:pPr>
      <w:r>
        <w:t xml:space="preserve">5.) Participate twice or more in the Case Study discussion. *If you are absent the day of a discussion post 500 "excellent" words on the questions above.</w:t>
      </w:r>
    </w:p>
    <w:p>
      <w:pPr>
        <w:pStyle w:val="Heading2"/>
        <w:spacing w:after="140" w:before="280"/>
      </w:pPr>
      <w:r>
        <w:t xml:space="preserve">Appendix A: Hospital Billing, December 11–13</w:t>
      </w:r>
    </w:p>
    <w:p>
      <w:pPr>
        <w:spacing w:after="120"/>
      </w:pPr>
      <w:r>
        <w:t xml:space="preserve">Reproduced from three real daily statements from Lakeside Regional Medical Center, itemized exactly as billed. Charges are gross; Pay/Adj is what insurance paid plus what it adjusted off; Balance is what the family owes for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DDDDD" w:val="clear"/>
            <w:tcMar>
              <w:top w:type="dxa" w:w="60"/>
              <w:left w:type="dxa" w:w="100"/>
              <w:bottom w:type="dxa" w:w="60"/>
              <w:right w:type="dxa" w:w="100"/>
            </w:tcMar>
          </w:tcPr>
          <w:p>
            <w:r>
              <w:t xml:space="preserve">Date</w:t>
            </w:r>
          </w:p>
        </w:tc>
        <w:tc>
          <w:tcPr>
            <w:tcW w:type="dxa" w:w="1872"/>
            <w:shd w:fill="DDDDDD" w:val="clear"/>
            <w:tcMar>
              <w:top w:type="dxa" w:w="60"/>
              <w:left w:type="dxa" w:w="100"/>
              <w:bottom w:type="dxa" w:w="60"/>
              <w:right w:type="dxa" w:w="100"/>
            </w:tcMar>
          </w:tcPr>
          <w:p>
            <w:r>
              <w:t xml:space="preserve">Description</w:t>
            </w:r>
          </w:p>
        </w:tc>
        <w:tc>
          <w:tcPr>
            <w:tcW w:type="dxa" w:w="1872"/>
            <w:shd w:fill="DDDDDD" w:val="clear"/>
            <w:tcMar>
              <w:top w:type="dxa" w:w="60"/>
              <w:left w:type="dxa" w:w="100"/>
              <w:bottom w:type="dxa" w:w="60"/>
              <w:right w:type="dxa" w:w="100"/>
            </w:tcMar>
          </w:tcPr>
          <w:p>
            <w:r>
              <w:t xml:space="preserve">Charge</w:t>
            </w:r>
          </w:p>
        </w:tc>
        <w:tc>
          <w:tcPr>
            <w:tcW w:type="dxa" w:w="1872"/>
            <w:shd w:fill="DDDDDD" w:val="clear"/>
            <w:tcMar>
              <w:top w:type="dxa" w:w="60"/>
              <w:left w:type="dxa" w:w="100"/>
              <w:bottom w:type="dxa" w:w="60"/>
              <w:right w:type="dxa" w:w="100"/>
            </w:tcMar>
          </w:tcPr>
          <w:p>
            <w:r>
              <w:t xml:space="preserve">Insurance Pay/Adj</w:t>
            </w:r>
          </w:p>
        </w:tc>
        <w:tc>
          <w:tcPr>
            <w:tcW w:type="dxa" w:w="1872"/>
            <w:shd w:fill="DDDDDD" w:val="clear"/>
            <w:tcMar>
              <w:top w:type="dxa" w:w="60"/>
              <w:left w:type="dxa" w:w="100"/>
              <w:bottom w:type="dxa" w:w="60"/>
              <w:right w:type="dxa" w:w="100"/>
            </w:tcMar>
          </w:tcPr>
          <w:p>
            <w:r>
              <w:t xml:space="preserve">Family Balance</w:t>
            </w:r>
          </w:p>
        </w:tc>
      </w:tr>
      <w:tr>
        <w:tc>
          <w:tcPr>
            <w:tcW w:type="dxa" w:w="1872"/>
            <w:tcMar>
              <w:top w:type="dxa" w:w="60"/>
              <w:left w:type="dxa" w:w="100"/>
              <w:bottom w:type="dxa" w:w="60"/>
              <w:right w:type="dxa" w:w="100"/>
            </w:tcMar>
          </w:tcPr>
          <w:p>
            <w:r>
              <w:t xml:space="preserve">Dec 11, 2020</w:t>
            </w:r>
          </w:p>
        </w:tc>
        <w:tc>
          <w:tcPr>
            <w:tcW w:type="dxa" w:w="1872"/>
            <w:tcMar>
              <w:top w:type="dxa" w:w="60"/>
              <w:left w:type="dxa" w:w="100"/>
              <w:bottom w:type="dxa" w:w="60"/>
              <w:right w:type="dxa" w:w="100"/>
            </w:tcMar>
          </w:tcPr>
          <w:p>
            <w:r>
              <w:t xml:space="preserve">Emergency Room and Emergency Services</w:t>
            </w:r>
          </w:p>
        </w:tc>
        <w:tc>
          <w:tcPr>
            <w:tcW w:type="dxa" w:w="1872"/>
            <w:tcMar>
              <w:top w:type="dxa" w:w="60"/>
              <w:left w:type="dxa" w:w="100"/>
              <w:bottom w:type="dxa" w:w="60"/>
              <w:right w:type="dxa" w:w="100"/>
            </w:tcMar>
          </w:tcPr>
          <w:p>
            <w:r>
              <w:t xml:space="preserve">$4,923.00</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11, 2020</w:t>
            </w:r>
          </w:p>
        </w:tc>
        <w:tc>
          <w:tcPr>
            <w:tcW w:type="dxa" w:w="1872"/>
            <w:tcMar>
              <w:top w:type="dxa" w:w="60"/>
              <w:left w:type="dxa" w:w="100"/>
              <w:bottom w:type="dxa" w:w="60"/>
              <w:right w:type="dxa" w:w="100"/>
            </w:tcMar>
          </w:tcPr>
          <w:p>
            <w:r>
              <w:t xml:space="preserve">Laboratory</w:t>
            </w:r>
          </w:p>
        </w:tc>
        <w:tc>
          <w:tcPr>
            <w:tcW w:type="dxa" w:w="1872"/>
            <w:tcMar>
              <w:top w:type="dxa" w:w="60"/>
              <w:left w:type="dxa" w:w="100"/>
              <w:bottom w:type="dxa" w:w="60"/>
              <w:right w:type="dxa" w:w="100"/>
            </w:tcMar>
          </w:tcPr>
          <w:p>
            <w:r>
              <w:t xml:space="preserve">$940.00</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11, 2020</w:t>
            </w:r>
          </w:p>
        </w:tc>
        <w:tc>
          <w:tcPr>
            <w:tcW w:type="dxa" w:w="1872"/>
            <w:tcMar>
              <w:top w:type="dxa" w:w="60"/>
              <w:left w:type="dxa" w:w="100"/>
              <w:bottom w:type="dxa" w:w="60"/>
              <w:right w:type="dxa" w:w="100"/>
            </w:tcMar>
          </w:tcPr>
          <w:p>
            <w:r>
              <w:t xml:space="preserve">Pharmacy</w:t>
            </w:r>
          </w:p>
        </w:tc>
        <w:tc>
          <w:tcPr>
            <w:tcW w:type="dxa" w:w="1872"/>
            <w:tcMar>
              <w:top w:type="dxa" w:w="60"/>
              <w:left w:type="dxa" w:w="100"/>
              <w:bottom w:type="dxa" w:w="60"/>
              <w:right w:type="dxa" w:w="100"/>
            </w:tcMar>
          </w:tcPr>
          <w:p>
            <w:r>
              <w:t xml:space="preserve">$1,353.90</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11, 2020</w:t>
            </w:r>
          </w:p>
        </w:tc>
        <w:tc>
          <w:tcPr>
            <w:tcW w:type="dxa" w:w="1872"/>
            <w:tcMar>
              <w:top w:type="dxa" w:w="60"/>
              <w:left w:type="dxa" w:w="100"/>
              <w:bottom w:type="dxa" w:w="60"/>
              <w:right w:type="dxa" w:w="100"/>
            </w:tcMar>
          </w:tcPr>
          <w:p>
            <w:r>
              <w:t xml:space="preserve">Insurance Payment</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$3,595.83</w:t>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11, 2020</w:t>
            </w:r>
          </w:p>
        </w:tc>
        <w:tc>
          <w:tcPr>
            <w:tcW w:type="dxa" w:w="1872"/>
            <w:tcMar>
              <w:top w:type="dxa" w:w="60"/>
              <w:left w:type="dxa" w:w="100"/>
              <w:bottom w:type="dxa" w:w="60"/>
              <w:right w:type="dxa" w:w="100"/>
            </w:tcMar>
          </w:tcPr>
          <w:p>
            <w:r>
              <w:t xml:space="preserve">Insurance Adjustment</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$1,132.16</w:t>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rPr>
                <w:b/>
                <w:bCs/>
              </w:rPr>
              <w:t xml:space="preserve">Dec 11 subtotal</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rPr>
                <w:b/>
                <w:bCs/>
              </w:rPr>
              <w:t xml:space="preserve">$7,216.90</w:t>
            </w:r>
          </w:p>
        </w:tc>
        <w:tc>
          <w:tcPr>
            <w:tcW w:type="dxa" w:w="1872"/>
            <w:tcMar>
              <w:top w:type="dxa" w:w="60"/>
              <w:left w:type="dxa" w:w="100"/>
              <w:bottom w:type="dxa" w:w="60"/>
              <w:right w:type="dxa" w:w="100"/>
            </w:tcMar>
          </w:tcPr>
          <w:p>
            <w:r>
              <w:rPr>
                <w:b/>
                <w:bCs/>
              </w:rPr>
              <w:t xml:space="preserve">$4,727.99</w:t>
            </w:r>
          </w:p>
        </w:tc>
        <w:tc>
          <w:tcPr>
            <w:tcW w:type="dxa" w:w="1872"/>
            <w:tcMar>
              <w:top w:type="dxa" w:w="60"/>
              <w:left w:type="dxa" w:w="100"/>
              <w:bottom w:type="dxa" w:w="60"/>
              <w:right w:type="dxa" w:w="100"/>
            </w:tcMar>
          </w:tcPr>
          <w:p>
            <w:r>
              <w:rPr>
                <w:b/>
                <w:bCs/>
              </w:rPr>
              <w:t xml:space="preserve">$2,488.91</w:t>
            </w:r>
          </w:p>
        </w:tc>
      </w:tr>
      <w:tr>
        <w:tc>
          <w:tcPr>
            <w:tcW w:type="dxa" w:w="1872"/>
            <w:tcMar>
              <w:top w:type="dxa" w:w="60"/>
              <w:left w:type="dxa" w:w="100"/>
              <w:bottom w:type="dxa" w:w="60"/>
              <w:right w:type="dxa" w:w="100"/>
            </w:tcMar>
          </w:tcPr>
          <w:p>
            <w:r>
              <w:t xml:space="preserve">Dec 12, 2020</w:t>
            </w:r>
          </w:p>
        </w:tc>
        <w:tc>
          <w:tcPr>
            <w:tcW w:type="dxa" w:w="1872"/>
            <w:tcMar>
              <w:top w:type="dxa" w:w="60"/>
              <w:left w:type="dxa" w:w="100"/>
              <w:bottom w:type="dxa" w:w="60"/>
              <w:right w:type="dxa" w:w="100"/>
            </w:tcMar>
          </w:tcPr>
          <w:p>
            <w:r>
              <w:t xml:space="preserve">ICU</w:t>
            </w:r>
          </w:p>
        </w:tc>
        <w:tc>
          <w:tcPr>
            <w:tcW w:type="dxa" w:w="1872"/>
            <w:tcMar>
              <w:top w:type="dxa" w:w="60"/>
              <w:left w:type="dxa" w:w="100"/>
              <w:bottom w:type="dxa" w:w="60"/>
              <w:right w:type="dxa" w:w="100"/>
            </w:tcMar>
          </w:tcPr>
          <w:p>
            <w:r>
              <w:t xml:space="preserve">$6,996.73</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12, 2020</w:t>
            </w:r>
          </w:p>
        </w:tc>
        <w:tc>
          <w:tcPr>
            <w:tcW w:type="dxa" w:w="1872"/>
            <w:tcMar>
              <w:top w:type="dxa" w:w="60"/>
              <w:left w:type="dxa" w:w="100"/>
              <w:bottom w:type="dxa" w:w="60"/>
              <w:right w:type="dxa" w:w="100"/>
            </w:tcMar>
          </w:tcPr>
          <w:p>
            <w:r>
              <w:t xml:space="preserve">Ventilator</w:t>
            </w:r>
          </w:p>
        </w:tc>
        <w:tc>
          <w:tcPr>
            <w:tcW w:type="dxa" w:w="1872"/>
            <w:tcMar>
              <w:top w:type="dxa" w:w="60"/>
              <w:left w:type="dxa" w:w="100"/>
              <w:bottom w:type="dxa" w:w="60"/>
              <w:right w:type="dxa" w:w="100"/>
            </w:tcMar>
          </w:tcPr>
          <w:p>
            <w:r>
              <w:t xml:space="preserve">$2,819.56</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12, 2020</w:t>
            </w:r>
          </w:p>
        </w:tc>
        <w:tc>
          <w:tcPr>
            <w:tcW w:type="dxa" w:w="1872"/>
            <w:tcMar>
              <w:top w:type="dxa" w:w="60"/>
              <w:left w:type="dxa" w:w="100"/>
              <w:bottom w:type="dxa" w:w="60"/>
              <w:right w:type="dxa" w:w="100"/>
            </w:tcMar>
          </w:tcPr>
          <w:p>
            <w:r>
              <w:t xml:space="preserve">Pharmacy</w:t>
            </w:r>
          </w:p>
        </w:tc>
        <w:tc>
          <w:tcPr>
            <w:tcW w:type="dxa" w:w="1872"/>
            <w:tcMar>
              <w:top w:type="dxa" w:w="60"/>
              <w:left w:type="dxa" w:w="100"/>
              <w:bottom w:type="dxa" w:w="60"/>
              <w:right w:type="dxa" w:w="100"/>
            </w:tcMar>
          </w:tcPr>
          <w:p>
            <w:r>
              <w:t xml:space="preserve">$1,474.85</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12, 2020</w:t>
            </w:r>
          </w:p>
        </w:tc>
        <w:tc>
          <w:tcPr>
            <w:tcW w:type="dxa" w:w="1872"/>
            <w:tcMar>
              <w:top w:type="dxa" w:w="60"/>
              <w:left w:type="dxa" w:w="100"/>
              <w:bottom w:type="dxa" w:w="60"/>
              <w:right w:type="dxa" w:w="100"/>
            </w:tcMar>
          </w:tcPr>
          <w:p>
            <w:r>
              <w:t xml:space="preserve">Insurance Payment</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$1,254.87</w:t>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12, 2020</w:t>
            </w:r>
          </w:p>
        </w:tc>
        <w:tc>
          <w:tcPr>
            <w:tcW w:type="dxa" w:w="1872"/>
            <w:tcMar>
              <w:top w:type="dxa" w:w="60"/>
              <w:left w:type="dxa" w:w="100"/>
              <w:bottom w:type="dxa" w:w="60"/>
              <w:right w:type="dxa" w:w="100"/>
            </w:tcMar>
          </w:tcPr>
          <w:p>
            <w:r>
              <w:t xml:space="preserve">Insurance Adjustment</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$1,293.01</w:t>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rPr>
                <w:b/>
                <w:bCs/>
              </w:rPr>
              <w:t xml:space="preserve">Dec 12 subtotal</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rPr>
                <w:b/>
                <w:bCs/>
              </w:rPr>
              <w:t xml:space="preserve">$11,291.14</w:t>
            </w:r>
          </w:p>
        </w:tc>
        <w:tc>
          <w:tcPr>
            <w:tcW w:type="dxa" w:w="1872"/>
            <w:tcMar>
              <w:top w:type="dxa" w:w="60"/>
              <w:left w:type="dxa" w:w="100"/>
              <w:bottom w:type="dxa" w:w="60"/>
              <w:right w:type="dxa" w:w="100"/>
            </w:tcMar>
          </w:tcPr>
          <w:p>
            <w:r>
              <w:rPr>
                <w:b/>
                <w:bCs/>
              </w:rPr>
              <w:t xml:space="preserve">$2,547.88</w:t>
            </w:r>
          </w:p>
        </w:tc>
        <w:tc>
          <w:tcPr>
            <w:tcW w:type="dxa" w:w="1872"/>
            <w:tcMar>
              <w:top w:type="dxa" w:w="60"/>
              <w:left w:type="dxa" w:w="100"/>
              <w:bottom w:type="dxa" w:w="60"/>
              <w:right w:type="dxa" w:w="100"/>
            </w:tcMar>
          </w:tcPr>
          <w:p>
            <w:r>
              <w:rPr>
                <w:b/>
                <w:bCs/>
              </w:rPr>
              <w:t xml:space="preserve">$8,743.26</w:t>
            </w:r>
          </w:p>
        </w:tc>
      </w:tr>
      <w:tr>
        <w:tc>
          <w:tcPr>
            <w:tcW w:type="dxa" w:w="1872"/>
            <w:tcMar>
              <w:top w:type="dxa" w:w="60"/>
              <w:left w:type="dxa" w:w="100"/>
              <w:bottom w:type="dxa" w:w="60"/>
              <w:right w:type="dxa" w:w="100"/>
            </w:tcMar>
          </w:tcPr>
          <w:p>
            <w:r>
              <w:t xml:space="preserve">Dec 13, 2020</w:t>
            </w:r>
          </w:p>
        </w:tc>
        <w:tc>
          <w:tcPr>
            <w:tcW w:type="dxa" w:w="1872"/>
            <w:tcMar>
              <w:top w:type="dxa" w:w="60"/>
              <w:left w:type="dxa" w:w="100"/>
              <w:bottom w:type="dxa" w:w="60"/>
              <w:right w:type="dxa" w:w="100"/>
            </w:tcMar>
          </w:tcPr>
          <w:p>
            <w:r>
              <w:t xml:space="preserve">ICU</w:t>
            </w:r>
          </w:p>
        </w:tc>
        <w:tc>
          <w:tcPr>
            <w:tcW w:type="dxa" w:w="1872"/>
            <w:tcMar>
              <w:top w:type="dxa" w:w="60"/>
              <w:left w:type="dxa" w:w="100"/>
              <w:bottom w:type="dxa" w:w="60"/>
              <w:right w:type="dxa" w:w="100"/>
            </w:tcMar>
          </w:tcPr>
          <w:p>
            <w:r>
              <w:t xml:space="preserve">$6,996.73</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13, 2020</w:t>
            </w:r>
          </w:p>
        </w:tc>
        <w:tc>
          <w:tcPr>
            <w:tcW w:type="dxa" w:w="1872"/>
            <w:tcMar>
              <w:top w:type="dxa" w:w="60"/>
              <w:left w:type="dxa" w:w="100"/>
              <w:bottom w:type="dxa" w:w="60"/>
              <w:right w:type="dxa" w:w="100"/>
            </w:tcMar>
          </w:tcPr>
          <w:p>
            <w:r>
              <w:t xml:space="preserve">Ventilator</w:t>
            </w:r>
          </w:p>
        </w:tc>
        <w:tc>
          <w:tcPr>
            <w:tcW w:type="dxa" w:w="1872"/>
            <w:tcMar>
              <w:top w:type="dxa" w:w="60"/>
              <w:left w:type="dxa" w:w="100"/>
              <w:bottom w:type="dxa" w:w="60"/>
              <w:right w:type="dxa" w:w="100"/>
            </w:tcMar>
          </w:tcPr>
          <w:p>
            <w:r>
              <w:t xml:space="preserve">$2,819.56</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13, 2020</w:t>
            </w:r>
          </w:p>
        </w:tc>
        <w:tc>
          <w:tcPr>
            <w:tcW w:type="dxa" w:w="1872"/>
            <w:tcMar>
              <w:top w:type="dxa" w:w="60"/>
              <w:left w:type="dxa" w:w="100"/>
              <w:bottom w:type="dxa" w:w="60"/>
              <w:right w:type="dxa" w:w="100"/>
            </w:tcMar>
          </w:tcPr>
          <w:p>
            <w:r>
              <w:t xml:space="preserve">Pharmacy</w:t>
            </w:r>
          </w:p>
        </w:tc>
        <w:tc>
          <w:tcPr>
            <w:tcW w:type="dxa" w:w="1872"/>
            <w:tcMar>
              <w:top w:type="dxa" w:w="60"/>
              <w:left w:type="dxa" w:w="100"/>
              <w:bottom w:type="dxa" w:w="60"/>
              <w:right w:type="dxa" w:w="100"/>
            </w:tcMar>
          </w:tcPr>
          <w:p>
            <w:r>
              <w:t xml:space="preserve">$1,474.85</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13, 2020</w:t>
            </w:r>
          </w:p>
        </w:tc>
        <w:tc>
          <w:tcPr>
            <w:tcW w:type="dxa" w:w="1872"/>
            <w:tcMar>
              <w:top w:type="dxa" w:w="60"/>
              <w:left w:type="dxa" w:w="100"/>
              <w:bottom w:type="dxa" w:w="60"/>
              <w:right w:type="dxa" w:w="100"/>
            </w:tcMar>
          </w:tcPr>
          <w:p>
            <w:r>
              <w:t xml:space="preserve">Insurance Payment</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$1,254.87</w:t>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t xml:space="preserve">Dec 13, 2020</w:t>
            </w:r>
          </w:p>
        </w:tc>
        <w:tc>
          <w:tcPr>
            <w:tcW w:type="dxa" w:w="1872"/>
            <w:tcMar>
              <w:top w:type="dxa" w:w="60"/>
              <w:left w:type="dxa" w:w="100"/>
              <w:bottom w:type="dxa" w:w="60"/>
              <w:right w:type="dxa" w:w="100"/>
            </w:tcMar>
          </w:tcPr>
          <w:p>
            <w:r>
              <w:t xml:space="preserve">Insurance Adjustment</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t xml:space="preserve">$1,293.01</w:t>
            </w:r>
          </w:p>
        </w:tc>
        <w:tc>
          <w:tcPr>
            <w:tcW w:type="dxa" w:w="1872"/>
            <w:tcMar>
              <w:top w:type="dxa" w:w="60"/>
              <w:left w:type="dxa" w:w="100"/>
              <w:bottom w:type="dxa" w:w="60"/>
              <w:right w:type="dxa" w:w="100"/>
            </w:tcMar>
          </w:tcPr>
          <w:p>
            <w:r>
              <w:t xml:space="preserve"/>
            </w:r>
          </w:p>
        </w:tc>
      </w:tr>
      <w:tr>
        <w:tc>
          <w:tcPr>
            <w:tcW w:type="dxa" w:w="1872"/>
            <w:tcMar>
              <w:top w:type="dxa" w:w="60"/>
              <w:left w:type="dxa" w:w="100"/>
              <w:bottom w:type="dxa" w:w="60"/>
              <w:right w:type="dxa" w:w="100"/>
            </w:tcMar>
          </w:tcPr>
          <w:p>
            <w:r>
              <w:rPr>
                <w:b/>
                <w:bCs/>
              </w:rPr>
              <w:t xml:space="preserve">Dec 13 subtotal</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rPr>
                <w:b/>
                <w:bCs/>
              </w:rPr>
              <w:t xml:space="preserve">$11,291.14</w:t>
            </w:r>
          </w:p>
        </w:tc>
        <w:tc>
          <w:tcPr>
            <w:tcW w:type="dxa" w:w="1872"/>
            <w:tcMar>
              <w:top w:type="dxa" w:w="60"/>
              <w:left w:type="dxa" w:w="100"/>
              <w:bottom w:type="dxa" w:w="60"/>
              <w:right w:type="dxa" w:w="100"/>
            </w:tcMar>
          </w:tcPr>
          <w:p>
            <w:r>
              <w:rPr>
                <w:b/>
                <w:bCs/>
              </w:rPr>
              <w:t xml:space="preserve">$2,547.88</w:t>
            </w:r>
          </w:p>
        </w:tc>
        <w:tc>
          <w:tcPr>
            <w:tcW w:type="dxa" w:w="1872"/>
            <w:tcMar>
              <w:top w:type="dxa" w:w="60"/>
              <w:left w:type="dxa" w:w="100"/>
              <w:bottom w:type="dxa" w:w="60"/>
              <w:right w:type="dxa" w:w="100"/>
            </w:tcMar>
          </w:tcPr>
          <w:p>
            <w:r>
              <w:rPr>
                <w:b/>
                <w:bCs/>
              </w:rPr>
              <w:t xml:space="preserve">$8,743.26</w:t>
            </w:r>
          </w:p>
        </w:tc>
      </w:tr>
      <w:tr>
        <w:tc>
          <w:tcPr>
            <w:tcW w:type="dxa" w:w="1872"/>
            <w:tcMar>
              <w:top w:type="dxa" w:w="60"/>
              <w:left w:type="dxa" w:w="100"/>
              <w:bottom w:type="dxa" w:w="60"/>
              <w:right w:type="dxa" w:w="100"/>
            </w:tcMar>
          </w:tcPr>
          <w:p>
            <w:r>
              <w:rPr>
                <w:b/>
                <w:bCs/>
              </w:rPr>
              <w:t xml:space="preserve">3-day total owed by family so far</w:t>
            </w:r>
          </w:p>
        </w:tc>
        <w:tc>
          <w:tcPr>
            <w:tcW w:type="dxa" w:w="1872"/>
            <w:tcMar>
              <w:top w:type="dxa" w:w="60"/>
              <w:left w:type="dxa" w:w="100"/>
              <w:bottom w:type="dxa" w:w="60"/>
              <w:right w:type="dxa" w:w="100"/>
            </w:tcMar>
          </w:tcPr>
          <w:p>
            <w:r>
              <w:t xml:space="preserve"/>
            </w:r>
          </w:p>
        </w:tc>
        <w:tc>
          <w:tcPr>
            <w:tcW w:type="dxa" w:w="1872"/>
            <w:tcMar>
              <w:top w:type="dxa" w:w="60"/>
              <w:left w:type="dxa" w:w="100"/>
              <w:bottom w:type="dxa" w:w="60"/>
              <w:right w:type="dxa" w:w="100"/>
            </w:tcMar>
          </w:tcPr>
          <w:p>
            <w:r>
              <w:rPr>
                <w:b/>
                <w:bCs/>
              </w:rPr>
              <w:t xml:space="preserve">$29,799.18</w:t>
            </w:r>
          </w:p>
        </w:tc>
        <w:tc>
          <w:tcPr>
            <w:tcW w:type="dxa" w:w="1872"/>
            <w:tcMar>
              <w:top w:type="dxa" w:w="60"/>
              <w:left w:type="dxa" w:w="100"/>
              <w:bottom w:type="dxa" w:w="60"/>
              <w:right w:type="dxa" w:w="100"/>
            </w:tcMar>
          </w:tcPr>
          <w:p>
            <w:r>
              <w:rPr>
                <w:b/>
                <w:bCs/>
              </w:rPr>
              <w:t xml:space="preserve">$9,823.75</w:t>
            </w:r>
          </w:p>
        </w:tc>
        <w:tc>
          <w:tcPr>
            <w:tcW w:type="dxa" w:w="1872"/>
            <w:tcMar>
              <w:top w:type="dxa" w:w="60"/>
              <w:left w:type="dxa" w:w="100"/>
              <w:bottom w:type="dxa" w:w="60"/>
              <w:right w:type="dxa" w:w="100"/>
            </w:tcMar>
          </w:tcPr>
          <w:p>
            <w:r>
              <w:rPr>
                <w:b/>
                <w:bCs/>
              </w:rPr>
              <w:t xml:space="preserve">$19,975.43</w:t>
            </w:r>
          </w:p>
        </w:tc>
      </w:tr>
    </w:tbl>
    <w:p>
      <w:pPr>
        <w:spacing w:after="120"/>
      </w:pPr>
    </w:p>
    <w:p>
      <w:pPr>
        <w:spacing w:after="120"/>
      </w:pPr>
      <w:r>
        <w:t xml:space="preserve">Notice Dec 12 and Dec 13 bill identically — once Lauren moved to the ICU on a ventilator, the daily charge became a fixed recurring set of line items (ICU + Ventilator + Pharmacy), not a one-time event like the Dec 11 Emergency Room bill. Appendix E turns that observation into a stated projection rule for any day beyond Dec 13.</w:t>
      </w:r>
    </w:p>
    <w:p>
      <w:pPr>
        <w:pStyle w:val="Heading2"/>
        <w:spacing w:after="140" w:before="280"/>
      </w:pPr>
      <w:r>
        <w:t xml:space="preserve">Appendix B: Tyler and Lauren Escovedo — Net Worth Worksheet</w:t>
      </w:r>
    </w:p>
    <w:p>
      <w:pPr>
        <w:spacing w:after="120"/>
      </w:pPr>
      <w:r>
        <w:t xml:space="preserve">Reproduced from the family's own personal net-worth worksheet, filled out with a financial planner the year before.</w:t>
      </w:r>
    </w:p>
    <w:p>
      <w:pPr>
        <w:spacing w:after="120"/>
      </w:pPr>
      <w:r>
        <w:rPr>
          <w:b/>
          <w:bCs/>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DDDD" w:val="clear"/>
            <w:tcMar>
              <w:top w:type="dxa" w:w="60"/>
              <w:left w:type="dxa" w:w="100"/>
              <w:bottom w:type="dxa" w:w="60"/>
              <w:right w:type="dxa" w:w="100"/>
            </w:tcMar>
          </w:tcPr>
          <w:p>
            <w:r>
              <w:t xml:space="preserve">Category</w:t>
            </w:r>
          </w:p>
        </w:tc>
        <w:tc>
          <w:tcPr>
            <w:tcW w:type="dxa" w:w="3120"/>
            <w:shd w:fill="DDDDDD" w:val="clear"/>
            <w:tcMar>
              <w:top w:type="dxa" w:w="60"/>
              <w:left w:type="dxa" w:w="100"/>
              <w:bottom w:type="dxa" w:w="60"/>
              <w:right w:type="dxa" w:w="100"/>
            </w:tcMar>
          </w:tcPr>
          <w:p>
            <w:r>
              <w:t xml:space="preserve">Item</w:t>
            </w:r>
          </w:p>
        </w:tc>
        <w:tc>
          <w:tcPr>
            <w:tcW w:type="dxa" w:w="3120"/>
            <w:shd w:fill="DDDDDD" w:val="clear"/>
            <w:tcMar>
              <w:top w:type="dxa" w:w="60"/>
              <w:left w:type="dxa" w:w="100"/>
              <w:bottom w:type="dxa" w:w="60"/>
              <w:right w:type="dxa" w:w="100"/>
            </w:tcMar>
          </w:tcPr>
          <w:p>
            <w:r>
              <w:t xml:space="preserve">Value</w:t>
            </w:r>
          </w:p>
        </w:tc>
      </w:tr>
      <w:tr>
        <w:tc>
          <w:tcPr>
            <w:tcW w:type="dxa" w:w="3120"/>
            <w:tcMar>
              <w:top w:type="dxa" w:w="60"/>
              <w:left w:type="dxa" w:w="100"/>
              <w:bottom w:type="dxa" w:w="60"/>
              <w:right w:type="dxa" w:w="100"/>
            </w:tcMar>
          </w:tcPr>
          <w:p>
            <w:r>
              <w:t xml:space="preserve">Cash and Cash Equivalents</w:t>
            </w:r>
          </w:p>
        </w:tc>
        <w:tc>
          <w:tcPr>
            <w:tcW w:type="dxa" w:w="3120"/>
            <w:tcMar>
              <w:top w:type="dxa" w:w="60"/>
              <w:left w:type="dxa" w:w="100"/>
              <w:bottom w:type="dxa" w:w="60"/>
              <w:right w:type="dxa" w:w="100"/>
            </w:tcMar>
          </w:tcPr>
          <w:p>
            <w:r>
              <w:t xml:space="preserve">Checking accounts</w:t>
            </w:r>
          </w:p>
        </w:tc>
        <w:tc>
          <w:tcPr>
            <w:tcW w:type="dxa" w:w="3120"/>
            <w:tcMar>
              <w:top w:type="dxa" w:w="60"/>
              <w:left w:type="dxa" w:w="100"/>
              <w:bottom w:type="dxa" w:w="60"/>
              <w:right w:type="dxa" w:w="100"/>
            </w:tcMar>
          </w:tcPr>
          <w:p>
            <w:r>
              <w:t xml:space="preserve">$23,732.93</w:t>
            </w:r>
          </w:p>
        </w:tc>
      </w:tr>
      <w:tr>
        <w:tc>
          <w:tcPr>
            <w:tcW w:type="dxa" w:w="3120"/>
            <w:tcMar>
              <w:top w:type="dxa" w:w="60"/>
              <w:left w:type="dxa" w:w="100"/>
              <w:bottom w:type="dxa" w:w="60"/>
              <w:right w:type="dxa" w:w="100"/>
            </w:tcMar>
          </w:tcPr>
          <w:p>
            <w:r>
              <w:t xml:space="preserve">Cash and Cash Equivalents</w:t>
            </w:r>
          </w:p>
        </w:tc>
        <w:tc>
          <w:tcPr>
            <w:tcW w:type="dxa" w:w="3120"/>
            <w:tcMar>
              <w:top w:type="dxa" w:w="60"/>
              <w:left w:type="dxa" w:w="100"/>
              <w:bottom w:type="dxa" w:w="60"/>
              <w:right w:type="dxa" w:w="100"/>
            </w:tcMar>
          </w:tcPr>
          <w:p>
            <w:r>
              <w:t xml:space="preserve">Savings accounts</w:t>
            </w:r>
          </w:p>
        </w:tc>
        <w:tc>
          <w:tcPr>
            <w:tcW w:type="dxa" w:w="3120"/>
            <w:tcMar>
              <w:top w:type="dxa" w:w="60"/>
              <w:left w:type="dxa" w:w="100"/>
              <w:bottom w:type="dxa" w:w="60"/>
              <w:right w:type="dxa" w:w="100"/>
            </w:tcMar>
          </w:tcPr>
          <w:p>
            <w:r>
              <w:t xml:space="preserve">$14,928.01</w:t>
            </w:r>
          </w:p>
        </w:tc>
      </w:tr>
      <w:tr>
        <w:tc>
          <w:tcPr>
            <w:tcW w:type="dxa" w:w="3120"/>
            <w:tcMar>
              <w:top w:type="dxa" w:w="60"/>
              <w:left w:type="dxa" w:w="100"/>
              <w:bottom w:type="dxa" w:w="60"/>
              <w:right w:type="dxa" w:w="100"/>
            </w:tcMar>
          </w:tcPr>
          <w:p>
            <w:r>
              <w:t xml:space="preserve">Cash and Cash Equivalents</w:t>
            </w:r>
          </w:p>
        </w:tc>
        <w:tc>
          <w:tcPr>
            <w:tcW w:type="dxa" w:w="3120"/>
            <w:tcMar>
              <w:top w:type="dxa" w:w="60"/>
              <w:left w:type="dxa" w:w="100"/>
              <w:bottom w:type="dxa" w:w="60"/>
              <w:right w:type="dxa" w:w="100"/>
            </w:tcMar>
          </w:tcPr>
          <w:p>
            <w:r>
              <w:t xml:space="preserve">Money market accounts</w:t>
            </w:r>
          </w:p>
        </w:tc>
        <w:tc>
          <w:tcPr>
            <w:tcW w:type="dxa" w:w="3120"/>
            <w:tcMar>
              <w:top w:type="dxa" w:w="60"/>
              <w:left w:type="dxa" w:w="100"/>
              <w:bottom w:type="dxa" w:w="60"/>
              <w:right w:type="dxa" w:w="100"/>
            </w:tcMar>
          </w:tcPr>
          <w:p>
            <w:r>
              <w:t xml:space="preserve">$42,281.81</w:t>
            </w:r>
          </w:p>
        </w:tc>
      </w:tr>
      <w:tr>
        <w:tc>
          <w:tcPr>
            <w:tcW w:type="dxa" w:w="3120"/>
            <w:tcMar>
              <w:top w:type="dxa" w:w="60"/>
              <w:left w:type="dxa" w:w="100"/>
              <w:bottom w:type="dxa" w:w="60"/>
              <w:right w:type="dxa" w:w="100"/>
            </w:tcMar>
          </w:tcPr>
          <w:p>
            <w:r>
              <w:t xml:space="preserve">Invested Assets</w:t>
            </w:r>
          </w:p>
        </w:tc>
        <w:tc>
          <w:tcPr>
            <w:tcW w:type="dxa" w:w="3120"/>
            <w:tcMar>
              <w:top w:type="dxa" w:w="60"/>
              <w:left w:type="dxa" w:w="100"/>
              <w:bottom w:type="dxa" w:w="60"/>
              <w:right w:type="dxa" w:w="100"/>
            </w:tcMar>
          </w:tcPr>
          <w:p>
            <w:r>
              <w:t xml:space="preserve">Taxable brokerage</w:t>
            </w:r>
          </w:p>
        </w:tc>
        <w:tc>
          <w:tcPr>
            <w:tcW w:type="dxa" w:w="3120"/>
            <w:tcMar>
              <w:top w:type="dxa" w:w="60"/>
              <w:left w:type="dxa" w:w="100"/>
              <w:bottom w:type="dxa" w:w="60"/>
              <w:right w:type="dxa" w:w="100"/>
            </w:tcMar>
          </w:tcPr>
          <w:p>
            <w:r>
              <w:t xml:space="preserve">$31,010.88</w:t>
            </w:r>
          </w:p>
        </w:tc>
      </w:tr>
      <w:tr>
        <w:tc>
          <w:tcPr>
            <w:tcW w:type="dxa" w:w="3120"/>
            <w:tcMar>
              <w:top w:type="dxa" w:w="60"/>
              <w:left w:type="dxa" w:w="100"/>
              <w:bottom w:type="dxa" w:w="60"/>
              <w:right w:type="dxa" w:w="100"/>
            </w:tcMar>
          </w:tcPr>
          <w:p>
            <w:r>
              <w:t xml:space="preserve">Invested Assets</w:t>
            </w:r>
          </w:p>
        </w:tc>
        <w:tc>
          <w:tcPr>
            <w:tcW w:type="dxa" w:w="3120"/>
            <w:tcMar>
              <w:top w:type="dxa" w:w="60"/>
              <w:left w:type="dxa" w:w="100"/>
              <w:bottom w:type="dxa" w:w="60"/>
              <w:right w:type="dxa" w:w="100"/>
            </w:tcMar>
          </w:tcPr>
          <w:p>
            <w:r>
              <w:t xml:space="preserve">IRA</w:t>
            </w:r>
          </w:p>
        </w:tc>
        <w:tc>
          <w:tcPr>
            <w:tcW w:type="dxa" w:w="3120"/>
            <w:tcMar>
              <w:top w:type="dxa" w:w="60"/>
              <w:left w:type="dxa" w:w="100"/>
              <w:bottom w:type="dxa" w:w="60"/>
              <w:right w:type="dxa" w:w="100"/>
            </w:tcMar>
          </w:tcPr>
          <w:p>
            <w:r>
              <w:t xml:space="preserve">$94,818.31</w:t>
            </w:r>
          </w:p>
        </w:tc>
      </w:tr>
      <w:tr>
        <w:tc>
          <w:tcPr>
            <w:tcW w:type="dxa" w:w="3120"/>
            <w:tcMar>
              <w:top w:type="dxa" w:w="60"/>
              <w:left w:type="dxa" w:w="100"/>
              <w:bottom w:type="dxa" w:w="60"/>
              <w:right w:type="dxa" w:w="100"/>
            </w:tcMar>
          </w:tcPr>
          <w:p>
            <w:r>
              <w:t xml:space="preserve">Invested Assets</w:t>
            </w:r>
          </w:p>
        </w:tc>
        <w:tc>
          <w:tcPr>
            <w:tcW w:type="dxa" w:w="3120"/>
            <w:tcMar>
              <w:top w:type="dxa" w:w="60"/>
              <w:left w:type="dxa" w:w="100"/>
              <w:bottom w:type="dxa" w:w="60"/>
              <w:right w:type="dxa" w:w="100"/>
            </w:tcMar>
          </w:tcPr>
          <w:p>
            <w:r>
              <w:t xml:space="preserve">401(k) / 403(b)</w:t>
            </w:r>
          </w:p>
        </w:tc>
        <w:tc>
          <w:tcPr>
            <w:tcW w:type="dxa" w:w="3120"/>
            <w:tcMar>
              <w:top w:type="dxa" w:w="60"/>
              <w:left w:type="dxa" w:w="100"/>
              <w:bottom w:type="dxa" w:w="60"/>
              <w:right w:type="dxa" w:w="100"/>
            </w:tcMar>
          </w:tcPr>
          <w:p>
            <w:r>
              <w:t xml:space="preserve">$53,262.03</w:t>
            </w:r>
          </w:p>
        </w:tc>
      </w:tr>
      <w:tr>
        <w:tc>
          <w:tcPr>
            <w:tcW w:type="dxa" w:w="3120"/>
            <w:tcMar>
              <w:top w:type="dxa" w:w="60"/>
              <w:left w:type="dxa" w:w="100"/>
              <w:bottom w:type="dxa" w:w="60"/>
              <w:right w:type="dxa" w:w="100"/>
            </w:tcMar>
          </w:tcPr>
          <w:p>
            <w:r>
              <w:t xml:space="preserve">Invested Assets</w:t>
            </w:r>
          </w:p>
        </w:tc>
        <w:tc>
          <w:tcPr>
            <w:tcW w:type="dxa" w:w="3120"/>
            <w:tcMar>
              <w:top w:type="dxa" w:w="60"/>
              <w:left w:type="dxa" w:w="100"/>
              <w:bottom w:type="dxa" w:w="60"/>
              <w:right w:type="dxa" w:w="100"/>
            </w:tcMar>
          </w:tcPr>
          <w:p>
            <w:r>
              <w:t xml:space="preserve">Pension (vested benefit)</w:t>
            </w:r>
          </w:p>
        </w:tc>
        <w:tc>
          <w:tcPr>
            <w:tcW w:type="dxa" w:w="3120"/>
            <w:tcMar>
              <w:top w:type="dxa" w:w="60"/>
              <w:left w:type="dxa" w:w="100"/>
              <w:bottom w:type="dxa" w:w="60"/>
              <w:right w:type="dxa" w:w="100"/>
            </w:tcMar>
          </w:tcPr>
          <w:p>
            <w:r>
              <w:t xml:space="preserve">$313,291.81</w:t>
            </w:r>
          </w:p>
        </w:tc>
      </w:tr>
      <w:tr>
        <w:tc>
          <w:tcPr>
            <w:tcW w:type="dxa" w:w="3120"/>
            <w:tcMar>
              <w:top w:type="dxa" w:w="60"/>
              <w:left w:type="dxa" w:w="100"/>
              <w:bottom w:type="dxa" w:w="60"/>
              <w:right w:type="dxa" w:w="100"/>
            </w:tcMar>
          </w:tcPr>
          <w:p>
            <w:r>
              <w:t xml:space="preserve">Use Assets</w:t>
            </w:r>
          </w:p>
        </w:tc>
        <w:tc>
          <w:tcPr>
            <w:tcW w:type="dxa" w:w="3120"/>
            <w:tcMar>
              <w:top w:type="dxa" w:w="60"/>
              <w:left w:type="dxa" w:w="100"/>
              <w:bottom w:type="dxa" w:w="60"/>
              <w:right w:type="dxa" w:w="100"/>
            </w:tcMar>
          </w:tcPr>
          <w:p>
            <w:r>
              <w:t xml:space="preserve">Principal home</w:t>
            </w:r>
          </w:p>
        </w:tc>
        <w:tc>
          <w:tcPr>
            <w:tcW w:type="dxa" w:w="3120"/>
            <w:tcMar>
              <w:top w:type="dxa" w:w="60"/>
              <w:left w:type="dxa" w:w="100"/>
              <w:bottom w:type="dxa" w:w="60"/>
              <w:right w:type="dxa" w:w="100"/>
            </w:tcMar>
          </w:tcPr>
          <w:p>
            <w:r>
              <w:t xml:space="preserve">$59,282.00</w:t>
            </w:r>
          </w:p>
        </w:tc>
      </w:tr>
      <w:tr>
        <w:tc>
          <w:tcPr>
            <w:tcW w:type="dxa" w:w="3120"/>
            <w:tcMar>
              <w:top w:type="dxa" w:w="60"/>
              <w:left w:type="dxa" w:w="100"/>
              <w:bottom w:type="dxa" w:w="60"/>
              <w:right w:type="dxa" w:w="100"/>
            </w:tcMar>
          </w:tcPr>
          <w:p>
            <w:r>
              <w:t xml:space="preserve">Use Assets</w:t>
            </w:r>
          </w:p>
        </w:tc>
        <w:tc>
          <w:tcPr>
            <w:tcW w:type="dxa" w:w="3120"/>
            <w:tcMar>
              <w:top w:type="dxa" w:w="60"/>
              <w:left w:type="dxa" w:w="100"/>
              <w:bottom w:type="dxa" w:w="60"/>
              <w:right w:type="dxa" w:w="100"/>
            </w:tcMar>
          </w:tcPr>
          <w:p>
            <w:r>
              <w:t xml:space="preserve">Cars, trucks, boats</w:t>
            </w:r>
          </w:p>
        </w:tc>
        <w:tc>
          <w:tcPr>
            <w:tcW w:type="dxa" w:w="3120"/>
            <w:tcMar>
              <w:top w:type="dxa" w:w="60"/>
              <w:left w:type="dxa" w:w="100"/>
              <w:bottom w:type="dxa" w:w="60"/>
              <w:right w:type="dxa" w:w="100"/>
            </w:tcMar>
          </w:tcPr>
          <w:p>
            <w:r>
              <w:t xml:space="preserve">$32,929.00</w:t>
            </w:r>
          </w:p>
        </w:tc>
      </w:tr>
      <w:tr>
        <w:tc>
          <w:tcPr>
            <w:tcW w:type="dxa" w:w="3120"/>
            <w:tcMar>
              <w:top w:type="dxa" w:w="60"/>
              <w:left w:type="dxa" w:w="100"/>
              <w:bottom w:type="dxa" w:w="60"/>
              <w:right w:type="dxa" w:w="100"/>
            </w:tcMar>
          </w:tcPr>
          <w:p>
            <w:r>
              <w:t xml:space="preserve">Use Assets</w:t>
            </w:r>
          </w:p>
        </w:tc>
        <w:tc>
          <w:tcPr>
            <w:tcW w:type="dxa" w:w="3120"/>
            <w:tcMar>
              <w:top w:type="dxa" w:w="60"/>
              <w:left w:type="dxa" w:w="100"/>
              <w:bottom w:type="dxa" w:w="60"/>
              <w:right w:type="dxa" w:w="100"/>
            </w:tcMar>
          </w:tcPr>
          <w:p>
            <w:r>
              <w:t xml:space="preserve">Home furnishings</w:t>
            </w:r>
          </w:p>
        </w:tc>
        <w:tc>
          <w:tcPr>
            <w:tcW w:type="dxa" w:w="3120"/>
            <w:tcMar>
              <w:top w:type="dxa" w:w="60"/>
              <w:left w:type="dxa" w:w="100"/>
              <w:bottom w:type="dxa" w:w="60"/>
              <w:right w:type="dxa" w:w="100"/>
            </w:tcMar>
          </w:tcPr>
          <w:p>
            <w:r>
              <w:t xml:space="preserve">$2,219.73</w:t>
            </w:r>
          </w:p>
        </w:tc>
      </w:tr>
      <w:tr>
        <w:tc>
          <w:tcPr>
            <w:tcW w:type="dxa" w:w="3120"/>
            <w:tcMar>
              <w:top w:type="dxa" w:w="60"/>
              <w:left w:type="dxa" w:w="100"/>
              <w:bottom w:type="dxa" w:w="60"/>
              <w:right w:type="dxa" w:w="100"/>
            </w:tcMar>
          </w:tcPr>
          <w:p>
            <w:r>
              <w:rPr>
                <w:b/>
                <w:bCs/>
              </w:rPr>
              <w:t xml:space="preserve">Total Assets</w:t>
            </w:r>
          </w:p>
        </w:tc>
        <w:tc>
          <w:tcPr>
            <w:tcW w:type="dxa" w:w="3120"/>
            <w:tcMar>
              <w:top w:type="dxa" w:w="60"/>
              <w:left w:type="dxa" w:w="100"/>
              <w:bottom w:type="dxa" w:w="60"/>
              <w:right w:type="dxa" w:w="100"/>
            </w:tcMar>
          </w:tcPr>
          <w:p>
            <w:r>
              <w:t xml:space="preserve"/>
            </w:r>
          </w:p>
        </w:tc>
        <w:tc>
          <w:tcPr>
            <w:tcW w:type="dxa" w:w="3120"/>
            <w:tcMar>
              <w:top w:type="dxa" w:w="60"/>
              <w:left w:type="dxa" w:w="100"/>
              <w:bottom w:type="dxa" w:w="60"/>
              <w:right w:type="dxa" w:w="100"/>
            </w:tcMar>
          </w:tcPr>
          <w:p>
            <w:r>
              <w:rPr>
                <w:b/>
                <w:bCs/>
              </w:rPr>
              <w:t xml:space="preserve">$667,756.51</w:t>
            </w:r>
          </w:p>
        </w:tc>
      </w:tr>
    </w:tbl>
    <w:p>
      <w:pPr>
        <w:spacing w:after="120"/>
      </w:pPr>
    </w:p>
    <w:p>
      <w:pPr>
        <w:spacing w:after="120"/>
      </w:pPr>
      <w:r>
        <w:rPr>
          <w:b/>
          <w:bCs/>
        </w:rPr>
        <w:t xml:space="preserve">Liabilities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DDDD" w:val="clear"/>
            <w:tcMar>
              <w:top w:type="dxa" w:w="60"/>
              <w:left w:type="dxa" w:w="100"/>
              <w:bottom w:type="dxa" w:w="60"/>
              <w:right w:type="dxa" w:w="100"/>
            </w:tcMar>
          </w:tcPr>
          <w:p>
            <w:r>
              <w:t xml:space="preserve">Category</w:t>
            </w:r>
          </w:p>
        </w:tc>
        <w:tc>
          <w:tcPr>
            <w:tcW w:type="dxa" w:w="3120"/>
            <w:shd w:fill="DDDDDD" w:val="clear"/>
            <w:tcMar>
              <w:top w:type="dxa" w:w="60"/>
              <w:left w:type="dxa" w:w="100"/>
              <w:bottom w:type="dxa" w:w="60"/>
              <w:right w:type="dxa" w:w="100"/>
            </w:tcMar>
          </w:tcPr>
          <w:p>
            <w:r>
              <w:t xml:space="preserve">Item</w:t>
            </w:r>
          </w:p>
        </w:tc>
        <w:tc>
          <w:tcPr>
            <w:tcW w:type="dxa" w:w="3120"/>
            <w:shd w:fill="DDDDDD" w:val="clear"/>
            <w:tcMar>
              <w:top w:type="dxa" w:w="60"/>
              <w:left w:type="dxa" w:w="100"/>
              <w:bottom w:type="dxa" w:w="60"/>
              <w:right w:type="dxa" w:w="100"/>
            </w:tcMar>
          </w:tcPr>
          <w:p>
            <w:r>
              <w:t xml:space="preserve">Amount Due</w:t>
            </w:r>
          </w:p>
        </w:tc>
      </w:tr>
      <w:tr>
        <w:tc>
          <w:tcPr>
            <w:tcW w:type="dxa" w:w="3120"/>
            <w:tcMar>
              <w:top w:type="dxa" w:w="60"/>
              <w:left w:type="dxa" w:w="100"/>
              <w:bottom w:type="dxa" w:w="60"/>
              <w:right w:type="dxa" w:w="100"/>
            </w:tcMar>
          </w:tcPr>
          <w:p>
            <w:r>
              <w:t xml:space="preserve">Current</w:t>
            </w:r>
          </w:p>
        </w:tc>
        <w:tc>
          <w:tcPr>
            <w:tcW w:type="dxa" w:w="3120"/>
            <w:tcMar>
              <w:top w:type="dxa" w:w="60"/>
              <w:left w:type="dxa" w:w="100"/>
              <w:bottom w:type="dxa" w:w="60"/>
              <w:right w:type="dxa" w:w="100"/>
            </w:tcMar>
          </w:tcPr>
          <w:p>
            <w:r>
              <w:t xml:space="preserve">Credit card balances</w:t>
            </w:r>
          </w:p>
        </w:tc>
        <w:tc>
          <w:tcPr>
            <w:tcW w:type="dxa" w:w="3120"/>
            <w:tcMar>
              <w:top w:type="dxa" w:w="60"/>
              <w:left w:type="dxa" w:w="100"/>
              <w:bottom w:type="dxa" w:w="60"/>
              <w:right w:type="dxa" w:w="100"/>
            </w:tcMar>
          </w:tcPr>
          <w:p>
            <w:r>
              <w:t xml:space="preserve">$15,492.93</w:t>
            </w:r>
          </w:p>
        </w:tc>
      </w:tr>
      <w:tr>
        <w:tc>
          <w:tcPr>
            <w:tcW w:type="dxa" w:w="3120"/>
            <w:tcMar>
              <w:top w:type="dxa" w:w="60"/>
              <w:left w:type="dxa" w:w="100"/>
              <w:bottom w:type="dxa" w:w="60"/>
              <w:right w:type="dxa" w:w="100"/>
            </w:tcMar>
          </w:tcPr>
          <w:p>
            <w:r>
              <w:t xml:space="preserve">Current</w:t>
            </w:r>
          </w:p>
        </w:tc>
        <w:tc>
          <w:tcPr>
            <w:tcW w:type="dxa" w:w="3120"/>
            <w:tcMar>
              <w:top w:type="dxa" w:w="60"/>
              <w:left w:type="dxa" w:w="100"/>
              <w:bottom w:type="dxa" w:w="60"/>
              <w:right w:type="dxa" w:w="100"/>
            </w:tcMar>
          </w:tcPr>
          <w:p>
            <w:r>
              <w:t xml:space="preserve">Other outstanding bills</w:t>
            </w:r>
          </w:p>
        </w:tc>
        <w:tc>
          <w:tcPr>
            <w:tcW w:type="dxa" w:w="3120"/>
            <w:tcMar>
              <w:top w:type="dxa" w:w="60"/>
              <w:left w:type="dxa" w:w="100"/>
              <w:bottom w:type="dxa" w:w="60"/>
              <w:right w:type="dxa" w:w="100"/>
            </w:tcMar>
          </w:tcPr>
          <w:p>
            <w:r>
              <w:t xml:space="preserve">$392.64</w:t>
            </w:r>
          </w:p>
        </w:tc>
      </w:tr>
      <w:tr>
        <w:tc>
          <w:tcPr>
            <w:tcW w:type="dxa" w:w="3120"/>
            <w:tcMar>
              <w:top w:type="dxa" w:w="60"/>
              <w:left w:type="dxa" w:w="100"/>
              <w:bottom w:type="dxa" w:w="60"/>
              <w:right w:type="dxa" w:w="100"/>
            </w:tcMar>
          </w:tcPr>
          <w:p>
            <w:r>
              <w:t xml:space="preserve">Long-Term</w:t>
            </w:r>
          </w:p>
        </w:tc>
        <w:tc>
          <w:tcPr>
            <w:tcW w:type="dxa" w:w="3120"/>
            <w:tcMar>
              <w:top w:type="dxa" w:w="60"/>
              <w:left w:type="dxa" w:w="100"/>
              <w:bottom w:type="dxa" w:w="60"/>
              <w:right w:type="dxa" w:w="100"/>
            </w:tcMar>
          </w:tcPr>
          <w:p>
            <w:r>
              <w:t xml:space="preserve">Home mortgage</w:t>
            </w:r>
          </w:p>
        </w:tc>
        <w:tc>
          <w:tcPr>
            <w:tcW w:type="dxa" w:w="3120"/>
            <w:tcMar>
              <w:top w:type="dxa" w:w="60"/>
              <w:left w:type="dxa" w:w="100"/>
              <w:bottom w:type="dxa" w:w="60"/>
              <w:right w:type="dxa" w:w="100"/>
            </w:tcMar>
          </w:tcPr>
          <w:p>
            <w:r>
              <w:t xml:space="preserve">$384,281.13</w:t>
            </w:r>
          </w:p>
        </w:tc>
      </w:tr>
      <w:tr>
        <w:tc>
          <w:tcPr>
            <w:tcW w:type="dxa" w:w="3120"/>
            <w:tcMar>
              <w:top w:type="dxa" w:w="60"/>
              <w:left w:type="dxa" w:w="100"/>
              <w:bottom w:type="dxa" w:w="60"/>
              <w:right w:type="dxa" w:w="100"/>
            </w:tcMar>
          </w:tcPr>
          <w:p>
            <w:r>
              <w:t xml:space="preserve">Long-Term</w:t>
            </w:r>
          </w:p>
        </w:tc>
        <w:tc>
          <w:tcPr>
            <w:tcW w:type="dxa" w:w="3120"/>
            <w:tcMar>
              <w:top w:type="dxa" w:w="60"/>
              <w:left w:type="dxa" w:w="100"/>
              <w:bottom w:type="dxa" w:w="60"/>
              <w:right w:type="dxa" w:w="100"/>
            </w:tcMar>
          </w:tcPr>
          <w:p>
            <w:r>
              <w:t xml:space="preserve">Car loans</w:t>
            </w:r>
          </w:p>
        </w:tc>
        <w:tc>
          <w:tcPr>
            <w:tcW w:type="dxa" w:w="3120"/>
            <w:tcMar>
              <w:top w:type="dxa" w:w="60"/>
              <w:left w:type="dxa" w:w="100"/>
              <w:bottom w:type="dxa" w:w="60"/>
              <w:right w:type="dxa" w:w="100"/>
            </w:tcMar>
          </w:tcPr>
          <w:p>
            <w:r>
              <w:t xml:space="preserve">$12,348.71</w:t>
            </w:r>
          </w:p>
        </w:tc>
      </w:tr>
      <w:tr>
        <w:tc>
          <w:tcPr>
            <w:tcW w:type="dxa" w:w="3120"/>
            <w:tcMar>
              <w:top w:type="dxa" w:w="60"/>
              <w:left w:type="dxa" w:w="100"/>
              <w:bottom w:type="dxa" w:w="60"/>
              <w:right w:type="dxa" w:w="100"/>
            </w:tcMar>
          </w:tcPr>
          <w:p>
            <w:r>
              <w:t xml:space="preserve">Long-Term</w:t>
            </w:r>
          </w:p>
        </w:tc>
        <w:tc>
          <w:tcPr>
            <w:tcW w:type="dxa" w:w="3120"/>
            <w:tcMar>
              <w:top w:type="dxa" w:w="60"/>
              <w:left w:type="dxa" w:w="100"/>
              <w:bottom w:type="dxa" w:w="60"/>
              <w:right w:type="dxa" w:w="100"/>
            </w:tcMar>
          </w:tcPr>
          <w:p>
            <w:r>
              <w:t xml:space="preserve">Student loans</w:t>
            </w:r>
          </w:p>
        </w:tc>
        <w:tc>
          <w:tcPr>
            <w:tcW w:type="dxa" w:w="3120"/>
            <w:tcMar>
              <w:top w:type="dxa" w:w="60"/>
              <w:left w:type="dxa" w:w="100"/>
              <w:bottom w:type="dxa" w:w="60"/>
              <w:right w:type="dxa" w:w="100"/>
            </w:tcMar>
          </w:tcPr>
          <w:p>
            <w:r>
              <w:t xml:space="preserve">$36,872.91</w:t>
            </w:r>
          </w:p>
        </w:tc>
      </w:tr>
      <w:tr>
        <w:tc>
          <w:tcPr>
            <w:tcW w:type="dxa" w:w="3120"/>
            <w:tcMar>
              <w:top w:type="dxa" w:w="60"/>
              <w:left w:type="dxa" w:w="100"/>
              <w:bottom w:type="dxa" w:w="60"/>
              <w:right w:type="dxa" w:w="100"/>
            </w:tcMar>
          </w:tcPr>
          <w:p>
            <w:r>
              <w:rPr>
                <w:b/>
                <w:bCs/>
              </w:rPr>
              <w:t xml:space="preserve">Total Liabilities</w:t>
            </w:r>
          </w:p>
        </w:tc>
        <w:tc>
          <w:tcPr>
            <w:tcW w:type="dxa" w:w="3120"/>
            <w:tcMar>
              <w:top w:type="dxa" w:w="60"/>
              <w:left w:type="dxa" w:w="100"/>
              <w:bottom w:type="dxa" w:w="60"/>
              <w:right w:type="dxa" w:w="100"/>
            </w:tcMar>
          </w:tcPr>
          <w:p>
            <w:r>
              <w:t xml:space="preserve"/>
            </w:r>
          </w:p>
        </w:tc>
        <w:tc>
          <w:tcPr>
            <w:tcW w:type="dxa" w:w="3120"/>
            <w:tcMar>
              <w:top w:type="dxa" w:w="60"/>
              <w:left w:type="dxa" w:w="100"/>
              <w:bottom w:type="dxa" w:w="60"/>
              <w:right w:type="dxa" w:w="100"/>
            </w:tcMar>
          </w:tcPr>
          <w:p>
            <w:r>
              <w:rPr>
                <w:b/>
                <w:bCs/>
              </w:rPr>
              <w:t xml:space="preserve">$449,388.32</w:t>
            </w:r>
          </w:p>
        </w:tc>
      </w:tr>
    </w:tbl>
    <w:p>
      <w:pPr>
        <w:spacing w:after="120"/>
      </w:pPr>
    </w:p>
    <w:p>
      <w:pPr>
        <w:spacing w:after="120"/>
      </w:pPr>
      <w:r>
        <w:rPr>
          <w:b/>
          <w:bCs/>
        </w:rPr>
        <w:t xml:space="preserve">Net Worth (Total Assets − Total Liabilities): $218,368.19</w:t>
      </w:r>
    </w:p>
    <w:p>
      <w:pPr>
        <w:spacing w:after="120"/>
      </w:pPr>
      <w:r>
        <w:t xml:space="preserve">All other worksheet line items (savings bonds, CDs, life insurance cash value, Roth IRA, SEP-IRA, Keogh, annuity, vacation home, home equity loan, rental mortgages, life insurance policy loans, other debt, art/collectibles, jewelry) were $0.00 and are omitted from the table above; they were $0 on the original worksheet, not dropped for space.</w:t>
      </w:r>
    </w:p>
    <w:p>
      <w:pPr>
        <w:pStyle w:val="Heading2"/>
        <w:spacing w:after="140" w:before="280"/>
      </w:pPr>
      <w:r>
        <w:t xml:space="preserve">Appendix C: Dr. Halbert's Prognosis Statement</w:t>
      </w:r>
    </w:p>
    <w:p>
      <w:pPr>
        <w:spacing w:after="120"/>
      </w:pPr>
      <w:r>
        <w:t xml:space="preserve">Directly from the family's conversation with Dr. Ethan Halbert, the physician overseeing Lauren's care:</w:t>
      </w:r>
    </w:p>
    <w:p>
      <w:pPr>
        <w:pStyle w:val="ListParagraph"/>
        <w:numPr>
          <w:ilvl w:val="0"/>
          <w:numId w:val="2"/>
        </w:numPr>
        <w:spacing w:after="60"/>
      </w:pPr>
      <w:r>
        <w:t xml:space="preserve">Lauren is </w:t>
      </w:r>
      <w:r>
        <w:rPr>
          <w:b/>
          <w:bCs/>
        </w:rPr>
        <w:t xml:space="preserve">not in pain</w:t>
      </w:r>
      <w:r>
        <w:t xml:space="preserve">.</w:t>
      </w:r>
    </w:p>
    <w:p>
      <w:pPr>
        <w:pStyle w:val="ListParagraph"/>
        <w:numPr>
          <w:ilvl w:val="0"/>
          <w:numId w:val="2"/>
        </w:numPr>
        <w:spacing w:after="60"/>
      </w:pPr>
      <w:r>
        <w:t xml:space="preserve">There is </w:t>
      </w:r>
      <w:r>
        <w:rPr>
          <w:b/>
          <w:bCs/>
        </w:rPr>
        <w:t xml:space="preserve">less than a 5% chance</w:t>
      </w:r>
      <w:r>
        <w:t xml:space="preserve"> Lauren wakes from her coma before she dies.</w:t>
      </w:r>
    </w:p>
    <w:p>
      <w:pPr>
        <w:pStyle w:val="ListParagraph"/>
        <w:numPr>
          <w:ilvl w:val="0"/>
          <w:numId w:val="2"/>
        </w:numPr>
        <w:spacing w:after="60"/>
      </w:pPr>
      <w:r>
        <w:t xml:space="preserve">Dr. Halbert is confident Lauren will </w:t>
      </w:r>
      <w:r>
        <w:rPr>
          <w:b/>
          <w:bCs/>
        </w:rPr>
        <w:t xml:space="preserve">likely survive two to three weeks</w:t>
      </w:r>
      <w:r>
        <w:t xml:space="preserve"> (14–21 days) from today.</w:t>
      </w:r>
    </w:p>
    <w:p>
      <w:pPr>
        <w:pStyle w:val="ListParagraph"/>
        <w:numPr>
          <w:ilvl w:val="0"/>
          <w:numId w:val="2"/>
        </w:numPr>
        <w:spacing w:after="60"/>
      </w:pPr>
      <w:r>
        <w:t xml:space="preserve">Dr. Halbert is confident Lauren </w:t>
      </w:r>
      <w:r>
        <w:rPr>
          <w:b/>
          <w:bCs/>
        </w:rPr>
        <w:t xml:space="preserve">will not survive more than 50 days</w:t>
      </w:r>
      <w:r>
        <w:t xml:space="preserve"> from today.</w:t>
      </w:r>
    </w:p>
    <w:p>
      <w:pPr>
        <w:spacing w:after="120"/>
      </w:pPr>
      <w:r>
        <w:t xml:space="preserve">These three numbers — the 14–21 day likely window and the 50-day outer bound — are the only stated survival estimates in this case. Nothing in this case asks you to invent a more precise number than the doctor gave.</w:t>
      </w:r>
    </w:p>
    <w:p>
      <w:pPr>
        <w:pStyle w:val="Heading2"/>
        <w:spacing w:after="140" w:before="280"/>
      </w:pPr>
      <w:r>
        <w:t xml:space="preserve">Appendix D: Federal Poverty Guidelines and Financial Assistance</w:t>
      </w:r>
    </w:p>
    <w:p>
      <w:pPr>
        <w:spacing w:after="120"/>
      </w:pPr>
      <w:r>
        <w:t xml:space="preserve">The hospital's billing statement discloses that patients whose household income falls at or below the federal poverty guideline for their family size may qualify for free medically-necessary care, and that patients at or below 400% of the guideline may qualify for a discount, under a state hospital-charity-care program.</w:t>
      </w:r>
    </w:p>
    <w:p>
      <w:pPr>
        <w:spacing w:after="120"/>
      </w:pPr>
      <w:r>
        <w:rPr>
          <w:b/>
          <w:bCs/>
        </w:rPr>
        <w:t xml:space="preserve">2026 HHS Poverty Guidelines — 48 Contiguous States and 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DDDDD" w:val="clear"/>
            <w:tcMar>
              <w:top w:type="dxa" w:w="60"/>
              <w:left w:type="dxa" w:w="100"/>
              <w:bottom w:type="dxa" w:w="60"/>
              <w:right w:type="dxa" w:w="100"/>
            </w:tcMar>
          </w:tcPr>
          <w:p>
            <w:r>
              <w:t xml:space="preserve">Family Size</w:t>
            </w:r>
          </w:p>
        </w:tc>
        <w:tc>
          <w:tcPr>
            <w:tcW w:type="dxa" w:w="4680"/>
            <w:shd w:fill="DDDDDD" w:val="clear"/>
            <w:tcMar>
              <w:top w:type="dxa" w:w="60"/>
              <w:left w:type="dxa" w:w="100"/>
              <w:bottom w:type="dxa" w:w="60"/>
              <w:right w:type="dxa" w:w="100"/>
            </w:tcMar>
          </w:tcPr>
          <w:p>
            <w:r>
              <w:t xml:space="preserve">Poverty Guideline</w:t>
            </w:r>
          </w:p>
        </w:tc>
      </w:tr>
      <w:tr>
        <w:tc>
          <w:tcPr>
            <w:tcW w:type="dxa" w:w="4680"/>
            <w:tcMar>
              <w:top w:type="dxa" w:w="60"/>
              <w:left w:type="dxa" w:w="100"/>
              <w:bottom w:type="dxa" w:w="60"/>
              <w:right w:type="dxa" w:w="100"/>
            </w:tcMar>
          </w:tcPr>
          <w:p>
            <w:r>
              <w:t xml:space="preserve">1</w:t>
            </w:r>
          </w:p>
        </w:tc>
        <w:tc>
          <w:tcPr>
            <w:tcW w:type="dxa" w:w="4680"/>
            <w:tcMar>
              <w:top w:type="dxa" w:w="60"/>
              <w:left w:type="dxa" w:w="100"/>
              <w:bottom w:type="dxa" w:w="60"/>
              <w:right w:type="dxa" w:w="100"/>
            </w:tcMar>
          </w:tcPr>
          <w:p>
            <w:r>
              <w:t xml:space="preserve">$15,960</w:t>
            </w:r>
          </w:p>
        </w:tc>
      </w:tr>
      <w:tr>
        <w:tc>
          <w:tcPr>
            <w:tcW w:type="dxa" w:w="4680"/>
            <w:tcMar>
              <w:top w:type="dxa" w:w="60"/>
              <w:left w:type="dxa" w:w="100"/>
              <w:bottom w:type="dxa" w:w="60"/>
              <w:right w:type="dxa" w:w="100"/>
            </w:tcMar>
          </w:tcPr>
          <w:p>
            <w:r>
              <w:t xml:space="preserve">2</w:t>
            </w:r>
          </w:p>
        </w:tc>
        <w:tc>
          <w:tcPr>
            <w:tcW w:type="dxa" w:w="4680"/>
            <w:tcMar>
              <w:top w:type="dxa" w:w="60"/>
              <w:left w:type="dxa" w:w="100"/>
              <w:bottom w:type="dxa" w:w="60"/>
              <w:right w:type="dxa" w:w="100"/>
            </w:tcMar>
          </w:tcPr>
          <w:p>
            <w:r>
              <w:t xml:space="preserve">$21,640</w:t>
            </w:r>
          </w:p>
        </w:tc>
      </w:tr>
      <w:tr>
        <w:tc>
          <w:tcPr>
            <w:tcW w:type="dxa" w:w="4680"/>
            <w:tcMar>
              <w:top w:type="dxa" w:w="60"/>
              <w:left w:type="dxa" w:w="100"/>
              <w:bottom w:type="dxa" w:w="60"/>
              <w:right w:type="dxa" w:w="100"/>
            </w:tcMar>
          </w:tcPr>
          <w:p>
            <w:r>
              <w:t xml:space="preserve">3</w:t>
            </w:r>
          </w:p>
        </w:tc>
        <w:tc>
          <w:tcPr>
            <w:tcW w:type="dxa" w:w="4680"/>
            <w:tcMar>
              <w:top w:type="dxa" w:w="60"/>
              <w:left w:type="dxa" w:w="100"/>
              <w:bottom w:type="dxa" w:w="60"/>
              <w:right w:type="dxa" w:w="100"/>
            </w:tcMar>
          </w:tcPr>
          <w:p>
            <w:r>
              <w:t xml:space="preserve">$27,320</w:t>
            </w:r>
          </w:p>
        </w:tc>
      </w:tr>
      <w:tr>
        <w:tc>
          <w:tcPr>
            <w:tcW w:type="dxa" w:w="4680"/>
            <w:tcMar>
              <w:top w:type="dxa" w:w="60"/>
              <w:left w:type="dxa" w:w="100"/>
              <w:bottom w:type="dxa" w:w="60"/>
              <w:right w:type="dxa" w:w="100"/>
            </w:tcMar>
          </w:tcPr>
          <w:p>
            <w:r>
              <w:t xml:space="preserve">4</w:t>
            </w:r>
          </w:p>
        </w:tc>
        <w:tc>
          <w:tcPr>
            <w:tcW w:type="dxa" w:w="4680"/>
            <w:tcMar>
              <w:top w:type="dxa" w:w="60"/>
              <w:left w:type="dxa" w:w="100"/>
              <w:bottom w:type="dxa" w:w="60"/>
              <w:right w:type="dxa" w:w="100"/>
            </w:tcMar>
          </w:tcPr>
          <w:p>
            <w:r>
              <w:t xml:space="preserve">$33,000</w:t>
            </w:r>
          </w:p>
        </w:tc>
      </w:tr>
      <w:tr>
        <w:tc>
          <w:tcPr>
            <w:tcW w:type="dxa" w:w="4680"/>
            <w:tcMar>
              <w:top w:type="dxa" w:w="60"/>
              <w:left w:type="dxa" w:w="100"/>
              <w:bottom w:type="dxa" w:w="60"/>
              <w:right w:type="dxa" w:w="100"/>
            </w:tcMar>
          </w:tcPr>
          <w:p>
            <w:r>
              <w:t xml:space="preserve">5</w:t>
            </w:r>
          </w:p>
        </w:tc>
        <w:tc>
          <w:tcPr>
            <w:tcW w:type="dxa" w:w="4680"/>
            <w:tcMar>
              <w:top w:type="dxa" w:w="60"/>
              <w:left w:type="dxa" w:w="100"/>
              <w:bottom w:type="dxa" w:w="60"/>
              <w:right w:type="dxa" w:w="100"/>
            </w:tcMar>
          </w:tcPr>
          <w:p>
            <w:r>
              <w:t xml:space="preserve">$38,680</w:t>
            </w:r>
          </w:p>
        </w:tc>
      </w:tr>
      <w:tr>
        <w:tc>
          <w:tcPr>
            <w:tcW w:type="dxa" w:w="4680"/>
            <w:tcMar>
              <w:top w:type="dxa" w:w="60"/>
              <w:left w:type="dxa" w:w="100"/>
              <w:bottom w:type="dxa" w:w="60"/>
              <w:right w:type="dxa" w:w="100"/>
            </w:tcMar>
          </w:tcPr>
          <w:p>
            <w:r>
              <w:t xml:space="preserve">6</w:t>
            </w:r>
          </w:p>
        </w:tc>
        <w:tc>
          <w:tcPr>
            <w:tcW w:type="dxa" w:w="4680"/>
            <w:tcMar>
              <w:top w:type="dxa" w:w="60"/>
              <w:left w:type="dxa" w:w="100"/>
              <w:bottom w:type="dxa" w:w="60"/>
              <w:right w:type="dxa" w:w="100"/>
            </w:tcMar>
          </w:tcPr>
          <w:p>
            <w:r>
              <w:t xml:space="preserve">$44,360</w:t>
            </w:r>
          </w:p>
        </w:tc>
      </w:tr>
      <w:tr>
        <w:tc>
          <w:tcPr>
            <w:tcW w:type="dxa" w:w="4680"/>
            <w:tcMar>
              <w:top w:type="dxa" w:w="60"/>
              <w:left w:type="dxa" w:w="100"/>
              <w:bottom w:type="dxa" w:w="60"/>
              <w:right w:type="dxa" w:w="100"/>
            </w:tcMar>
          </w:tcPr>
          <w:p>
            <w:r>
              <w:t xml:space="preserve">7</w:t>
            </w:r>
          </w:p>
        </w:tc>
        <w:tc>
          <w:tcPr>
            <w:tcW w:type="dxa" w:w="4680"/>
            <w:tcMar>
              <w:top w:type="dxa" w:w="60"/>
              <w:left w:type="dxa" w:w="100"/>
              <w:bottom w:type="dxa" w:w="60"/>
              <w:right w:type="dxa" w:w="100"/>
            </w:tcMar>
          </w:tcPr>
          <w:p>
            <w:r>
              <w:t xml:space="preserve">$50,040</w:t>
            </w:r>
          </w:p>
        </w:tc>
      </w:tr>
      <w:tr>
        <w:tc>
          <w:tcPr>
            <w:tcW w:type="dxa" w:w="4680"/>
            <w:tcMar>
              <w:top w:type="dxa" w:w="60"/>
              <w:left w:type="dxa" w:w="100"/>
              <w:bottom w:type="dxa" w:w="60"/>
              <w:right w:type="dxa" w:w="100"/>
            </w:tcMar>
          </w:tcPr>
          <w:p>
            <w:r>
              <w:t xml:space="preserve">8</w:t>
            </w:r>
          </w:p>
        </w:tc>
        <w:tc>
          <w:tcPr>
            <w:tcW w:type="dxa" w:w="4680"/>
            <w:tcMar>
              <w:top w:type="dxa" w:w="60"/>
              <w:left w:type="dxa" w:w="100"/>
              <w:bottom w:type="dxa" w:w="60"/>
              <w:right w:type="dxa" w:w="100"/>
            </w:tcMar>
          </w:tcPr>
          <w:p>
            <w:r>
              <w:t xml:space="preserve">$55,720</w:t>
            </w:r>
          </w:p>
        </w:tc>
      </w:tr>
    </w:tbl>
    <w:p>
      <w:pPr>
        <w:spacing w:after="120"/>
      </w:pPr>
    </w:p>
    <w:p>
      <w:pPr>
        <w:spacing w:after="120"/>
      </w:pPr>
      <w:r>
        <w:t xml:space="preserve">For each additional person beyond 8, add $5,680.</w:t>
      </w:r>
    </w:p>
    <w:p>
      <w:pPr>
        <w:spacing w:after="120"/>
      </w:pPr>
      <w:r>
        <w:t xml:space="preserve">Family size for a household like the Escovedos' is a real judgment call — Lily (14) still lives at home, but Audrey and Caleb are away at college and may or may not still count as dependents under a given program's rules, and Grace has her own household out of state. State whichever family size you use, and why, if this appendix factors into your pitch.</w:t>
      </w:r>
    </w:p>
    <w:p>
      <w:pPr>
        <w:pStyle w:val="Heading2"/>
        <w:spacing w:after="140" w:before="280"/>
      </w:pPr>
      <w:r>
        <w:t xml:space="preserve">Appendix E — Modeling Assumptions</w:t>
      </w:r>
    </w:p>
    <w:p>
      <w:pPr>
        <w:spacing w:after="120"/>
      </w:pPr>
      <w:r>
        <w:t xml:space="preserve">Appendix A gives three real, billed days. This appendix states, as a disclosed modeling convention (not a source), how those three days extend to a longer stay:</w:t>
      </w:r>
    </w:p>
    <w:p>
      <w:pPr>
        <w:pStyle w:val="ListParagraph"/>
        <w:numPr>
          <w:ilvl w:val="0"/>
          <w:numId w:val="2"/>
        </w:numPr>
        <w:spacing w:after="60"/>
      </w:pPr>
      <w:r>
        <w:rPr>
          <w:b/>
          <w:bCs/>
        </w:rPr>
        <w:t xml:space="preserve">Day 1</w:t>
      </w:r>
      <w:r>
        <w:t xml:space="preserve"> (the Emergency Room admission day) is a one-time charge and is not repeated.</w:t>
      </w:r>
    </w:p>
    <w:p>
      <w:pPr>
        <w:pStyle w:val="ListParagraph"/>
        <w:numPr>
          <w:ilvl w:val="0"/>
          <w:numId w:val="2"/>
        </w:numPr>
        <w:spacing w:after="60"/>
      </w:pPr>
      <w:r>
        <w:rPr>
          <w:b/>
          <w:bCs/>
        </w:rPr>
        <w:t xml:space="preserve">Every day from Day 2 onward</w:t>
      </w:r>
      <w:r>
        <w:t xml:space="preserve">, the daily </w:t>
      </w:r>
      <w:r>
        <w:rPr>
          <w:i/>
          <w:iCs/>
        </w:rPr>
        <w:t xml:space="preserve">family balance</w:t>
      </w:r>
      <w:r>
        <w:t xml:space="preserve"> (what the family actually owes after insurance, not the gross charge) is held constant at the </w:t>
      </w:r>
      <w:r>
        <w:rPr>
          <w:b/>
          <w:bCs/>
        </w:rPr>
        <w:t xml:space="preserve">Dec 12/Dec 13 rate: $8,743.26 per day</w:t>
      </w:r>
      <w:r>
        <w:t xml:space="preserve"> — the real rate the two identical ICU/Ventilator/Pharmacy days in Appendix A already show.</w:t>
      </w:r>
    </w:p>
    <w:p>
      <w:pPr>
        <w:pStyle w:val="ListParagraph"/>
        <w:numPr>
          <w:ilvl w:val="0"/>
          <w:numId w:val="2"/>
        </w:numPr>
        <w:spacing w:after="60"/>
      </w:pPr>
      <w:r>
        <w:t xml:space="preserve">No inflation, rate changes, or new categories of charge (e.g., additional procedures) are modeled for any day beyond Dec 13. This is a simplification — a real hospital stay would likely include some day-to-day variation — stated here so every Hero's arithmetic starts from the same convention.</w:t>
      </w:r>
    </w:p>
    <w:p>
      <w:pPr>
        <w:pStyle w:val="ListParagraph"/>
        <w:numPr>
          <w:ilvl w:val="0"/>
          <w:numId w:val="2"/>
        </w:numPr>
        <w:spacing w:after="60"/>
      </w:pPr>
      <w:r>
        <w:rPr>
          <w:b/>
          <w:bCs/>
        </w:rPr>
        <w:t xml:space="preserve">If the family accepts a treatment option that moves Lauren out of the ICU and off the ventilator</w:t>
      </w:r>
      <w:r>
        <w:t xml:space="preserve"> (for example, to go home instead of staying in the ICU), the $8,743.26/day ICU/ventilator rate stops accruing from that point forward — that daily rate is billed only for days Lauren is actually receiving ICU/ventilator care. Whatever alternative care setting she moves to instead is billed separately and is not part of this case's stated daily-rate figures.</w:t>
      </w:r>
    </w:p>
    <w:p>
      <w:pPr>
        <w:spacing w:after="120"/>
      </w:pPr>
      <w:r>
        <w:t xml:space="preserve">Under this convention, the cumulative family balance through Day </w:t>
      </w:r>
      <w:r>
        <w:rPr>
          <w:i/>
          <w:iCs/>
        </w:rPr>
        <w:t xml:space="preserve">n</w:t>
      </w:r>
      <w:r>
        <w:t xml:space="preserve"> (n ≥ 1) is:</w:t>
      </w:r>
    </w:p>
    <w:p>
      <w:pPr>
        <w:spacing w:after="120"/>
      </w:pPr>
      <w:r>
        <w:rPr>
          <w:b/>
          <w:bCs/>
        </w:rPr>
        <w:t xml:space="preserve">Cumulative Balance(n) = $2,488.91 + (n − 1) × $8,743.26</w:t>
      </w:r>
    </w:p>
    <w:p>
      <w:pPr>
        <w:pStyle w:val="Heading2"/>
        <w:spacing w:after="140" w:before="280"/>
      </w:pPr>
      <w:r>
        <w:t xml:space="preserve">Appendix F: Liquid vs. Illiquid Assets</w:t>
      </w:r>
    </w:p>
    <w:p>
      <w:pPr>
        <w:spacing w:after="120"/>
      </w:pPr>
      <w:r>
        <w:t xml:space="preserve">Not every dollar on Appendix B's worksheet is equally available to pay a hospital bill this month. This appendix sorts Appendix B's asset lines into two groups, for D4 and 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DDDD" w:val="clear"/>
            <w:tcMar>
              <w:top w:type="dxa" w:w="60"/>
              <w:left w:type="dxa" w:w="100"/>
              <w:bottom w:type="dxa" w:w="60"/>
              <w:right w:type="dxa" w:w="100"/>
            </w:tcMar>
          </w:tcPr>
          <w:p>
            <w:r>
              <w:t xml:space="preserve">Group</w:t>
            </w:r>
          </w:p>
        </w:tc>
        <w:tc>
          <w:tcPr>
            <w:tcW w:type="dxa" w:w="3120"/>
            <w:shd w:fill="DDDDDD" w:val="clear"/>
            <w:tcMar>
              <w:top w:type="dxa" w:w="60"/>
              <w:left w:type="dxa" w:w="100"/>
              <w:bottom w:type="dxa" w:w="60"/>
              <w:right w:type="dxa" w:w="100"/>
            </w:tcMar>
          </w:tcPr>
          <w:p>
            <w:r>
              <w:t xml:space="preserve">Items (from Appendix B)</w:t>
            </w:r>
          </w:p>
        </w:tc>
        <w:tc>
          <w:tcPr>
            <w:tcW w:type="dxa" w:w="3120"/>
            <w:shd w:fill="DDDDDD" w:val="clear"/>
            <w:tcMar>
              <w:top w:type="dxa" w:w="60"/>
              <w:left w:type="dxa" w:w="100"/>
              <w:bottom w:type="dxa" w:w="60"/>
              <w:right w:type="dxa" w:w="100"/>
            </w:tcMar>
          </w:tcPr>
          <w:p>
            <w:r>
              <w:t xml:space="preserve">Total</w:t>
            </w:r>
          </w:p>
        </w:tc>
      </w:tr>
      <w:tr>
        <w:tc>
          <w:tcPr>
            <w:tcW w:type="dxa" w:w="3120"/>
            <w:tcMar>
              <w:top w:type="dxa" w:w="60"/>
              <w:left w:type="dxa" w:w="100"/>
              <w:bottom w:type="dxa" w:w="60"/>
              <w:right w:type="dxa" w:w="100"/>
            </w:tcMar>
          </w:tcPr>
          <w:p>
            <w:r>
              <w:rPr>
                <w:b/>
                <w:bCs/>
              </w:rPr>
              <w:t xml:space="preserve">Liquid — cash only</w:t>
            </w:r>
          </w:p>
        </w:tc>
        <w:tc>
          <w:tcPr>
            <w:tcW w:type="dxa" w:w="3120"/>
            <w:tcMar>
              <w:top w:type="dxa" w:w="60"/>
              <w:left w:type="dxa" w:w="100"/>
              <w:bottom w:type="dxa" w:w="60"/>
              <w:right w:type="dxa" w:w="100"/>
            </w:tcMar>
          </w:tcPr>
          <w:p>
            <w:r>
              <w:t xml:space="preserve">Checking + Savings + Money market</w:t>
            </w:r>
          </w:p>
        </w:tc>
        <w:tc>
          <w:tcPr>
            <w:tcW w:type="dxa" w:w="3120"/>
            <w:tcMar>
              <w:top w:type="dxa" w:w="60"/>
              <w:left w:type="dxa" w:w="100"/>
              <w:bottom w:type="dxa" w:w="60"/>
              <w:right w:type="dxa" w:w="100"/>
            </w:tcMar>
          </w:tcPr>
          <w:p>
            <w:r>
              <w:t xml:space="preserve">$80,942.75</w:t>
            </w:r>
          </w:p>
        </w:tc>
      </w:tr>
      <w:tr>
        <w:tc>
          <w:tcPr>
            <w:tcW w:type="dxa" w:w="3120"/>
            <w:tcMar>
              <w:top w:type="dxa" w:w="60"/>
              <w:left w:type="dxa" w:w="100"/>
              <w:bottom w:type="dxa" w:w="60"/>
              <w:right w:type="dxa" w:w="100"/>
            </w:tcMar>
          </w:tcPr>
          <w:p>
            <w:r>
              <w:rPr>
                <w:b/>
                <w:bCs/>
              </w:rPr>
              <w:t xml:space="preserve">Liquid — cash + taxable brokerage</w:t>
            </w:r>
          </w:p>
        </w:tc>
        <w:tc>
          <w:tcPr>
            <w:tcW w:type="dxa" w:w="3120"/>
            <w:tcMar>
              <w:top w:type="dxa" w:w="60"/>
              <w:left w:type="dxa" w:w="100"/>
              <w:bottom w:type="dxa" w:w="60"/>
              <w:right w:type="dxa" w:w="100"/>
            </w:tcMar>
          </w:tcPr>
          <w:p>
            <w:r>
              <w:t xml:space="preserve">Above, plus the taxable brokerage account</w:t>
            </w:r>
          </w:p>
        </w:tc>
        <w:tc>
          <w:tcPr>
            <w:tcW w:type="dxa" w:w="3120"/>
            <w:tcMar>
              <w:top w:type="dxa" w:w="60"/>
              <w:left w:type="dxa" w:w="100"/>
              <w:bottom w:type="dxa" w:w="60"/>
              <w:right w:type="dxa" w:w="100"/>
            </w:tcMar>
          </w:tcPr>
          <w:p>
            <w:r>
              <w:t xml:space="preserve">$111,953.63</w:t>
            </w:r>
          </w:p>
        </w:tc>
      </w:tr>
      <w:tr>
        <w:tc>
          <w:tcPr>
            <w:tcW w:type="dxa" w:w="3120"/>
            <w:tcMar>
              <w:top w:type="dxa" w:w="60"/>
              <w:left w:type="dxa" w:w="100"/>
              <w:bottom w:type="dxa" w:w="60"/>
              <w:right w:type="dxa" w:w="100"/>
            </w:tcMar>
          </w:tcPr>
          <w:p>
            <w:r>
              <w:rPr>
                <w:b/>
                <w:bCs/>
              </w:rPr>
              <w:t xml:space="preserve">Illiquid / restricted</w:t>
            </w:r>
          </w:p>
        </w:tc>
        <w:tc>
          <w:tcPr>
            <w:tcW w:type="dxa" w:w="3120"/>
            <w:tcMar>
              <w:top w:type="dxa" w:w="60"/>
              <w:left w:type="dxa" w:w="100"/>
              <w:bottom w:type="dxa" w:w="60"/>
              <w:right w:type="dxa" w:w="100"/>
            </w:tcMar>
          </w:tcPr>
          <w:p>
            <w:r>
              <w:t xml:space="preserve">IRA, 401(k)/403(b), and Pension (early withdrawal typically carries tax and penalty consequences; the pension is a vested future benefit, not a lump sum sitting in an account today)</w:t>
            </w:r>
          </w:p>
        </w:tc>
        <w:tc>
          <w:tcPr>
            <w:tcW w:type="dxa" w:w="3120"/>
            <w:tcMar>
              <w:top w:type="dxa" w:w="60"/>
              <w:left w:type="dxa" w:w="100"/>
              <w:bottom w:type="dxa" w:w="60"/>
              <w:right w:type="dxa" w:w="100"/>
            </w:tcMar>
          </w:tcPr>
          <w:p>
            <w:r>
              <w:t xml:space="preserve">$461,372.15</w:t>
            </w:r>
          </w:p>
        </w:tc>
      </w:tr>
      <w:tr>
        <w:tc>
          <w:tcPr>
            <w:tcW w:type="dxa" w:w="3120"/>
            <w:tcMar>
              <w:top w:type="dxa" w:w="60"/>
              <w:left w:type="dxa" w:w="100"/>
              <w:bottom w:type="dxa" w:w="60"/>
              <w:right w:type="dxa" w:w="100"/>
            </w:tcMar>
          </w:tcPr>
          <w:p>
            <w:r>
              <w:rPr>
                <w:b/>
                <w:bCs/>
              </w:rPr>
              <w:t xml:space="preserve">Non-liquid use assets</w:t>
            </w:r>
          </w:p>
        </w:tc>
        <w:tc>
          <w:tcPr>
            <w:tcW w:type="dxa" w:w="3120"/>
            <w:tcMar>
              <w:top w:type="dxa" w:w="60"/>
              <w:left w:type="dxa" w:w="100"/>
              <w:bottom w:type="dxa" w:w="60"/>
              <w:right w:type="dxa" w:w="100"/>
            </w:tcMar>
          </w:tcPr>
          <w:p>
            <w:r>
              <w:t xml:space="preserve">Home, cars, home furnishings (would require a sale, and time, to convert to cash)</w:t>
            </w:r>
          </w:p>
        </w:tc>
        <w:tc>
          <w:tcPr>
            <w:tcW w:type="dxa" w:w="3120"/>
            <w:tcMar>
              <w:top w:type="dxa" w:w="60"/>
              <w:left w:type="dxa" w:w="100"/>
              <w:bottom w:type="dxa" w:w="60"/>
              <w:right w:type="dxa" w:w="100"/>
            </w:tcMar>
          </w:tcPr>
          <w:p>
            <w:r>
              <w:t xml:space="preserve">$94,430.73</w:t>
            </w:r>
          </w:p>
        </w:tc>
      </w:tr>
    </w:tbl>
    <w:p>
      <w:pPr>
        <w:spacing w:after="120"/>
      </w:pPr>
    </w:p>
    <w:p>
      <w:pPr>
        <w:spacing w:after="120"/>
      </w:pPr>
      <w:r>
        <w:t xml:space="preserve">This grouping is a stated convention for this case, not a claim about what the Escovedos would necessarily choose to do — a real family might tap a 401(k) early despite the penalty, or might not. Your D4 assets map should state which group(s) you draw on and in what order, and why.</w:t>
      </w:r>
    </w:p>
    <w:p>
      <w:pPr>
        <w:pStyle w:val="Heading2"/>
        <w:spacing w:after="140" w:before="280"/>
      </w:pPr>
      <w:r>
        <w:t xml:space="preserve">Sources</w:t>
      </w:r>
    </w:p>
    <w:p>
      <w:pPr>
        <w:spacing w:after="120"/>
      </w:pPr>
      <w:r>
        <w:t xml:space="preserve">Real, cited data this case draws on, beyond the legacy-preserved bill and worksheet figures (see Appendix A/B, reproduced verbatim from the original 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DDDDDD" w:val="clear"/>
            <w:tcMar>
              <w:top w:type="dxa" w:w="60"/>
              <w:left w:type="dxa" w:w="100"/>
              <w:bottom w:type="dxa" w:w="60"/>
              <w:right w:type="dxa" w:w="100"/>
            </w:tcMar>
          </w:tcPr>
          <w:p>
            <w:r>
              <w:t xml:space="preserve">ID</w:t>
            </w:r>
          </w:p>
        </w:tc>
        <w:tc>
          <w:tcPr>
            <w:tcW w:type="dxa" w:w="1560"/>
            <w:shd w:fill="DDDDDD" w:val="clear"/>
            <w:tcMar>
              <w:top w:type="dxa" w:w="60"/>
              <w:left w:type="dxa" w:w="100"/>
              <w:bottom w:type="dxa" w:w="60"/>
              <w:right w:type="dxa" w:w="100"/>
            </w:tcMar>
          </w:tcPr>
          <w:p>
            <w:r>
              <w:t xml:space="preserve">Claim</w:t>
            </w:r>
          </w:p>
        </w:tc>
        <w:tc>
          <w:tcPr>
            <w:tcW w:type="dxa" w:w="1560"/>
            <w:shd w:fill="DDDDDD" w:val="clear"/>
            <w:tcMar>
              <w:top w:type="dxa" w:w="60"/>
              <w:left w:type="dxa" w:w="100"/>
              <w:bottom w:type="dxa" w:w="60"/>
              <w:right w:type="dxa" w:w="100"/>
            </w:tcMar>
          </w:tcPr>
          <w:p>
            <w:r>
              <w:t xml:space="preserve">Value</w:t>
            </w:r>
          </w:p>
        </w:tc>
        <w:tc>
          <w:tcPr>
            <w:tcW w:type="dxa" w:w="1560"/>
            <w:shd w:fill="DDDDDD" w:val="clear"/>
            <w:tcMar>
              <w:top w:type="dxa" w:w="60"/>
              <w:left w:type="dxa" w:w="100"/>
              <w:bottom w:type="dxa" w:w="60"/>
              <w:right w:type="dxa" w:w="100"/>
            </w:tcMar>
          </w:tcPr>
          <w:p>
            <w:r>
              <w:t xml:space="preserve">Source</w:t>
            </w:r>
          </w:p>
        </w:tc>
        <w:tc>
          <w:tcPr>
            <w:tcW w:type="dxa" w:w="1560"/>
            <w:shd w:fill="DDDDDD" w:val="clear"/>
            <w:tcMar>
              <w:top w:type="dxa" w:w="60"/>
              <w:left w:type="dxa" w:w="100"/>
              <w:bottom w:type="dxa" w:w="60"/>
              <w:right w:type="dxa" w:w="100"/>
            </w:tcMar>
          </w:tcPr>
          <w:p>
            <w:r>
              <w:t xml:space="preserve">Confidence</w:t>
            </w:r>
          </w:p>
        </w:tc>
        <w:tc>
          <w:tcPr>
            <w:tcW w:type="dxa" w:w="1560"/>
            <w:shd w:fill="DDDDDD" w:val="clear"/>
            <w:tcMar>
              <w:top w:type="dxa" w:w="60"/>
              <w:left w:type="dxa" w:w="100"/>
              <w:bottom w:type="dxa" w:w="60"/>
              <w:right w:type="dxa" w:w="100"/>
            </w:tcMar>
          </w:tcPr>
          <w:p>
            <w:r>
              <w:t xml:space="preserve">Accessed</w:t>
            </w:r>
          </w:p>
        </w:tc>
      </w:tr>
      <w:tr>
        <w:tc>
          <w:tcPr>
            <w:tcW w:type="dxa" w:w="1560"/>
            <w:tcMar>
              <w:top w:type="dxa" w:w="60"/>
              <w:left w:type="dxa" w:w="100"/>
              <w:bottom w:type="dxa" w:w="60"/>
              <w:right w:type="dxa" w:w="100"/>
            </w:tcMar>
          </w:tcPr>
          <w:p>
            <w:r>
              <w:t xml:space="preserve">S1</w:t>
            </w:r>
          </w:p>
        </w:tc>
        <w:tc>
          <w:tcPr>
            <w:tcW w:type="dxa" w:w="1560"/>
            <w:tcMar>
              <w:top w:type="dxa" w:w="60"/>
              <w:left w:type="dxa" w:w="100"/>
              <w:bottom w:type="dxa" w:w="60"/>
              <w:right w:type="dxa" w:w="100"/>
            </w:tcMar>
          </w:tcPr>
          <w:p>
            <w:r>
              <w:t xml:space="preserve">2026 HHS Poverty Guidelines for the 48 contiguous states and D.C.</w:t>
            </w:r>
          </w:p>
        </w:tc>
        <w:tc>
          <w:tcPr>
            <w:tcW w:type="dxa" w:w="1560"/>
            <w:tcMar>
              <w:top w:type="dxa" w:w="60"/>
              <w:left w:type="dxa" w:w="100"/>
              <w:bottom w:type="dxa" w:w="60"/>
              <w:right w:type="dxa" w:w="100"/>
            </w:tcMar>
          </w:tcPr>
          <w:p>
            <w:r>
              <w:t xml:space="preserve">$15,960 (family of 1) through $55,720 (family of 8); +$5,680 per additional person beyond 8</w:t>
            </w:r>
          </w:p>
        </w:tc>
        <w:tc>
          <w:tcPr>
            <w:tcW w:type="dxa" w:w="1560"/>
            <w:tcMar>
              <w:top w:type="dxa" w:w="60"/>
              <w:left w:type="dxa" w:w="100"/>
              <w:bottom w:type="dxa" w:w="60"/>
              <w:right w:type="dxa" w:w="100"/>
            </w:tcMar>
          </w:tcPr>
          <w:p>
            <w:hyperlink w:history="1" r:id="rIdmx_ui8--bmz8svdbchnqw">
              <w:r>
                <w:rPr>
                  <w:rStyle w:val="Hyperlink"/>
                </w:rPr>
                <w:t xml:space="preserve">U.S. Department of Health and Human Services, ASPE -- 2026 Poverty Guidelines</w:t>
              </w:r>
            </w:hyperlink>
          </w:p>
        </w:tc>
        <w:tc>
          <w:tcPr>
            <w:tcW w:type="dxa" w:w="1560"/>
            <w:tcMar>
              <w:top w:type="dxa" w:w="60"/>
              <w:left w:type="dxa" w:w="100"/>
              <w:bottom w:type="dxa" w:w="60"/>
              <w:right w:type="dxa" w:w="100"/>
            </w:tcMar>
          </w:tcPr>
          <w:p>
            <w:r>
              <w:t xml:space="preserve">HIGH</w:t>
            </w:r>
          </w:p>
        </w:tc>
        <w:tc>
          <w:tcPr>
            <w:tcW w:type="dxa" w:w="1560"/>
            <w:tcMar>
              <w:top w:type="dxa" w:w="60"/>
              <w:left w:type="dxa" w:w="100"/>
              <w:bottom w:type="dxa" w:w="60"/>
              <w:right w:type="dxa" w:w="100"/>
            </w:tcMar>
          </w:tcPr>
          <w:p>
            <w:r>
              <w:t xml:space="preserve">2026-08-13</w:t>
            </w:r>
          </w:p>
        </w:tc>
      </w:tr>
    </w:tbl>
    <w:p>
      <w:pPr>
        <w:spacing w:after="120"/>
      </w:pPr>
    </w:p>
    <w:p>
      <w:pPr>
        <w:pStyle w:val="Heading2"/>
        <w:spacing w:after="140" w:before="280"/>
      </w:pPr>
      <w:r>
        <w:t xml:space="preserve">Appendix G — "How To…" Math Questions To Research</w:t>
      </w:r>
    </w:p>
    <w:p>
      <w:pPr>
        <w:spacing w:after="120"/>
      </w:pPr>
      <w:r>
        <w:rPr>
          <w:b/>
          <w:bCs/>
        </w:rPr>
        <w:t xml:space="preserve">Vocabulary</w:t>
      </w:r>
    </w:p>
    <w:p>
      <w:pPr>
        <w:pStyle w:val="ListParagraph"/>
        <w:numPr>
          <w:ilvl w:val="0"/>
          <w:numId w:val="2"/>
        </w:numPr>
        <w:spacing w:after="60"/>
      </w:pPr>
      <w:r>
        <w:t xml:space="preserve">Percent</w:t>
      </w:r>
    </w:p>
    <w:p>
      <w:pPr>
        <w:pStyle w:val="ListParagraph"/>
        <w:numPr>
          <w:ilvl w:val="0"/>
          <w:numId w:val="2"/>
        </w:numPr>
        <w:spacing w:after="60"/>
      </w:pPr>
      <w:r>
        <w:t xml:space="preserve">Currency</w:t>
      </w:r>
    </w:p>
    <w:p>
      <w:pPr>
        <w:pStyle w:val="ListParagraph"/>
        <w:numPr>
          <w:ilvl w:val="0"/>
          <w:numId w:val="2"/>
        </w:numPr>
        <w:spacing w:after="60"/>
      </w:pPr>
      <w:r>
        <w:t xml:space="preserve">Data</w:t>
      </w:r>
    </w:p>
    <w:p>
      <w:pPr>
        <w:pStyle w:val="ListParagraph"/>
        <w:numPr>
          <w:ilvl w:val="0"/>
          <w:numId w:val="2"/>
        </w:numPr>
        <w:spacing w:after="60"/>
      </w:pPr>
      <w:r>
        <w:t xml:space="preserve">Pie Chart</w:t>
      </w:r>
    </w:p>
    <w:p>
      <w:pPr>
        <w:spacing w:after="120"/>
      </w:pPr>
      <w:r>
        <w:rPr>
          <w:b/>
          <w:bCs/>
        </w:rPr>
        <w:t xml:space="preserve">How to…</w:t>
      </w:r>
    </w:p>
    <w:p>
      <w:pPr>
        <w:pStyle w:val="ListParagraph"/>
        <w:numPr>
          <w:ilvl w:val="0"/>
          <w:numId w:val="2"/>
        </w:numPr>
        <w:spacing w:after="60"/>
      </w:pPr>
      <w:r>
        <w:t xml:space="preserve">How to add decimal numbers</w:t>
      </w:r>
    </w:p>
    <w:p>
      <w:pPr>
        <w:pStyle w:val="ListParagraph"/>
        <w:numPr>
          <w:ilvl w:val="0"/>
          <w:numId w:val="2"/>
        </w:numPr>
        <w:spacing w:after="60"/>
      </w:pPr>
      <w:r>
        <w:t xml:space="preserve">How to subtract decimal numbers</w:t>
      </w:r>
    </w:p>
    <w:p>
      <w:pPr>
        <w:pStyle w:val="ListParagraph"/>
        <w:numPr>
          <w:ilvl w:val="0"/>
          <w:numId w:val="2"/>
        </w:numPr>
        <w:spacing w:after="60"/>
      </w:pPr>
      <w:r>
        <w:t xml:space="preserve">How to multiply decimal numbers</w:t>
      </w:r>
    </w:p>
    <w:p>
      <w:pPr>
        <w:pStyle w:val="ListParagraph"/>
        <w:numPr>
          <w:ilvl w:val="0"/>
          <w:numId w:val="2"/>
        </w:numPr>
        <w:spacing w:after="60"/>
      </w:pPr>
      <w:r>
        <w:t xml:space="preserve">How to find the percent of a number</w:t>
      </w:r>
    </w:p>
    <w:p>
      <w:pPr>
        <w:pStyle w:val="ListParagraph"/>
        <w:numPr>
          <w:ilvl w:val="0"/>
          <w:numId w:val="2"/>
        </w:numPr>
        <w:spacing w:after="60"/>
      </w:pPr>
      <w:r>
        <w:t xml:space="preserve">How to compare two or more values</w:t>
      </w:r>
    </w:p>
    <w:p>
      <w:pPr>
        <w:pStyle w:val="ListParagraph"/>
        <w:numPr>
          <w:ilvl w:val="0"/>
          <w:numId w:val="2"/>
        </w:numPr>
        <w:spacing w:after="60"/>
      </w:pPr>
      <w:r>
        <w:t xml:space="preserve">How to round a number to a specified place value</w:t>
      </w:r>
    </w:p>
    <w:p>
      <w:pPr>
        <w:pStyle w:val="ListParagraph"/>
        <w:numPr>
          <w:ilvl w:val="0"/>
          <w:numId w:val="2"/>
        </w:numPr>
        <w:spacing w:after="60"/>
      </w:pPr>
      <w:r>
        <w:t xml:space="preserve">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_ui8--bmz8svdbchnqw" Type="http://schemas.openxmlformats.org/officeDocument/2006/relationships/hyperlink" Target="https://aspe.hhs.gov/topics/poverty-economic-mobility/poverty-guideline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2026-08-18T17:03:30.690Z</dcterms:created>
  <dcterms:modified xsi:type="dcterms:W3CDTF">2026-08-18T17:03:30.694Z</dcterms:modified>
</cp:coreProperties>
</file>

<file path=docProps/custom.xml><?xml version="1.0" encoding="utf-8"?>
<Properties xmlns="http://schemas.openxmlformats.org/officeDocument/2006/custom-properties" xmlns:vt="http://schemas.openxmlformats.org/officeDocument/2006/docPropsVTypes"/>
</file>