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3a5c"/>
          <w:sz w:val="40"/>
          <w:szCs w:val="40"/>
        </w:rPr>
        <w:t xml:space="preserve">Case Study: Redrawing Lines</w:t>
      </w:r>
    </w:p>
    <w:p>
      <w:pPr>
        <w:spacing w:after="300"/>
      </w:pPr>
      <w:r>
        <w:rPr>
          <w:color w:val="5b6472"/>
          <w:sz w:val="20"/>
          <w:szCs w:val="20"/>
        </w:rPr>
        <w:t xml:space="preserve">MS | Math | Case Study | 2026 | Adventure</w:t>
      </w:r>
    </w:p>
    <w:p>
      <w:pPr>
        <w:pStyle w:val="Heading1"/>
        <w:spacing w:after="140" w:before="280"/>
      </w:pPr>
      <w:r>
        <w:rPr>
          <w:b/>
          <w:bCs/>
          <w:color w:val="1a3a5c"/>
          <w:sz w:val="30"/>
          <w:szCs w:val="30"/>
        </w:rPr>
        <w:t xml:space="preserve">Overview</w:t>
      </w:r>
    </w:p>
    <w:p>
      <w:pPr>
        <w:spacing w:after="160"/>
      </w:pPr>
      <w:r>
        <w:t xml:space="preserve">Margo Thibodeau has the whole state up on the wall of the commission’s basement workroom in Augusta, and she has been staring at one county in the middle of it since before the coffee went cold. Outside, a maintenance crew is running a leaf blower down the State House walk, and the sound comes through the window in waves. The commission votes Monday.</w:t>
      </w:r>
    </w:p>
    <w:p>
      <w:pPr>
        <w:spacing w:after="160"/>
      </w:pPr>
      <w:r>
        <w:t xml:space="preserve">Two plans are printed and taped up side by side, and from across the room they look almost identical — the same long shape running north, the same crowded south. The difference is a single line, and where it falls. On one sheet that line runs the whole way along county borders, and every county in Maine stays in one piece. On the other it turns inward and cuts through the middle of Kennebec County — the capital’s own county — dividing towns that share a school district, a hospital, a newspaper.</w:t>
      </w:r>
    </w:p>
    <w:p>
      <w:pPr>
        <w:spacing w:after="160"/>
      </w:pPr>
      <w:r>
        <w:t xml:space="preserve">Margo has the arithmetic for both. That is not the problem. The problem is that the arithmetic does not settle it: one plan is fairer counted in people, the other counted in communities, and the gap between them is small enough that either number could be called noise by somebody who wanted it to be.</w:t>
      </w:r>
    </w:p>
    <w:p>
      <w:pPr>
        <w:spacing w:after="160"/>
      </w:pPr>
      <w:r>
        <w:t xml:space="preserve">Her supervisor leans in the doorway with a legal pad and asks which one is going in the report. Margo picks up a marker and looks at the two sheets.</w:t>
      </w:r>
    </w:p>
    <w:p>
      <w:pPr>
        <w:pStyle w:val="Heading1"/>
        <w:spacing w:after="140" w:before="280"/>
      </w:pPr>
      <w:r>
        <w:rPr>
          <w:b/>
          <w:bCs/>
          <w:color w:val="1a3a5c"/>
          <w:sz w:val="30"/>
          <w:szCs w:val="30"/>
        </w:rPr>
        <w:t xml:space="preserve">Background</w:t>
      </w:r>
    </w:p>
    <w:p>
      <w:pPr>
        <w:spacing w:after="160"/>
      </w:pPr>
      <w:r>
        <w:t xml:space="preserve">Margo Thibodeau is a senior staff analyst to Maine’s apportionment commission, the body that delivers a redistricting report and plan to the Legislature after each decennial census (see Appendix H, MA4). Staff do not vote. Staff write the report, and the report carries one recommended plan and the arithmetic that defends it. The plan Margo recommends is the plan the commission will argue about, and her name is on the memo.</w:t>
      </w:r>
    </w:p>
    <w:p>
      <w:pPr>
        <w:spacing w:after="160"/>
      </w:pPr>
      <w:r>
        <w:t xml:space="preserve">Two hard constraints bind every plan, and neither is negotiable. </w:t>
      </w:r>
      <w:r>
        <w:rPr>
          <w:b/>
          <w:bCs/>
        </w:rPr>
        <w:t xml:space="preserve">Contiguity</w:t>
      </w:r>
      <w:r>
        <w:t xml:space="preserve"> — each district must be one connected piece; a county cannot be assigned to a district it cannot reach through other counties of that same district. </w:t>
      </w:r>
      <w:r>
        <w:rPr>
          <w:b/>
          <w:bCs/>
        </w:rPr>
        <w:t xml:space="preserve">Population equality</w:t>
      </w:r>
      <w:r>
        <w:t xml:space="preserve"> — for congressional districts the federal standard is equality “as nearly as practicable,” and any surviving difference has to be justified in the record (see Appendix E). Maine was apportioned </w:t>
      </w:r>
      <w:r>
        <w:rPr>
          <w:b/>
          <w:bCs/>
        </w:rPr>
        <w:t xml:space="preserve">2</w:t>
      </w:r>
      <w:r>
        <w:t xml:space="preserve"> seats in the U.S. House on an apportionment population of </w:t>
      </w:r>
      <w:r>
        <w:rPr>
          <w:b/>
          <w:bCs/>
        </w:rPr>
        <w:t xml:space="preserve">1,363,582</w:t>
      </w:r>
      <w:r>
        <w:t xml:space="preserve"> [S1]; the population that district lines are actually drawn against is the resident count of </w:t>
      </w:r>
      <w:r>
        <w:rPr>
          <w:b/>
          <w:bCs/>
        </w:rPr>
        <w:t xml:space="preserve">1,362,359</w:t>
      </w:r>
      <w:r>
        <w:t xml:space="preserve"> [S2], which makes an ideal district of </w:t>
      </w:r>
      <w:r>
        <w:rPr>
          <w:b/>
          <w:bCs/>
        </w:rPr>
        <w:t xml:space="preserve">681,179.5</w:t>
      </w:r>
      <w:r>
        <w:t xml:space="preserve"> people [S6] (see Appendix A).</w:t>
      </w:r>
    </w:p>
    <w:p>
      <w:pPr>
        <w:spacing w:after="160"/>
      </w:pPr>
      <w:r>
        <w:t xml:space="preserve">Five counties — Cumberland, Knox, Lincoln, Sagadahoc and York — sit wholly inside the southern district today and stay together in both plans on the table. Together they hold </w:t>
      </w:r>
      <w:r>
        <w:rPr>
          <w:b/>
          <w:bCs/>
        </w:rPr>
        <w:t xml:space="preserve">627,584</w:t>
      </w:r>
      <w:r>
        <w:t xml:space="preserve"> people [S2], which leaves them </w:t>
      </w:r>
      <w:r>
        <w:rPr>
          <w:b/>
          <w:bCs/>
        </w:rPr>
        <w:t xml:space="preserve">53,595.5</w:t>
      </w:r>
      <w:r>
        <w:t xml:space="preserve"> short of a full district (see Appendices A and D, Appendix H MA3). Every plan has to make up that shortfall from somewhere, and there are only two kinds of somewhere.</w:t>
      </w:r>
    </w:p>
    <w:p>
      <w:pPr>
        <w:spacing w:after="160"/>
      </w:pPr>
      <w:r>
        <w:rPr>
          <w:b/>
          <w:bCs/>
        </w:rPr>
        <w:t xml:space="preserve">The Kennebec Split</w:t>
      </w:r>
      <w:r>
        <w:t xml:space="preserve"> — the southern district takes the twelve Kennebec County municipalities the enacted statute names and leaves Kennebec’s other eighteen in the northern district [S5]. Population comes out as close to exactly even as Maine’s arithmetic permits, and Kennebec County is divided between two members of Congress (see Appendix C).</w:t>
      </w:r>
    </w:p>
    <w:p>
      <w:pPr>
        <w:spacing w:after="160"/>
      </w:pPr>
      <w:r>
        <w:rPr>
          <w:b/>
          <w:bCs/>
        </w:rPr>
        <w:t xml:space="preserve">The Hancock Line</w:t>
      </w:r>
      <w:r>
        <w:t xml:space="preserve"> — the southern district takes all of Hancock County instead. No county in Maine is divided, and the district line runs along county borders for its entire length. The two districts do not come out even; one runs over the ideal and one runs under (see Appendices C and D).</w:t>
      </w:r>
    </w:p>
    <w:p>
      <w:pPr>
        <w:spacing w:after="160"/>
      </w:pPr>
      <w:r>
        <w:t xml:space="preserve">Margo scores plans on </w:t>
      </w:r>
      <w:r>
        <w:rPr>
          <w:b/>
          <w:bCs/>
        </w:rPr>
        <w:t xml:space="preserve">county-line crossings</w:t>
      </w:r>
      <w:r>
        <w:t xml:space="preserve">: the number of Maine county borders the district line runs along, plus a stated weight for each county the line runs </w:t>
      </w:r>
      <w:r>
        <w:rPr>
          <w:i/>
          <w:iCs/>
        </w:rPr>
        <w:t xml:space="preserve">through</w:t>
      </w:r>
      <w:r>
        <w:t xml:space="preserve"> (see Appendix B for the border list, Appendix H MA1, MA2 and MA5 for the weight and the two counting conventions). Staff practice — not statute — keeps those five southern counties together in every shortlisted plan, to hold down the number of Mainers who change representatives, and picks the survivor on population rather than on crossings (see Appendix H, MA3). The commission’s screening tool claims to have examined every whole-county plan there is; Appendix F is the count that claim rests on, and it is only as good as the proof behind it.</w:t>
      </w:r>
    </w:p>
    <w:p>
      <w:pPr>
        <w:spacing w:after="160"/>
      </w:pPr>
      <w:r>
        <w:t xml:space="preserve">Every figure in this case is sourced in Appendix G or stated as an explicit assumption in Appendix H. The vocabulary and the “how to…” skills this case asks of you are listed in Appendix I — that is where Challenge 1 sends you.</w:t>
      </w:r>
    </w:p>
    <w:p>
      <w:pPr>
        <w:spacing w:after="160"/>
      </w:pPr>
      <w:r>
        <w:t xml:space="preserve">This case uses population and geography only. It uses no election results and no party registration data, and neither plan is a partisan position.</w:t>
      </w:r>
    </w:p>
    <w:p>
      <w:pPr>
        <w:pStyle w:val="Heading1"/>
        <w:spacing w:after="140" w:before="280"/>
      </w:pPr>
      <w:r>
        <w:rPr>
          <w:b/>
          <w:bCs/>
          <w:color w:val="1a3a5c"/>
          <w:sz w:val="30"/>
          <w:szCs w:val="30"/>
        </w:rPr>
        <w:t xml:space="preserve">Dilemma</w:t>
      </w:r>
    </w:p>
    <w:p>
      <w:pPr>
        <w:spacing w:after="160"/>
      </w:pPr>
      <w:r>
        <w:t xml:space="preserve">You are Margo Thibodeau.</w:t>
      </w:r>
    </w:p>
    <w:p>
      <w:pPr>
        <w:spacing w:after="160"/>
      </w:pPr>
      <w:r>
        <w:t xml:space="preserve">Do you:</w:t>
      </w:r>
    </w:p>
    <w:p>
      <w:pPr>
        <w:spacing w:after="160"/>
      </w:pPr>
      <w:r>
        <w:rPr>
          <w:b/>
          <w:bCs/>
        </w:rPr>
        <w:t xml:space="preserve">A.) </w:t>
      </w:r>
      <w:r>
        <w:t xml:space="preserve">Recommend The Kennebec Split — near-exact population equality, bought by dividing one county between two members of Congress OR</w:t>
      </w:r>
    </w:p>
    <w:p>
      <w:pPr>
        <w:spacing w:after="160"/>
      </w:pPr>
      <w:r>
        <w:rPr>
          <w:b/>
          <w:bCs/>
        </w:rPr>
        <w:t xml:space="preserve">B.) </w:t>
      </w:r>
      <w:r>
        <w:t xml:space="preserve">Recommend The Hancock Line — every county in Maine kept whole, bought by leaving the two districts unequal</w:t>
      </w:r>
    </w:p>
    <w:p>
      <w:pPr>
        <w:pStyle w:val="Heading1"/>
        <w:spacing w:after="140" w:before="280"/>
      </w:pPr>
      <w:r>
        <w:rPr>
          <w:b/>
          <w:bCs/>
          <w:color w:val="1a3a5c"/>
          <w:sz w:val="30"/>
          <w:szCs w:val="30"/>
        </w:rPr>
        <w:t xml:space="preserve">Challenges</w:t>
      </w:r>
    </w:p>
    <w:p>
      <w:pPr>
        <w:spacing w:after="160"/>
      </w:pPr>
      <w:r>
        <w:rPr>
          <w:b/>
          <w:bCs/>
        </w:rPr>
        <w:t xml:space="preserve">1.) </w:t>
      </w:r>
      <w:r>
        <w:t xml:space="preserve">Research and find an online resource that answers one of the “how to…” questions from the case study launch. Post a link to the resource as your submission.</w:t>
      </w:r>
    </w:p>
    <w:p>
      <w:pPr>
        <w:spacing w:after="160"/>
      </w:pPr>
      <w:r>
        <w:rPr>
          <w:b/>
          <w:bCs/>
        </w:rPr>
        <w:t xml:space="preserve">2.) </w:t>
      </w:r>
      <w:r>
        <w:t xml:space="preserve">Post 250 or more “excellent” words pitching a firm stance to your audience on which you would choose and why. Your pitch must include:</w:t>
      </w:r>
    </w:p>
    <w:p>
      <w:pPr>
        <w:spacing w:after="100"/>
      </w:pPr>
      <w:r>
        <w:t xml:space="preserve">a.) Use of the “how to…” resource you researched in Challenge 1.</w:t>
      </w:r>
    </w:p>
    <w:p>
      <w:pPr>
        <w:spacing w:after="160"/>
      </w:pPr>
      <w:r>
        <w:t xml:space="preserve">b.) At least one original visual display of the data.</w:t>
      </w:r>
    </w:p>
    <w:p>
      <w:pPr>
        <w:spacing w:after="160"/>
      </w:pPr>
      <w:r>
        <w:rPr>
          <w:b/>
          <w:bCs/>
        </w:rPr>
        <w:t xml:space="preserve">3.) </w:t>
      </w:r>
      <w:r>
        <w:t xml:space="preserve">Your pitch must include:</w:t>
      </w:r>
    </w:p>
    <w:p>
      <w:pPr>
        <w:spacing w:after="140"/>
      </w:pPr>
      <w:r>
        <w:rPr>
          <w:b/>
          <w:bCs/>
        </w:rPr>
        <w:t xml:space="preserve">D1. </w:t>
      </w:r>
      <w:r>
        <w:t xml:space="preserve">A map-space count: using the Fundamental Counting Principle, the total number of ways Maine’s counties could be assigned to two districts if nothing but the assignment itself mattered — followed by a size-breakdown table giving the number of assignments that put exactly j counties in the southern district, for every j, as a binomial coefficient. Compute at least four of those coefficients by hand, showing the factorial arithmetic, and show that your whole row adds up to the Fundamental Counting Principle total you started with.</w:t>
      </w:r>
    </w:p>
    <w:p>
      <w:pPr>
        <w:spacing w:after="140"/>
      </w:pPr>
      <w:r>
        <w:rPr>
          <w:b/>
          <w:bCs/>
        </w:rPr>
        <w:t xml:space="preserve">D2. </w:t>
      </w:r>
      <w:r>
        <w:t xml:space="preserve">A recursion sheet with three parts: (a) a recursive formula for the number of assignments when the state has k counties instead of Maine’s actual number, with its base case stated separately; (b) a recursive formula for the entries of the size-breakdown row in D1, written so that each entry is built from two entries of the previous row, with its base cases stated separately; and (c) the conversion of the formula in (a) into an explicit closed formula, checked against your D1 total.</w:t>
      </w:r>
    </w:p>
    <w:p>
      <w:pPr>
        <w:spacing w:after="140"/>
      </w:pPr>
      <w:r>
        <w:rPr>
          <w:b/>
          <w:bCs/>
        </w:rPr>
        <w:t xml:space="preserve">D3. </w:t>
      </w:r>
      <w:r>
        <w:t xml:space="preserve">An exhaustiveness certificate: a proof by mathematical induction that the size-breakdown row of D1 adds up to the D2(c) total for every k, not just for Maine’s number of counties. Write the base case and the inductive step as separately labeled parts, and name the exact line of the inductive step where the D2(b) recursion is used. This is the document that lets the commission write “we examined every whole-county plan” in the record.</w:t>
      </w:r>
    </w:p>
    <w:p>
      <w:pPr>
        <w:spacing w:after="140"/>
      </w:pPr>
      <w:r>
        <w:rPr>
          <w:b/>
          <w:bCs/>
        </w:rPr>
        <w:t xml:space="preserve">D4. </w:t>
      </w:r>
      <w:r>
        <w:t xml:space="preserve">A pigeonhole brief: three claims proved by the Pigeonhole Principle, with no plan enumerated and no map drawn — (i) that at least one of Maine’s two districts must hold at least as many people as the ideal, and that exact equality between the two districts is therefore impossible for Maine no matter which plan is chosen; (ii) that under any whole-county plan at least one district must contain at least half of Maine’s counties, rounded up; and (iii) that at least one district must contain at least two of Maine’s four largest counties, with the population consequence of that fact stated in people as the guaranteed minimum: Pigeonhole proves that some two of the four largest counties share a district, but it does not tell you which two, so the only population figure the principle actually guarantees is the smallest possible sum over any two of those four counties — not the largest, and not whichever pair looks most dramatic on the page. State that minimum pairing’s sum and show the arithmetic that makes it the floor, not just a pairing.</w:t>
      </w:r>
    </w:p>
    <w:p>
      <w:pPr>
        <w:spacing w:after="140"/>
      </w:pPr>
      <w:r>
        <w:rPr>
          <w:b/>
          <w:bCs/>
        </w:rPr>
        <w:t xml:space="preserve">D5. </w:t>
      </w:r>
      <w:r>
        <w:t xml:space="preserve">A scorecard for The Kennebec Split against The Hancock Line: county-line crossings for each plan with the crossed borders listed by name; each plan’s larger district, smaller district, and two deviation figures — the largest single district’s distance from the ideal, and the maximum deviation, meaning larger district minus smaller district — each in people and converted to a percent of the ideal; the number of Mainers living in a divided county under each plan; and your recommendation set against the court standard in Appendix E. Appendix E says which of your two figures its percentages are; say in one sentence why the other one is not comparable to them.</w:t>
      </w:r>
    </w:p>
    <w:p>
      <w:pPr>
        <w:spacing w:after="160"/>
      </w:pPr>
      <w:r>
        <w:rPr>
          <w:b/>
          <w:bCs/>
        </w:rPr>
        <w:t xml:space="preserve">4.) </w:t>
      </w:r>
      <w:r>
        <w:t xml:space="preserve">An appendix showing evidence of your original thinking, work, calculations and processes you used to complete the challenges (pictures, screenshots, notes, etc.). Your work in the appendix does not count toward your word count.</w:t>
      </w:r>
    </w:p>
    <w:p>
      <w:pPr>
        <w:spacing w:after="160"/>
      </w:pPr>
      <w:r>
        <w:rPr>
          <w:b/>
          <w:bCs/>
        </w:rPr>
        <w:t xml:space="preserve">5.) </w:t>
      </w:r>
      <w:r>
        <w:t xml:space="preserve">Participate twice or more in the Case Study discussion. If you are absent the day of a discussion post 500 “excellent” words on the questions above.</w:t>
      </w:r>
      <w:r>
        <w:rPr>
          <w:i/>
          <w:iCs/>
        </w:rPr>
        <w:t xml:space="preserve"/>
      </w:r>
    </w:p>
    <w:p>
      <w:pPr>
        <w:pStyle w:val="Heading1"/>
        <w:spacing w:after="140" w:before="280"/>
      </w:pPr>
      <w:r>
        <w:rPr>
          <w:b/>
          <w:bCs/>
          <w:color w:val="1a3a5c"/>
          <w:sz w:val="30"/>
          <w:szCs w:val="30"/>
        </w:rPr>
        <w:t xml:space="preserve">Appendix A — Maine’s Counties and the 2020 Census Count</w:t>
      </w:r>
    </w:p>
    <w:p>
      <w:pPr>
        <w:spacing w:after="160"/>
      </w:pPr>
      <w:r>
        <w:t xml:space="preserve">2020 Census resident population, by county [S2]: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a3a5c" w:val="clear"/>
            <w:tcMar>
              <w:top w:type="dxa" w:w="60"/>
              <w:left w:type="dxa" w:w="100"/>
              <w:bottom w:type="dxa" w:w="60"/>
              <w:right w:type="dxa" w:w="100"/>
            </w:tcMar>
            <w:vAlign w:val="center"/>
          </w:tcPr>
          <w:p>
            <w:pPr>
              <w:jc w:val="left"/>
            </w:pPr>
            <w:r>
              <w:rPr>
                <w:b/>
                <w:bCs/>
                <w:color w:val="FFFFFF"/>
                <w:sz w:val="18"/>
                <w:szCs w:val="18"/>
              </w:rPr>
              <w:t xml:space="preserve">County</w:t>
            </w:r>
          </w:p>
        </w:tc>
        <w:tc>
          <w:tcPr>
            <w:tcW w:type="dxa" w:w="4680"/>
            <w:shd w:fill="1a3a5c" w:val="clear"/>
            <w:tcMar>
              <w:top w:type="dxa" w:w="60"/>
              <w:left w:type="dxa" w:w="100"/>
              <w:bottom w:type="dxa" w:w="60"/>
              <w:right w:type="dxa" w:w="100"/>
            </w:tcMar>
            <w:vAlign w:val="center"/>
          </w:tcPr>
          <w:p>
            <w:pPr>
              <w:jc w:val="left"/>
            </w:pPr>
            <w:r>
              <w:rPr>
                <w:b/>
                <w:bCs/>
                <w:color w:val="FFFFFF"/>
                <w:sz w:val="18"/>
                <w:szCs w:val="18"/>
              </w:rPr>
              <w:t xml:space="preserve">Population</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Cumberland</w:t>
            </w:r>
          </w:p>
        </w:tc>
        <w:tc>
          <w:tcPr>
            <w:tcW w:type="dxa" w:w="4680"/>
            <w:tcMar>
              <w:top w:type="dxa" w:w="60"/>
              <w:left w:type="dxa" w:w="100"/>
              <w:bottom w:type="dxa" w:w="60"/>
              <w:right w:type="dxa" w:w="100"/>
            </w:tcMar>
            <w:vAlign w:val="center"/>
          </w:tcPr>
          <w:p>
            <w:pPr>
              <w:jc w:val="left"/>
            </w:pPr>
            <w:r>
              <w:rPr>
                <w:sz w:val="18"/>
                <w:szCs w:val="18"/>
              </w:rPr>
              <w:t xml:space="preserve">303,069</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York</w:t>
            </w:r>
          </w:p>
        </w:tc>
        <w:tc>
          <w:tcPr>
            <w:tcW w:type="dxa" w:w="4680"/>
            <w:shd w:fill="f7f9fb" w:val="clear"/>
            <w:tcMar>
              <w:top w:type="dxa" w:w="60"/>
              <w:left w:type="dxa" w:w="100"/>
              <w:bottom w:type="dxa" w:w="60"/>
              <w:right w:type="dxa" w:w="100"/>
            </w:tcMar>
            <w:vAlign w:val="center"/>
          </w:tcPr>
          <w:p>
            <w:pPr>
              <w:jc w:val="left"/>
            </w:pPr>
            <w:r>
              <w:rPr>
                <w:sz w:val="18"/>
                <w:szCs w:val="18"/>
              </w:rPr>
              <w:t xml:space="preserve">211,972</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Penobscot</w:t>
            </w:r>
          </w:p>
        </w:tc>
        <w:tc>
          <w:tcPr>
            <w:tcW w:type="dxa" w:w="4680"/>
            <w:tcMar>
              <w:top w:type="dxa" w:w="60"/>
              <w:left w:type="dxa" w:w="100"/>
              <w:bottom w:type="dxa" w:w="60"/>
              <w:right w:type="dxa" w:w="100"/>
            </w:tcMar>
            <w:vAlign w:val="center"/>
          </w:tcPr>
          <w:p>
            <w:pPr>
              <w:jc w:val="left"/>
            </w:pPr>
            <w:r>
              <w:rPr>
                <w:sz w:val="18"/>
                <w:szCs w:val="18"/>
              </w:rPr>
              <w:t xml:space="preserve">152,199</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Kennebec</w:t>
            </w:r>
          </w:p>
        </w:tc>
        <w:tc>
          <w:tcPr>
            <w:tcW w:type="dxa" w:w="4680"/>
            <w:shd w:fill="f7f9fb" w:val="clear"/>
            <w:tcMar>
              <w:top w:type="dxa" w:w="60"/>
              <w:left w:type="dxa" w:w="100"/>
              <w:bottom w:type="dxa" w:w="60"/>
              <w:right w:type="dxa" w:w="100"/>
            </w:tcMar>
            <w:vAlign w:val="center"/>
          </w:tcPr>
          <w:p>
            <w:pPr>
              <w:jc w:val="left"/>
            </w:pPr>
            <w:r>
              <w:rPr>
                <w:sz w:val="18"/>
                <w:szCs w:val="18"/>
              </w:rPr>
              <w:t xml:space="preserve">123,642</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Androscoggin</w:t>
            </w:r>
          </w:p>
        </w:tc>
        <w:tc>
          <w:tcPr>
            <w:tcW w:type="dxa" w:w="4680"/>
            <w:tcMar>
              <w:top w:type="dxa" w:w="60"/>
              <w:left w:type="dxa" w:w="100"/>
              <w:bottom w:type="dxa" w:w="60"/>
              <w:right w:type="dxa" w:w="100"/>
            </w:tcMar>
            <w:vAlign w:val="center"/>
          </w:tcPr>
          <w:p>
            <w:pPr>
              <w:jc w:val="left"/>
            </w:pPr>
            <w:r>
              <w:rPr>
                <w:sz w:val="18"/>
                <w:szCs w:val="18"/>
              </w:rPr>
              <w:t xml:space="preserve">111,139</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Aroostook</w:t>
            </w:r>
          </w:p>
        </w:tc>
        <w:tc>
          <w:tcPr>
            <w:tcW w:type="dxa" w:w="4680"/>
            <w:shd w:fill="f7f9fb" w:val="clear"/>
            <w:tcMar>
              <w:top w:type="dxa" w:w="60"/>
              <w:left w:type="dxa" w:w="100"/>
              <w:bottom w:type="dxa" w:w="60"/>
              <w:right w:type="dxa" w:w="100"/>
            </w:tcMar>
            <w:vAlign w:val="center"/>
          </w:tcPr>
          <w:p>
            <w:pPr>
              <w:jc w:val="left"/>
            </w:pPr>
            <w:r>
              <w:rPr>
                <w:sz w:val="18"/>
                <w:szCs w:val="18"/>
              </w:rPr>
              <w:t xml:space="preserve">67,105</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Oxford</w:t>
            </w:r>
          </w:p>
        </w:tc>
        <w:tc>
          <w:tcPr>
            <w:tcW w:type="dxa" w:w="4680"/>
            <w:tcMar>
              <w:top w:type="dxa" w:w="60"/>
              <w:left w:type="dxa" w:w="100"/>
              <w:bottom w:type="dxa" w:w="60"/>
              <w:right w:type="dxa" w:w="100"/>
            </w:tcMar>
            <w:vAlign w:val="center"/>
          </w:tcPr>
          <w:p>
            <w:pPr>
              <w:jc w:val="left"/>
            </w:pPr>
            <w:r>
              <w:rPr>
                <w:sz w:val="18"/>
                <w:szCs w:val="18"/>
              </w:rPr>
              <w:t xml:space="preserve">57,777</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Hancock</w:t>
            </w:r>
          </w:p>
        </w:tc>
        <w:tc>
          <w:tcPr>
            <w:tcW w:type="dxa" w:w="4680"/>
            <w:shd w:fill="f7f9fb" w:val="clear"/>
            <w:tcMar>
              <w:top w:type="dxa" w:w="60"/>
              <w:left w:type="dxa" w:w="100"/>
              <w:bottom w:type="dxa" w:w="60"/>
              <w:right w:type="dxa" w:w="100"/>
            </w:tcMar>
            <w:vAlign w:val="center"/>
          </w:tcPr>
          <w:p>
            <w:pPr>
              <w:jc w:val="left"/>
            </w:pPr>
            <w:r>
              <w:rPr>
                <w:sz w:val="18"/>
                <w:szCs w:val="18"/>
              </w:rPr>
              <w:t xml:space="preserve">55,478</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Somerset</w:t>
            </w:r>
          </w:p>
        </w:tc>
        <w:tc>
          <w:tcPr>
            <w:tcW w:type="dxa" w:w="4680"/>
            <w:tcMar>
              <w:top w:type="dxa" w:w="60"/>
              <w:left w:type="dxa" w:w="100"/>
              <w:bottom w:type="dxa" w:w="60"/>
              <w:right w:type="dxa" w:w="100"/>
            </w:tcMar>
            <w:vAlign w:val="center"/>
          </w:tcPr>
          <w:p>
            <w:pPr>
              <w:jc w:val="left"/>
            </w:pPr>
            <w:r>
              <w:rPr>
                <w:sz w:val="18"/>
                <w:szCs w:val="18"/>
              </w:rPr>
              <w:t xml:space="preserve">50,477</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Knox</w:t>
            </w:r>
          </w:p>
        </w:tc>
        <w:tc>
          <w:tcPr>
            <w:tcW w:type="dxa" w:w="4680"/>
            <w:shd w:fill="f7f9fb" w:val="clear"/>
            <w:tcMar>
              <w:top w:type="dxa" w:w="60"/>
              <w:left w:type="dxa" w:w="100"/>
              <w:bottom w:type="dxa" w:w="60"/>
              <w:right w:type="dxa" w:w="100"/>
            </w:tcMar>
            <w:vAlign w:val="center"/>
          </w:tcPr>
          <w:p>
            <w:pPr>
              <w:jc w:val="left"/>
            </w:pPr>
            <w:r>
              <w:rPr>
                <w:sz w:val="18"/>
                <w:szCs w:val="18"/>
              </w:rPr>
              <w:t xml:space="preserve">40,607</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Waldo</w:t>
            </w:r>
          </w:p>
        </w:tc>
        <w:tc>
          <w:tcPr>
            <w:tcW w:type="dxa" w:w="4680"/>
            <w:tcMar>
              <w:top w:type="dxa" w:w="60"/>
              <w:left w:type="dxa" w:w="100"/>
              <w:bottom w:type="dxa" w:w="60"/>
              <w:right w:type="dxa" w:w="100"/>
            </w:tcMar>
            <w:vAlign w:val="center"/>
          </w:tcPr>
          <w:p>
            <w:pPr>
              <w:jc w:val="left"/>
            </w:pPr>
            <w:r>
              <w:rPr>
                <w:sz w:val="18"/>
                <w:szCs w:val="18"/>
              </w:rPr>
              <w:t xml:space="preserve">39,607</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Sagadahoc</w:t>
            </w:r>
          </w:p>
        </w:tc>
        <w:tc>
          <w:tcPr>
            <w:tcW w:type="dxa" w:w="4680"/>
            <w:shd w:fill="f7f9fb" w:val="clear"/>
            <w:tcMar>
              <w:top w:type="dxa" w:w="60"/>
              <w:left w:type="dxa" w:w="100"/>
              <w:bottom w:type="dxa" w:w="60"/>
              <w:right w:type="dxa" w:w="100"/>
            </w:tcMar>
            <w:vAlign w:val="center"/>
          </w:tcPr>
          <w:p>
            <w:pPr>
              <w:jc w:val="left"/>
            </w:pPr>
            <w:r>
              <w:rPr>
                <w:sz w:val="18"/>
                <w:szCs w:val="18"/>
              </w:rPr>
              <w:t xml:space="preserve">36,699</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Lincoln</w:t>
            </w:r>
          </w:p>
        </w:tc>
        <w:tc>
          <w:tcPr>
            <w:tcW w:type="dxa" w:w="4680"/>
            <w:tcMar>
              <w:top w:type="dxa" w:w="60"/>
              <w:left w:type="dxa" w:w="100"/>
              <w:bottom w:type="dxa" w:w="60"/>
              <w:right w:type="dxa" w:w="100"/>
            </w:tcMar>
            <w:vAlign w:val="center"/>
          </w:tcPr>
          <w:p>
            <w:pPr>
              <w:jc w:val="left"/>
            </w:pPr>
            <w:r>
              <w:rPr>
                <w:sz w:val="18"/>
                <w:szCs w:val="18"/>
              </w:rPr>
              <w:t xml:space="preserve">35,237</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Washington</w:t>
            </w:r>
          </w:p>
        </w:tc>
        <w:tc>
          <w:tcPr>
            <w:tcW w:type="dxa" w:w="4680"/>
            <w:shd w:fill="f7f9fb" w:val="clear"/>
            <w:tcMar>
              <w:top w:type="dxa" w:w="60"/>
              <w:left w:type="dxa" w:w="100"/>
              <w:bottom w:type="dxa" w:w="60"/>
              <w:right w:type="dxa" w:w="100"/>
            </w:tcMar>
            <w:vAlign w:val="center"/>
          </w:tcPr>
          <w:p>
            <w:pPr>
              <w:jc w:val="left"/>
            </w:pPr>
            <w:r>
              <w:rPr>
                <w:sz w:val="18"/>
                <w:szCs w:val="18"/>
              </w:rPr>
              <w:t xml:space="preserve">31,095</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Franklin</w:t>
            </w:r>
          </w:p>
        </w:tc>
        <w:tc>
          <w:tcPr>
            <w:tcW w:type="dxa" w:w="4680"/>
            <w:tcMar>
              <w:top w:type="dxa" w:w="60"/>
              <w:left w:type="dxa" w:w="100"/>
              <w:bottom w:type="dxa" w:w="60"/>
              <w:right w:type="dxa" w:w="100"/>
            </w:tcMar>
            <w:vAlign w:val="center"/>
          </w:tcPr>
          <w:p>
            <w:pPr>
              <w:jc w:val="left"/>
            </w:pPr>
            <w:r>
              <w:rPr>
                <w:sz w:val="18"/>
                <w:szCs w:val="18"/>
              </w:rPr>
              <w:t xml:space="preserve">29,456</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Piscataquis</w:t>
            </w:r>
          </w:p>
        </w:tc>
        <w:tc>
          <w:tcPr>
            <w:tcW w:type="dxa" w:w="4680"/>
            <w:shd w:fill="f7f9fb" w:val="clear"/>
            <w:tcMar>
              <w:top w:type="dxa" w:w="60"/>
              <w:left w:type="dxa" w:w="100"/>
              <w:bottom w:type="dxa" w:w="60"/>
              <w:right w:type="dxa" w:w="100"/>
            </w:tcMar>
            <w:vAlign w:val="center"/>
          </w:tcPr>
          <w:p>
            <w:pPr>
              <w:jc w:val="left"/>
            </w:pPr>
            <w:r>
              <w:rPr>
                <w:sz w:val="18"/>
                <w:szCs w:val="18"/>
              </w:rPr>
              <w:t xml:space="preserve">16,800</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Maine total, all 16 counties</w:t>
            </w:r>
          </w:p>
        </w:tc>
        <w:tc>
          <w:tcPr>
            <w:tcW w:type="dxa" w:w="4680"/>
            <w:tcMar>
              <w:top w:type="dxa" w:w="60"/>
              <w:left w:type="dxa" w:w="100"/>
              <w:bottom w:type="dxa" w:w="60"/>
              <w:right w:type="dxa" w:w="100"/>
            </w:tcMar>
            <w:vAlign w:val="center"/>
          </w:tcPr>
          <w:p>
            <w:pPr>
              <w:jc w:val="left"/>
            </w:pPr>
            <w:r>
              <w:rPr>
                <w:sz w:val="18"/>
                <w:szCs w:val="18"/>
              </w:rPr>
              <w:t xml:space="preserve">1,362,359</w:t>
            </w:r>
          </w:p>
        </w:tc>
      </w:tr>
    </w:tbl>
    <w:p>
      <w:pPr>
        <w:spacing w:after="200"/>
      </w:pPr>
      <w:r>
        <w:rPr>
          <w:i/>
          <w:iCs/>
        </w:rPr>
        <w:t xml:space="preserve">The sixteen rows above add to that total exactly; if your column does not, you have dropped a county, and every district total you build on it will be wrong by whatever you dropped.</w:t>
      </w:r>
    </w:p>
    <w:p>
      <w:pPr>
        <w:spacing w:after="160"/>
      </w:pPr>
      <w:r>
        <w:rPr>
          <w:b/>
          <w:bCs/>
        </w:rPr>
        <w:t xml:space="preserve">Two population figures, and they are not the same number. </w:t>
      </w:r>
      <w:r>
        <w:t xml:space="preserve">Maine’s </w:t>
      </w:r>
      <w:r>
        <w:rPr>
          <w:i/>
          <w:iCs/>
        </w:rPr>
        <w:t xml:space="preserve">apportionment</w:t>
      </w:r>
      <w:r>
        <w:t xml:space="preserve"> population — the count used to hand out the 435 House seats — is </w:t>
      </w:r>
      <w:r>
        <w:rPr>
          <w:b/>
          <w:bCs/>
        </w:rPr>
        <w:t xml:space="preserve">1,363,582</w:t>
      </w:r>
      <w:r>
        <w:t xml:space="preserve">, and it won Maine </w:t>
      </w:r>
      <w:r>
        <w:rPr>
          <w:b/>
          <w:bCs/>
        </w:rPr>
        <w:t xml:space="preserve">2</w:t>
      </w:r>
      <w:r>
        <w:t xml:space="preserve"> seats [S1]. Maine’s </w:t>
      </w:r>
      <w:r>
        <w:rPr>
          <w:i/>
          <w:iCs/>
        </w:rPr>
        <w:t xml:space="preserve">resident</w:t>
      </w:r>
      <w:r>
        <w:t xml:space="preserve"> population, the count district lines are drawn against, is </w:t>
      </w:r>
      <w:r>
        <w:rPr>
          <w:b/>
          <w:bCs/>
        </w:rPr>
        <w:t xml:space="preserve">1,362,359</w:t>
      </w:r>
      <w:r>
        <w:t xml:space="preserve"> [S2]. The difference is U.S. military and federal civilian employees living overseas, and their dependents living with them, allocated back to their home state: the Census Bureau’s own footnote says those counts “are used for apportionment purposes only” [S1], so they belong to no county and cannot be drawn into a district. Ideal district population: </w:t>
      </w:r>
      <w:r>
        <w:rPr>
          <w:b/>
          <w:bCs/>
        </w:rPr>
        <w:t xml:space="preserve">681,179.5</w:t>
      </w:r>
      <w:r>
        <w:t xml:space="preserve"> [S6].</w:t>
      </w:r>
    </w:p>
    <w:p>
      <w:pPr>
        <w:pStyle w:val="Heading1"/>
        <w:spacing w:after="140" w:before="280"/>
      </w:pPr>
      <w:r>
        <w:rPr>
          <w:b/>
          <w:bCs/>
          <w:color w:val="1a3a5c"/>
          <w:sz w:val="30"/>
          <w:szCs w:val="30"/>
        </w:rPr>
        <w:t xml:space="preserve">Appendix B — The County Adjacency Table</w:t>
      </w:r>
    </w:p>
    <w:p>
      <w:pPr>
        <w:spacing w:after="160"/>
      </w:pPr>
      <w:r>
        <w:t xml:space="preserve">Two counties share a border if the U.S. Census Bureau’s county adjacency file lists them as neighbors [S4]. The district line </w:t>
      </w:r>
      <w:r>
        <w:rPr>
          <w:b/>
          <w:bCs/>
        </w:rPr>
        <w:t xml:space="preserve">runs along</w:t>
      </w:r>
      <w:r>
        <w:t xml:space="preserve"> a border whenever the two counties on either side of it end up in different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shd w:fill="1a3a5c" w:val="clear"/>
            <w:tcMar>
              <w:top w:type="dxa" w:w="60"/>
              <w:left w:type="dxa" w:w="100"/>
              <w:bottom w:type="dxa" w:w="60"/>
              <w:right w:type="dxa" w:w="100"/>
            </w:tcMar>
            <w:vAlign w:val="center"/>
          </w:tcPr>
          <w:p>
            <w:pPr>
              <w:jc w:val="left"/>
            </w:pPr>
            <w:r>
              <w:rPr>
                <w:b/>
                <w:bCs/>
                <w:color w:val="FFFFFF"/>
                <w:sz w:val="18"/>
                <w:szCs w:val="18"/>
              </w:rPr>
              <w:t xml:space="preserve">County</w:t>
            </w:r>
          </w:p>
        </w:tc>
        <w:tc>
          <w:tcPr>
            <w:tcW w:type="dxa" w:w="7020"/>
            <w:shd w:fill="1a3a5c" w:val="clear"/>
            <w:tcMar>
              <w:top w:type="dxa" w:w="60"/>
              <w:left w:type="dxa" w:w="100"/>
              <w:bottom w:type="dxa" w:w="60"/>
              <w:right w:type="dxa" w:w="100"/>
            </w:tcMar>
            <w:vAlign w:val="center"/>
          </w:tcPr>
          <w:p>
            <w:pPr>
              <w:jc w:val="left"/>
            </w:pPr>
            <w:r>
              <w:rPr>
                <w:b/>
                <w:bCs/>
                <w:color w:val="FFFFFF"/>
                <w:sz w:val="18"/>
                <w:szCs w:val="18"/>
              </w:rPr>
              <w:t xml:space="preserve">Neighboring counties</w:t>
            </w:r>
          </w:p>
        </w:tc>
      </w:tr>
      <w:tr>
        <w:trPr>
          <w:cantSplit/>
        </w:trPr>
        <w:tc>
          <w:tcPr>
            <w:tcW w:type="dxa" w:w="2340"/>
            <w:tcMar>
              <w:top w:type="dxa" w:w="60"/>
              <w:left w:type="dxa" w:w="100"/>
              <w:bottom w:type="dxa" w:w="60"/>
              <w:right w:type="dxa" w:w="100"/>
            </w:tcMar>
            <w:vAlign w:val="center"/>
          </w:tcPr>
          <w:p>
            <w:pPr>
              <w:jc w:val="left"/>
            </w:pPr>
            <w:r>
              <w:rPr>
                <w:sz w:val="18"/>
                <w:szCs w:val="18"/>
              </w:rPr>
              <w:t xml:space="preserve">Androscoggin</w:t>
            </w:r>
          </w:p>
        </w:tc>
        <w:tc>
          <w:tcPr>
            <w:tcW w:type="dxa" w:w="7020"/>
            <w:tcMar>
              <w:top w:type="dxa" w:w="60"/>
              <w:left w:type="dxa" w:w="100"/>
              <w:bottom w:type="dxa" w:w="60"/>
              <w:right w:type="dxa" w:w="100"/>
            </w:tcMar>
            <w:vAlign w:val="center"/>
          </w:tcPr>
          <w:p>
            <w:pPr>
              <w:jc w:val="left"/>
            </w:pPr>
            <w:r>
              <w:rPr>
                <w:sz w:val="18"/>
                <w:szCs w:val="18"/>
              </w:rPr>
              <w:t xml:space="preserve">Cumberland, Franklin, Kennebec, Oxford, Sagadahoc</w:t>
            </w:r>
          </w:p>
        </w:tc>
      </w:tr>
      <w:tr>
        <w:trPr>
          <w:cantSplit/>
        </w:trPr>
        <w:tc>
          <w:tcPr>
            <w:tcW w:type="dxa" w:w="2340"/>
            <w:shd w:fill="f7f9fb" w:val="clear"/>
            <w:tcMar>
              <w:top w:type="dxa" w:w="60"/>
              <w:left w:type="dxa" w:w="100"/>
              <w:bottom w:type="dxa" w:w="60"/>
              <w:right w:type="dxa" w:w="100"/>
            </w:tcMar>
            <w:vAlign w:val="center"/>
          </w:tcPr>
          <w:p>
            <w:pPr>
              <w:jc w:val="left"/>
            </w:pPr>
            <w:r>
              <w:rPr>
                <w:sz w:val="18"/>
                <w:szCs w:val="18"/>
              </w:rPr>
              <w:t xml:space="preserve">Aroostook</w:t>
            </w:r>
          </w:p>
        </w:tc>
        <w:tc>
          <w:tcPr>
            <w:tcW w:type="dxa" w:w="7020"/>
            <w:shd w:fill="f7f9fb" w:val="clear"/>
            <w:tcMar>
              <w:top w:type="dxa" w:w="60"/>
              <w:left w:type="dxa" w:w="100"/>
              <w:bottom w:type="dxa" w:w="60"/>
              <w:right w:type="dxa" w:w="100"/>
            </w:tcMar>
            <w:vAlign w:val="center"/>
          </w:tcPr>
          <w:p>
            <w:pPr>
              <w:jc w:val="left"/>
            </w:pPr>
            <w:r>
              <w:rPr>
                <w:sz w:val="18"/>
                <w:szCs w:val="18"/>
              </w:rPr>
              <w:t xml:space="preserve">Penobscot, Piscataquis, Somerset, Washington</w:t>
            </w:r>
          </w:p>
        </w:tc>
      </w:tr>
      <w:tr>
        <w:trPr>
          <w:cantSplit/>
        </w:trPr>
        <w:tc>
          <w:tcPr>
            <w:tcW w:type="dxa" w:w="2340"/>
            <w:tcMar>
              <w:top w:type="dxa" w:w="60"/>
              <w:left w:type="dxa" w:w="100"/>
              <w:bottom w:type="dxa" w:w="60"/>
              <w:right w:type="dxa" w:w="100"/>
            </w:tcMar>
            <w:vAlign w:val="center"/>
          </w:tcPr>
          <w:p>
            <w:pPr>
              <w:jc w:val="left"/>
            </w:pPr>
            <w:r>
              <w:rPr>
                <w:sz w:val="18"/>
                <w:szCs w:val="18"/>
              </w:rPr>
              <w:t xml:space="preserve">Cumberland</w:t>
            </w:r>
          </w:p>
        </w:tc>
        <w:tc>
          <w:tcPr>
            <w:tcW w:type="dxa" w:w="7020"/>
            <w:tcMar>
              <w:top w:type="dxa" w:w="60"/>
              <w:left w:type="dxa" w:w="100"/>
              <w:bottom w:type="dxa" w:w="60"/>
              <w:right w:type="dxa" w:w="100"/>
            </w:tcMar>
            <w:vAlign w:val="center"/>
          </w:tcPr>
          <w:p>
            <w:pPr>
              <w:jc w:val="left"/>
            </w:pPr>
            <w:r>
              <w:rPr>
                <w:sz w:val="18"/>
                <w:szCs w:val="18"/>
              </w:rPr>
              <w:t xml:space="preserve">Androscoggin, Oxford, Sagadahoc, York</w:t>
            </w:r>
          </w:p>
        </w:tc>
      </w:tr>
      <w:tr>
        <w:trPr>
          <w:cantSplit/>
        </w:trPr>
        <w:tc>
          <w:tcPr>
            <w:tcW w:type="dxa" w:w="2340"/>
            <w:shd w:fill="f7f9fb" w:val="clear"/>
            <w:tcMar>
              <w:top w:type="dxa" w:w="60"/>
              <w:left w:type="dxa" w:w="100"/>
              <w:bottom w:type="dxa" w:w="60"/>
              <w:right w:type="dxa" w:w="100"/>
            </w:tcMar>
            <w:vAlign w:val="center"/>
          </w:tcPr>
          <w:p>
            <w:pPr>
              <w:jc w:val="left"/>
            </w:pPr>
            <w:r>
              <w:rPr>
                <w:sz w:val="18"/>
                <w:szCs w:val="18"/>
              </w:rPr>
              <w:t xml:space="preserve">Franklin</w:t>
            </w:r>
          </w:p>
        </w:tc>
        <w:tc>
          <w:tcPr>
            <w:tcW w:type="dxa" w:w="7020"/>
            <w:shd w:fill="f7f9fb" w:val="clear"/>
            <w:tcMar>
              <w:top w:type="dxa" w:w="60"/>
              <w:left w:type="dxa" w:w="100"/>
              <w:bottom w:type="dxa" w:w="60"/>
              <w:right w:type="dxa" w:w="100"/>
            </w:tcMar>
            <w:vAlign w:val="center"/>
          </w:tcPr>
          <w:p>
            <w:pPr>
              <w:jc w:val="left"/>
            </w:pPr>
            <w:r>
              <w:rPr>
                <w:sz w:val="18"/>
                <w:szCs w:val="18"/>
              </w:rPr>
              <w:t xml:space="preserve">Androscoggin, Kennebec, Oxford, Somerset</w:t>
            </w:r>
          </w:p>
        </w:tc>
      </w:tr>
      <w:tr>
        <w:trPr>
          <w:cantSplit/>
        </w:trPr>
        <w:tc>
          <w:tcPr>
            <w:tcW w:type="dxa" w:w="2340"/>
            <w:tcMar>
              <w:top w:type="dxa" w:w="60"/>
              <w:left w:type="dxa" w:w="100"/>
              <w:bottom w:type="dxa" w:w="60"/>
              <w:right w:type="dxa" w:w="100"/>
            </w:tcMar>
            <w:vAlign w:val="center"/>
          </w:tcPr>
          <w:p>
            <w:pPr>
              <w:jc w:val="left"/>
            </w:pPr>
            <w:r>
              <w:rPr>
                <w:sz w:val="18"/>
                <w:szCs w:val="18"/>
              </w:rPr>
              <w:t xml:space="preserve">Hancock</w:t>
            </w:r>
          </w:p>
        </w:tc>
        <w:tc>
          <w:tcPr>
            <w:tcW w:type="dxa" w:w="7020"/>
            <w:tcMar>
              <w:top w:type="dxa" w:w="60"/>
              <w:left w:type="dxa" w:w="100"/>
              <w:bottom w:type="dxa" w:w="60"/>
              <w:right w:type="dxa" w:w="100"/>
            </w:tcMar>
            <w:vAlign w:val="center"/>
          </w:tcPr>
          <w:p>
            <w:pPr>
              <w:jc w:val="left"/>
            </w:pPr>
            <w:r>
              <w:rPr>
                <w:sz w:val="18"/>
                <w:szCs w:val="18"/>
              </w:rPr>
              <w:t xml:space="preserve">Knox, Penobscot, Waldo, Washington</w:t>
            </w:r>
          </w:p>
        </w:tc>
      </w:tr>
      <w:tr>
        <w:trPr>
          <w:cantSplit/>
        </w:trPr>
        <w:tc>
          <w:tcPr>
            <w:tcW w:type="dxa" w:w="2340"/>
            <w:shd w:fill="f7f9fb" w:val="clear"/>
            <w:tcMar>
              <w:top w:type="dxa" w:w="60"/>
              <w:left w:type="dxa" w:w="100"/>
              <w:bottom w:type="dxa" w:w="60"/>
              <w:right w:type="dxa" w:w="100"/>
            </w:tcMar>
            <w:vAlign w:val="center"/>
          </w:tcPr>
          <w:p>
            <w:pPr>
              <w:jc w:val="left"/>
            </w:pPr>
            <w:r>
              <w:rPr>
                <w:sz w:val="18"/>
                <w:szCs w:val="18"/>
              </w:rPr>
              <w:t xml:space="preserve">Kennebec</w:t>
            </w:r>
          </w:p>
        </w:tc>
        <w:tc>
          <w:tcPr>
            <w:tcW w:type="dxa" w:w="7020"/>
            <w:shd w:fill="f7f9fb" w:val="clear"/>
            <w:tcMar>
              <w:top w:type="dxa" w:w="60"/>
              <w:left w:type="dxa" w:w="100"/>
              <w:bottom w:type="dxa" w:w="60"/>
              <w:right w:type="dxa" w:w="100"/>
            </w:tcMar>
            <w:vAlign w:val="center"/>
          </w:tcPr>
          <w:p>
            <w:pPr>
              <w:jc w:val="left"/>
            </w:pPr>
            <w:r>
              <w:rPr>
                <w:sz w:val="18"/>
                <w:szCs w:val="18"/>
              </w:rPr>
              <w:t xml:space="preserve">Androscoggin, Franklin, Lincoln, Sagadahoc, Somerset, Waldo</w:t>
            </w:r>
          </w:p>
        </w:tc>
      </w:tr>
      <w:tr>
        <w:trPr>
          <w:cantSplit/>
        </w:trPr>
        <w:tc>
          <w:tcPr>
            <w:tcW w:type="dxa" w:w="2340"/>
            <w:tcMar>
              <w:top w:type="dxa" w:w="60"/>
              <w:left w:type="dxa" w:w="100"/>
              <w:bottom w:type="dxa" w:w="60"/>
              <w:right w:type="dxa" w:w="100"/>
            </w:tcMar>
            <w:vAlign w:val="center"/>
          </w:tcPr>
          <w:p>
            <w:pPr>
              <w:jc w:val="left"/>
            </w:pPr>
            <w:r>
              <w:rPr>
                <w:sz w:val="18"/>
                <w:szCs w:val="18"/>
              </w:rPr>
              <w:t xml:space="preserve">Knox</w:t>
            </w:r>
          </w:p>
        </w:tc>
        <w:tc>
          <w:tcPr>
            <w:tcW w:type="dxa" w:w="7020"/>
            <w:tcMar>
              <w:top w:type="dxa" w:w="60"/>
              <w:left w:type="dxa" w:w="100"/>
              <w:bottom w:type="dxa" w:w="60"/>
              <w:right w:type="dxa" w:w="100"/>
            </w:tcMar>
            <w:vAlign w:val="center"/>
          </w:tcPr>
          <w:p>
            <w:pPr>
              <w:jc w:val="left"/>
            </w:pPr>
            <w:r>
              <w:rPr>
                <w:sz w:val="18"/>
                <w:szCs w:val="18"/>
              </w:rPr>
              <w:t xml:space="preserve">Hancock, Lincoln, Waldo</w:t>
            </w:r>
          </w:p>
        </w:tc>
      </w:tr>
      <w:tr>
        <w:trPr>
          <w:cantSplit/>
        </w:trPr>
        <w:tc>
          <w:tcPr>
            <w:tcW w:type="dxa" w:w="2340"/>
            <w:shd w:fill="f7f9fb" w:val="clear"/>
            <w:tcMar>
              <w:top w:type="dxa" w:w="60"/>
              <w:left w:type="dxa" w:w="100"/>
              <w:bottom w:type="dxa" w:w="60"/>
              <w:right w:type="dxa" w:w="100"/>
            </w:tcMar>
            <w:vAlign w:val="center"/>
          </w:tcPr>
          <w:p>
            <w:pPr>
              <w:jc w:val="left"/>
            </w:pPr>
            <w:r>
              <w:rPr>
                <w:sz w:val="18"/>
                <w:szCs w:val="18"/>
              </w:rPr>
              <w:t xml:space="preserve">Lincoln</w:t>
            </w:r>
          </w:p>
        </w:tc>
        <w:tc>
          <w:tcPr>
            <w:tcW w:type="dxa" w:w="7020"/>
            <w:shd w:fill="f7f9fb" w:val="clear"/>
            <w:tcMar>
              <w:top w:type="dxa" w:w="60"/>
              <w:left w:type="dxa" w:w="100"/>
              <w:bottom w:type="dxa" w:w="60"/>
              <w:right w:type="dxa" w:w="100"/>
            </w:tcMar>
            <w:vAlign w:val="center"/>
          </w:tcPr>
          <w:p>
            <w:pPr>
              <w:jc w:val="left"/>
            </w:pPr>
            <w:r>
              <w:rPr>
                <w:sz w:val="18"/>
                <w:szCs w:val="18"/>
              </w:rPr>
              <w:t xml:space="preserve">Kennebec, Knox, Sagadahoc, Waldo</w:t>
            </w:r>
          </w:p>
        </w:tc>
      </w:tr>
      <w:tr>
        <w:trPr>
          <w:cantSplit/>
        </w:trPr>
        <w:tc>
          <w:tcPr>
            <w:tcW w:type="dxa" w:w="2340"/>
            <w:tcMar>
              <w:top w:type="dxa" w:w="60"/>
              <w:left w:type="dxa" w:w="100"/>
              <w:bottom w:type="dxa" w:w="60"/>
              <w:right w:type="dxa" w:w="100"/>
            </w:tcMar>
            <w:vAlign w:val="center"/>
          </w:tcPr>
          <w:p>
            <w:pPr>
              <w:jc w:val="left"/>
            </w:pPr>
            <w:r>
              <w:rPr>
                <w:sz w:val="18"/>
                <w:szCs w:val="18"/>
              </w:rPr>
              <w:t xml:space="preserve">Oxford</w:t>
            </w:r>
          </w:p>
        </w:tc>
        <w:tc>
          <w:tcPr>
            <w:tcW w:type="dxa" w:w="7020"/>
            <w:tcMar>
              <w:top w:type="dxa" w:w="60"/>
              <w:left w:type="dxa" w:w="100"/>
              <w:bottom w:type="dxa" w:w="60"/>
              <w:right w:type="dxa" w:w="100"/>
            </w:tcMar>
            <w:vAlign w:val="center"/>
          </w:tcPr>
          <w:p>
            <w:pPr>
              <w:jc w:val="left"/>
            </w:pPr>
            <w:r>
              <w:rPr>
                <w:sz w:val="18"/>
                <w:szCs w:val="18"/>
              </w:rPr>
              <w:t xml:space="preserve">Androscoggin, Cumberland, Franklin, York</w:t>
            </w:r>
          </w:p>
        </w:tc>
      </w:tr>
      <w:tr>
        <w:trPr>
          <w:cantSplit/>
        </w:trPr>
        <w:tc>
          <w:tcPr>
            <w:tcW w:type="dxa" w:w="2340"/>
            <w:shd w:fill="f7f9fb" w:val="clear"/>
            <w:tcMar>
              <w:top w:type="dxa" w:w="60"/>
              <w:left w:type="dxa" w:w="100"/>
              <w:bottom w:type="dxa" w:w="60"/>
              <w:right w:type="dxa" w:w="100"/>
            </w:tcMar>
            <w:vAlign w:val="center"/>
          </w:tcPr>
          <w:p>
            <w:pPr>
              <w:jc w:val="left"/>
            </w:pPr>
            <w:r>
              <w:rPr>
                <w:sz w:val="18"/>
                <w:szCs w:val="18"/>
              </w:rPr>
              <w:t xml:space="preserve">Penobscot</w:t>
            </w:r>
          </w:p>
        </w:tc>
        <w:tc>
          <w:tcPr>
            <w:tcW w:type="dxa" w:w="7020"/>
            <w:shd w:fill="f7f9fb" w:val="clear"/>
            <w:tcMar>
              <w:top w:type="dxa" w:w="60"/>
              <w:left w:type="dxa" w:w="100"/>
              <w:bottom w:type="dxa" w:w="60"/>
              <w:right w:type="dxa" w:w="100"/>
            </w:tcMar>
            <w:vAlign w:val="center"/>
          </w:tcPr>
          <w:p>
            <w:pPr>
              <w:jc w:val="left"/>
            </w:pPr>
            <w:r>
              <w:rPr>
                <w:sz w:val="18"/>
                <w:szCs w:val="18"/>
              </w:rPr>
              <w:t xml:space="preserve">Aroostook, Hancock, Piscataquis, Somerset, Waldo, Washington</w:t>
            </w:r>
          </w:p>
        </w:tc>
      </w:tr>
      <w:tr>
        <w:trPr>
          <w:cantSplit/>
        </w:trPr>
        <w:tc>
          <w:tcPr>
            <w:tcW w:type="dxa" w:w="2340"/>
            <w:tcMar>
              <w:top w:type="dxa" w:w="60"/>
              <w:left w:type="dxa" w:w="100"/>
              <w:bottom w:type="dxa" w:w="60"/>
              <w:right w:type="dxa" w:w="100"/>
            </w:tcMar>
            <w:vAlign w:val="center"/>
          </w:tcPr>
          <w:p>
            <w:pPr>
              <w:jc w:val="left"/>
            </w:pPr>
            <w:r>
              <w:rPr>
                <w:sz w:val="18"/>
                <w:szCs w:val="18"/>
              </w:rPr>
              <w:t xml:space="preserve">Piscataquis</w:t>
            </w:r>
          </w:p>
        </w:tc>
        <w:tc>
          <w:tcPr>
            <w:tcW w:type="dxa" w:w="7020"/>
            <w:tcMar>
              <w:top w:type="dxa" w:w="60"/>
              <w:left w:type="dxa" w:w="100"/>
              <w:bottom w:type="dxa" w:w="60"/>
              <w:right w:type="dxa" w:w="100"/>
            </w:tcMar>
            <w:vAlign w:val="center"/>
          </w:tcPr>
          <w:p>
            <w:pPr>
              <w:jc w:val="left"/>
            </w:pPr>
            <w:r>
              <w:rPr>
                <w:sz w:val="18"/>
                <w:szCs w:val="18"/>
              </w:rPr>
              <w:t xml:space="preserve">Aroostook, Penobscot, Somerset</w:t>
            </w:r>
          </w:p>
        </w:tc>
      </w:tr>
      <w:tr>
        <w:trPr>
          <w:cantSplit/>
        </w:trPr>
        <w:tc>
          <w:tcPr>
            <w:tcW w:type="dxa" w:w="2340"/>
            <w:shd w:fill="f7f9fb" w:val="clear"/>
            <w:tcMar>
              <w:top w:type="dxa" w:w="60"/>
              <w:left w:type="dxa" w:w="100"/>
              <w:bottom w:type="dxa" w:w="60"/>
              <w:right w:type="dxa" w:w="100"/>
            </w:tcMar>
            <w:vAlign w:val="center"/>
          </w:tcPr>
          <w:p>
            <w:pPr>
              <w:jc w:val="left"/>
            </w:pPr>
            <w:r>
              <w:rPr>
                <w:sz w:val="18"/>
                <w:szCs w:val="18"/>
              </w:rPr>
              <w:t xml:space="preserve">Sagadahoc</w:t>
            </w:r>
          </w:p>
        </w:tc>
        <w:tc>
          <w:tcPr>
            <w:tcW w:type="dxa" w:w="7020"/>
            <w:shd w:fill="f7f9fb" w:val="clear"/>
            <w:tcMar>
              <w:top w:type="dxa" w:w="60"/>
              <w:left w:type="dxa" w:w="100"/>
              <w:bottom w:type="dxa" w:w="60"/>
              <w:right w:type="dxa" w:w="100"/>
            </w:tcMar>
            <w:vAlign w:val="center"/>
          </w:tcPr>
          <w:p>
            <w:pPr>
              <w:jc w:val="left"/>
            </w:pPr>
            <w:r>
              <w:rPr>
                <w:sz w:val="18"/>
                <w:szCs w:val="18"/>
              </w:rPr>
              <w:t xml:space="preserve">Androscoggin, Cumberland, Kennebec, Lincoln</w:t>
            </w:r>
          </w:p>
        </w:tc>
      </w:tr>
      <w:tr>
        <w:trPr>
          <w:cantSplit/>
        </w:trPr>
        <w:tc>
          <w:tcPr>
            <w:tcW w:type="dxa" w:w="2340"/>
            <w:tcMar>
              <w:top w:type="dxa" w:w="60"/>
              <w:left w:type="dxa" w:w="100"/>
              <w:bottom w:type="dxa" w:w="60"/>
              <w:right w:type="dxa" w:w="100"/>
            </w:tcMar>
            <w:vAlign w:val="center"/>
          </w:tcPr>
          <w:p>
            <w:pPr>
              <w:jc w:val="left"/>
            </w:pPr>
            <w:r>
              <w:rPr>
                <w:sz w:val="18"/>
                <w:szCs w:val="18"/>
              </w:rPr>
              <w:t xml:space="preserve">Somerset</w:t>
            </w:r>
          </w:p>
        </w:tc>
        <w:tc>
          <w:tcPr>
            <w:tcW w:type="dxa" w:w="7020"/>
            <w:tcMar>
              <w:top w:type="dxa" w:w="60"/>
              <w:left w:type="dxa" w:w="100"/>
              <w:bottom w:type="dxa" w:w="60"/>
              <w:right w:type="dxa" w:w="100"/>
            </w:tcMar>
            <w:vAlign w:val="center"/>
          </w:tcPr>
          <w:p>
            <w:pPr>
              <w:jc w:val="left"/>
            </w:pPr>
            <w:r>
              <w:rPr>
                <w:sz w:val="18"/>
                <w:szCs w:val="18"/>
              </w:rPr>
              <w:t xml:space="preserve">Aroostook, Franklin, Kennebec, Penobscot, Piscataquis, Waldo</w:t>
            </w:r>
          </w:p>
        </w:tc>
      </w:tr>
      <w:tr>
        <w:trPr>
          <w:cantSplit/>
        </w:trPr>
        <w:tc>
          <w:tcPr>
            <w:tcW w:type="dxa" w:w="2340"/>
            <w:shd w:fill="f7f9fb" w:val="clear"/>
            <w:tcMar>
              <w:top w:type="dxa" w:w="60"/>
              <w:left w:type="dxa" w:w="100"/>
              <w:bottom w:type="dxa" w:w="60"/>
              <w:right w:type="dxa" w:w="100"/>
            </w:tcMar>
            <w:vAlign w:val="center"/>
          </w:tcPr>
          <w:p>
            <w:pPr>
              <w:jc w:val="left"/>
            </w:pPr>
            <w:r>
              <w:rPr>
                <w:sz w:val="18"/>
                <w:szCs w:val="18"/>
              </w:rPr>
              <w:t xml:space="preserve">Waldo</w:t>
            </w:r>
          </w:p>
        </w:tc>
        <w:tc>
          <w:tcPr>
            <w:tcW w:type="dxa" w:w="7020"/>
            <w:shd w:fill="f7f9fb" w:val="clear"/>
            <w:tcMar>
              <w:top w:type="dxa" w:w="60"/>
              <w:left w:type="dxa" w:w="100"/>
              <w:bottom w:type="dxa" w:w="60"/>
              <w:right w:type="dxa" w:w="100"/>
            </w:tcMar>
            <w:vAlign w:val="center"/>
          </w:tcPr>
          <w:p>
            <w:pPr>
              <w:jc w:val="left"/>
            </w:pPr>
            <w:r>
              <w:rPr>
                <w:sz w:val="18"/>
                <w:szCs w:val="18"/>
              </w:rPr>
              <w:t xml:space="preserve">Hancock, Kennebec, Knox, Lincoln, Penobscot, Somerset</w:t>
            </w:r>
          </w:p>
        </w:tc>
      </w:tr>
      <w:tr>
        <w:trPr>
          <w:cantSplit/>
        </w:trPr>
        <w:tc>
          <w:tcPr>
            <w:tcW w:type="dxa" w:w="2340"/>
            <w:tcMar>
              <w:top w:type="dxa" w:w="60"/>
              <w:left w:type="dxa" w:w="100"/>
              <w:bottom w:type="dxa" w:w="60"/>
              <w:right w:type="dxa" w:w="100"/>
            </w:tcMar>
            <w:vAlign w:val="center"/>
          </w:tcPr>
          <w:p>
            <w:pPr>
              <w:jc w:val="left"/>
            </w:pPr>
            <w:r>
              <w:rPr>
                <w:sz w:val="18"/>
                <w:szCs w:val="18"/>
              </w:rPr>
              <w:t xml:space="preserve">Washington</w:t>
            </w:r>
          </w:p>
        </w:tc>
        <w:tc>
          <w:tcPr>
            <w:tcW w:type="dxa" w:w="7020"/>
            <w:tcMar>
              <w:top w:type="dxa" w:w="60"/>
              <w:left w:type="dxa" w:w="100"/>
              <w:bottom w:type="dxa" w:w="60"/>
              <w:right w:type="dxa" w:w="100"/>
            </w:tcMar>
            <w:vAlign w:val="center"/>
          </w:tcPr>
          <w:p>
            <w:pPr>
              <w:jc w:val="left"/>
            </w:pPr>
            <w:r>
              <w:rPr>
                <w:sz w:val="18"/>
                <w:szCs w:val="18"/>
              </w:rPr>
              <w:t xml:space="preserve">Aroostook, Hancock, Penobscot</w:t>
            </w:r>
          </w:p>
        </w:tc>
      </w:tr>
      <w:tr>
        <w:trPr>
          <w:cantSplit/>
        </w:trPr>
        <w:tc>
          <w:tcPr>
            <w:tcW w:type="dxa" w:w="2340"/>
            <w:shd w:fill="f7f9fb" w:val="clear"/>
            <w:tcMar>
              <w:top w:type="dxa" w:w="60"/>
              <w:left w:type="dxa" w:w="100"/>
              <w:bottom w:type="dxa" w:w="60"/>
              <w:right w:type="dxa" w:w="100"/>
            </w:tcMar>
            <w:vAlign w:val="center"/>
          </w:tcPr>
          <w:p>
            <w:pPr>
              <w:jc w:val="left"/>
            </w:pPr>
            <w:r>
              <w:rPr>
                <w:sz w:val="18"/>
                <w:szCs w:val="18"/>
              </w:rPr>
              <w:t xml:space="preserve">York</w:t>
            </w:r>
          </w:p>
        </w:tc>
        <w:tc>
          <w:tcPr>
            <w:tcW w:type="dxa" w:w="7020"/>
            <w:shd w:fill="f7f9fb" w:val="clear"/>
            <w:tcMar>
              <w:top w:type="dxa" w:w="60"/>
              <w:left w:type="dxa" w:w="100"/>
              <w:bottom w:type="dxa" w:w="60"/>
              <w:right w:type="dxa" w:w="100"/>
            </w:tcMar>
            <w:vAlign w:val="center"/>
          </w:tcPr>
          <w:p>
            <w:pPr>
              <w:jc w:val="left"/>
            </w:pPr>
            <w:r>
              <w:rPr>
                <w:sz w:val="18"/>
                <w:szCs w:val="18"/>
              </w:rPr>
              <w:t xml:space="preserve">Cumberland, Oxford</w:t>
            </w:r>
          </w:p>
        </w:tc>
      </w:tr>
    </w:tbl>
    <w:p>
      <w:pPr>
        <w:spacing w:after="200"/>
      </w:pPr>
      <w:r>
        <w:t xml:space="preserve">Distinct county-to-county borders in Maine: </w:t>
      </w:r>
      <w:r>
        <w:rPr>
          <w:b/>
          <w:bCs/>
        </w:rPr>
        <w:t xml:space="preserve">34</w:t>
      </w:r>
      <w:r>
        <w:t xml:space="preserve"> [S4].</w:t>
      </w:r>
    </w:p>
    <w:p>
      <w:pPr>
        <w:spacing w:after="160"/>
      </w:pPr>
      <w:r>
        <w:rPr>
          <w:b/>
          <w:bCs/>
        </w:rPr>
        <w:t xml:space="preserve">A caveat worth arguing about. </w:t>
      </w:r>
      <w:r>
        <w:t xml:space="preserve">The Census file counts two counties as neighbors when their legal boundaries touch, and in Maine some of those boundaries run through water — Hancock and Knox are listed as neighbors, and the drive between them is not short. That is the federal file’s definition, not this case’s, and a Hero who thinks a water boundary should not count the same as a road-crossable one has a real objection. This case takes the file as published and counts all 34; the alternative is stated as Appendix H MA5, together with what it does to the scoreboard, because it does not do nothing. Say which convention you are using in the pitch and show what changes under the other one.</w:t>
      </w:r>
    </w:p>
    <w:p>
      <w:pPr>
        <w:pStyle w:val="Heading1"/>
        <w:spacing w:after="140" w:before="280"/>
      </w:pPr>
      <w:r>
        <w:rPr>
          <w:b/>
          <w:bCs/>
          <w:color w:val="1a3a5c"/>
          <w:sz w:val="30"/>
          <w:szCs w:val="30"/>
        </w:rPr>
        <w:t xml:space="preserve">Appendix C — The Two Plans on the Table</w:t>
      </w:r>
    </w:p>
    <w:p>
      <w:pPr>
        <w:spacing w:after="160"/>
      </w:pPr>
      <w:r>
        <w:rPr>
          <w:b/>
          <w:bCs/>
        </w:rPr>
        <w:t xml:space="preserve">The Kennebec Split</w:t>
      </w:r>
      <w:r>
        <w:t xml:space="preserve"> — Maine’s enacted congressional plan [S5]. Southern district: Cumberland, Knox, Lincoln, Sagadahoc and York counties whole, plus these twelve Kennebec County municipalities, with their 2020 Census populations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a3a5c" w:val="clear"/>
            <w:tcMar>
              <w:top w:type="dxa" w:w="60"/>
              <w:left w:type="dxa" w:w="100"/>
              <w:bottom w:type="dxa" w:w="60"/>
              <w:right w:type="dxa" w:w="100"/>
            </w:tcMar>
            <w:vAlign w:val="center"/>
          </w:tcPr>
          <w:p>
            <w:pPr>
              <w:jc w:val="left"/>
            </w:pPr>
            <w:r>
              <w:rPr>
                <w:b/>
                <w:bCs/>
                <w:color w:val="FFFFFF"/>
                <w:sz w:val="18"/>
                <w:szCs w:val="18"/>
              </w:rPr>
              <w:t xml:space="preserve">Municipality</w:t>
            </w:r>
          </w:p>
        </w:tc>
        <w:tc>
          <w:tcPr>
            <w:tcW w:type="dxa" w:w="4680"/>
            <w:shd w:fill="1a3a5c" w:val="clear"/>
            <w:tcMar>
              <w:top w:type="dxa" w:w="60"/>
              <w:left w:type="dxa" w:w="100"/>
              <w:bottom w:type="dxa" w:w="60"/>
              <w:right w:type="dxa" w:w="100"/>
            </w:tcMar>
            <w:vAlign w:val="center"/>
          </w:tcPr>
          <w:p>
            <w:pPr>
              <w:jc w:val="left"/>
            </w:pPr>
            <w:r>
              <w:rPr>
                <w:b/>
                <w:bCs/>
                <w:color w:val="FFFFFF"/>
                <w:sz w:val="18"/>
                <w:szCs w:val="18"/>
              </w:rPr>
              <w:t xml:space="preserve">Pop.</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Waterville</w:t>
            </w:r>
          </w:p>
        </w:tc>
        <w:tc>
          <w:tcPr>
            <w:tcW w:type="dxa" w:w="4680"/>
            <w:tcMar>
              <w:top w:type="dxa" w:w="60"/>
              <w:left w:type="dxa" w:w="100"/>
              <w:bottom w:type="dxa" w:w="60"/>
              <w:right w:type="dxa" w:w="100"/>
            </w:tcMar>
            <w:vAlign w:val="center"/>
          </w:tcPr>
          <w:p>
            <w:pPr>
              <w:jc w:val="left"/>
            </w:pPr>
            <w:r>
              <w:rPr>
                <w:sz w:val="18"/>
                <w:szCs w:val="18"/>
              </w:rPr>
              <w:t xml:space="preserve">15,828</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Winslow</w:t>
            </w:r>
          </w:p>
        </w:tc>
        <w:tc>
          <w:tcPr>
            <w:tcW w:type="dxa" w:w="4680"/>
            <w:shd w:fill="f7f9fb" w:val="clear"/>
            <w:tcMar>
              <w:top w:type="dxa" w:w="60"/>
              <w:left w:type="dxa" w:w="100"/>
              <w:bottom w:type="dxa" w:w="60"/>
              <w:right w:type="dxa" w:w="100"/>
            </w:tcMar>
            <w:vAlign w:val="center"/>
          </w:tcPr>
          <w:p>
            <w:pPr>
              <w:jc w:val="left"/>
            </w:pPr>
            <w:r>
              <w:rPr>
                <w:sz w:val="18"/>
                <w:szCs w:val="18"/>
              </w:rPr>
              <w:t xml:space="preserve">7,948</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Vassalboro</w:t>
            </w:r>
          </w:p>
        </w:tc>
        <w:tc>
          <w:tcPr>
            <w:tcW w:type="dxa" w:w="4680"/>
            <w:tcMar>
              <w:top w:type="dxa" w:w="60"/>
              <w:left w:type="dxa" w:w="100"/>
              <w:bottom w:type="dxa" w:w="60"/>
              <w:right w:type="dxa" w:w="100"/>
            </w:tcMar>
            <w:vAlign w:val="center"/>
          </w:tcPr>
          <w:p>
            <w:pPr>
              <w:jc w:val="left"/>
            </w:pPr>
            <w:r>
              <w:rPr>
                <w:sz w:val="18"/>
                <w:szCs w:val="18"/>
              </w:rPr>
              <w:t xml:space="preserve">4,520</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China</w:t>
            </w:r>
          </w:p>
        </w:tc>
        <w:tc>
          <w:tcPr>
            <w:tcW w:type="dxa" w:w="4680"/>
            <w:shd w:fill="f7f9fb" w:val="clear"/>
            <w:tcMar>
              <w:top w:type="dxa" w:w="60"/>
              <w:left w:type="dxa" w:w="100"/>
              <w:bottom w:type="dxa" w:w="60"/>
              <w:right w:type="dxa" w:w="100"/>
            </w:tcMar>
            <w:vAlign w:val="center"/>
          </w:tcPr>
          <w:p>
            <w:pPr>
              <w:jc w:val="left"/>
            </w:pPr>
            <w:r>
              <w:rPr>
                <w:sz w:val="18"/>
                <w:szCs w:val="18"/>
              </w:rPr>
              <w:t xml:space="preserve">4,408</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West Gardiner</w:t>
            </w:r>
          </w:p>
        </w:tc>
        <w:tc>
          <w:tcPr>
            <w:tcW w:type="dxa" w:w="4680"/>
            <w:tcMar>
              <w:top w:type="dxa" w:w="60"/>
              <w:left w:type="dxa" w:w="100"/>
              <w:bottom w:type="dxa" w:w="60"/>
              <w:right w:type="dxa" w:w="100"/>
            </w:tcMar>
            <w:vAlign w:val="center"/>
          </w:tcPr>
          <w:p>
            <w:pPr>
              <w:jc w:val="left"/>
            </w:pPr>
            <w:r>
              <w:rPr>
                <w:sz w:val="18"/>
                <w:szCs w:val="18"/>
              </w:rPr>
              <w:t xml:space="preserve">3,671</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Litchfield</w:t>
            </w:r>
          </w:p>
        </w:tc>
        <w:tc>
          <w:tcPr>
            <w:tcW w:type="dxa" w:w="4680"/>
            <w:shd w:fill="f7f9fb" w:val="clear"/>
            <w:tcMar>
              <w:top w:type="dxa" w:w="60"/>
              <w:left w:type="dxa" w:w="100"/>
              <w:bottom w:type="dxa" w:w="60"/>
              <w:right w:type="dxa" w:w="100"/>
            </w:tcMar>
            <w:vAlign w:val="center"/>
          </w:tcPr>
          <w:p>
            <w:pPr>
              <w:jc w:val="left"/>
            </w:pPr>
            <w:r>
              <w:rPr>
                <w:sz w:val="18"/>
                <w:szCs w:val="18"/>
              </w:rPr>
              <w:t xml:space="preserve">3,586</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Clinton</w:t>
            </w:r>
          </w:p>
        </w:tc>
        <w:tc>
          <w:tcPr>
            <w:tcW w:type="dxa" w:w="4680"/>
            <w:tcMar>
              <w:top w:type="dxa" w:w="60"/>
              <w:left w:type="dxa" w:w="100"/>
              <w:bottom w:type="dxa" w:w="60"/>
              <w:right w:type="dxa" w:w="100"/>
            </w:tcMar>
            <w:vAlign w:val="center"/>
          </w:tcPr>
          <w:p>
            <w:pPr>
              <w:jc w:val="left"/>
            </w:pPr>
            <w:r>
              <w:rPr>
                <w:sz w:val="18"/>
                <w:szCs w:val="18"/>
              </w:rPr>
              <w:t xml:space="preserve">3,370</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Pittston</w:t>
            </w:r>
          </w:p>
        </w:tc>
        <w:tc>
          <w:tcPr>
            <w:tcW w:type="dxa" w:w="4680"/>
            <w:shd w:fill="f7f9fb" w:val="clear"/>
            <w:tcMar>
              <w:top w:type="dxa" w:w="60"/>
              <w:left w:type="dxa" w:w="100"/>
              <w:bottom w:type="dxa" w:w="60"/>
              <w:right w:type="dxa" w:w="100"/>
            </w:tcMar>
            <w:vAlign w:val="center"/>
          </w:tcPr>
          <w:p>
            <w:pPr>
              <w:jc w:val="left"/>
            </w:pPr>
            <w:r>
              <w:rPr>
                <w:sz w:val="18"/>
                <w:szCs w:val="18"/>
              </w:rPr>
              <w:t xml:space="preserve">2,875</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Benton</w:t>
            </w:r>
          </w:p>
        </w:tc>
        <w:tc>
          <w:tcPr>
            <w:tcW w:type="dxa" w:w="4680"/>
            <w:tcMar>
              <w:top w:type="dxa" w:w="60"/>
              <w:left w:type="dxa" w:w="100"/>
              <w:bottom w:type="dxa" w:w="60"/>
              <w:right w:type="dxa" w:w="100"/>
            </w:tcMar>
            <w:vAlign w:val="center"/>
          </w:tcPr>
          <w:p>
            <w:pPr>
              <w:jc w:val="left"/>
            </w:pPr>
            <w:r>
              <w:rPr>
                <w:sz w:val="18"/>
                <w:szCs w:val="18"/>
              </w:rPr>
              <w:t xml:space="preserve">2,715</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Windsor</w:t>
            </w:r>
          </w:p>
        </w:tc>
        <w:tc>
          <w:tcPr>
            <w:tcW w:type="dxa" w:w="4680"/>
            <w:shd w:fill="f7f9fb" w:val="clear"/>
            <w:tcMar>
              <w:top w:type="dxa" w:w="60"/>
              <w:left w:type="dxa" w:w="100"/>
              <w:bottom w:type="dxa" w:w="60"/>
              <w:right w:type="dxa" w:w="100"/>
            </w:tcMar>
            <w:vAlign w:val="center"/>
          </w:tcPr>
          <w:p>
            <w:pPr>
              <w:jc w:val="left"/>
            </w:pPr>
            <w:r>
              <w:rPr>
                <w:sz w:val="18"/>
                <w:szCs w:val="18"/>
              </w:rPr>
              <w:t xml:space="preserve">2,632</w:t>
            </w:r>
          </w:p>
        </w:tc>
      </w:tr>
      <w:tr>
        <w:trPr>
          <w:cantSplit/>
        </w:trPr>
        <w:tc>
          <w:tcPr>
            <w:tcW w:type="dxa" w:w="4680"/>
            <w:tcMar>
              <w:top w:type="dxa" w:w="60"/>
              <w:left w:type="dxa" w:w="100"/>
              <w:bottom w:type="dxa" w:w="60"/>
              <w:right w:type="dxa" w:w="100"/>
            </w:tcMar>
            <w:vAlign w:val="center"/>
          </w:tcPr>
          <w:p>
            <w:pPr>
              <w:jc w:val="left"/>
            </w:pPr>
            <w:r>
              <w:rPr>
                <w:sz w:val="18"/>
                <w:szCs w:val="18"/>
              </w:rPr>
              <w:t xml:space="preserve">Albion</w:t>
            </w:r>
          </w:p>
        </w:tc>
        <w:tc>
          <w:tcPr>
            <w:tcW w:type="dxa" w:w="4680"/>
            <w:tcMar>
              <w:top w:type="dxa" w:w="60"/>
              <w:left w:type="dxa" w:w="100"/>
              <w:bottom w:type="dxa" w:w="60"/>
              <w:right w:type="dxa" w:w="100"/>
            </w:tcMar>
            <w:vAlign w:val="center"/>
          </w:tcPr>
          <w:p>
            <w:pPr>
              <w:jc w:val="left"/>
            </w:pPr>
            <w:r>
              <w:rPr>
                <w:sz w:val="18"/>
                <w:szCs w:val="18"/>
              </w:rPr>
              <w:t xml:space="preserve">2,006</w:t>
            </w:r>
          </w:p>
        </w:tc>
      </w:tr>
      <w:tr>
        <w:trPr>
          <w:cantSplit/>
        </w:trPr>
        <w:tc>
          <w:tcPr>
            <w:tcW w:type="dxa" w:w="4680"/>
            <w:shd w:fill="f7f9fb" w:val="clear"/>
            <w:tcMar>
              <w:top w:type="dxa" w:w="60"/>
              <w:left w:type="dxa" w:w="100"/>
              <w:bottom w:type="dxa" w:w="60"/>
              <w:right w:type="dxa" w:w="100"/>
            </w:tcMar>
            <w:vAlign w:val="center"/>
          </w:tcPr>
          <w:p>
            <w:pPr>
              <w:jc w:val="left"/>
            </w:pPr>
            <w:r>
              <w:rPr>
                <w:sz w:val="18"/>
                <w:szCs w:val="18"/>
              </w:rPr>
              <w:t xml:space="preserve">Unity Township</w:t>
            </w:r>
          </w:p>
        </w:tc>
        <w:tc>
          <w:tcPr>
            <w:tcW w:type="dxa" w:w="4680"/>
            <w:shd w:fill="f7f9fb" w:val="clear"/>
            <w:tcMar>
              <w:top w:type="dxa" w:w="60"/>
              <w:left w:type="dxa" w:w="100"/>
              <w:bottom w:type="dxa" w:w="60"/>
              <w:right w:type="dxa" w:w="100"/>
            </w:tcMar>
            <w:vAlign w:val="center"/>
          </w:tcPr>
          <w:p>
            <w:pPr>
              <w:jc w:val="left"/>
            </w:pPr>
            <w:r>
              <w:rPr>
                <w:sz w:val="18"/>
                <w:szCs w:val="18"/>
              </w:rPr>
              <w:t xml:space="preserve">36</w:t>
            </w:r>
          </w:p>
        </w:tc>
      </w:tr>
    </w:tbl>
    <w:p>
      <w:pPr>
        <w:spacing w:after="200"/>
      </w:pPr>
      <w:r>
        <w:t xml:space="preserve">Northern district: the other ten counties whole, plus Kennebec’s remaining eighteen municipalities [S5].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shd w:fill="1a3a5c" w:val="clear"/>
            <w:tcMar>
              <w:top w:type="dxa" w:w="60"/>
              <w:left w:type="dxa" w:w="100"/>
              <w:bottom w:type="dxa" w:w="60"/>
              <w:right w:type="dxa" w:w="100"/>
            </w:tcMar>
            <w:vAlign w:val="center"/>
          </w:tcPr>
          <w:p>
            <w:pPr>
              <w:jc w:val="left"/>
            </w:pPr>
            <w:r>
              <w:rPr>
                <w:b/>
                <w:bCs/>
                <w:color w:val="FFFFFF"/>
                <w:sz w:val="18"/>
                <w:szCs w:val="18"/>
              </w:rPr>
              <w:t xml:space="preserve"/>
            </w:r>
          </w:p>
        </w:tc>
        <w:tc>
          <w:tcPr>
            <w:tcW w:type="dxa" w:w="3120"/>
            <w:shd w:fill="1a3a5c" w:val="clear"/>
            <w:tcMar>
              <w:top w:type="dxa" w:w="60"/>
              <w:left w:type="dxa" w:w="100"/>
              <w:bottom w:type="dxa" w:w="60"/>
              <w:right w:type="dxa" w:w="100"/>
            </w:tcMar>
            <w:vAlign w:val="center"/>
          </w:tcPr>
          <w:p>
            <w:pPr>
              <w:jc w:val="left"/>
            </w:pPr>
            <w:r>
              <w:rPr>
                <w:b/>
                <w:bCs/>
                <w:color w:val="FFFFFF"/>
                <w:sz w:val="18"/>
                <w:szCs w:val="18"/>
              </w:rPr>
              <w:t xml:space="preserve">Southern district</w:t>
            </w:r>
          </w:p>
        </w:tc>
        <w:tc>
          <w:tcPr>
            <w:tcW w:type="dxa" w:w="3120"/>
            <w:shd w:fill="1a3a5c" w:val="clear"/>
            <w:tcMar>
              <w:top w:type="dxa" w:w="60"/>
              <w:left w:type="dxa" w:w="100"/>
              <w:bottom w:type="dxa" w:w="60"/>
              <w:right w:type="dxa" w:w="100"/>
            </w:tcMar>
            <w:vAlign w:val="center"/>
          </w:tcPr>
          <w:p>
            <w:pPr>
              <w:jc w:val="left"/>
            </w:pPr>
            <w:r>
              <w:rPr>
                <w:b/>
                <w:bCs/>
                <w:color w:val="FFFFFF"/>
                <w:sz w:val="18"/>
                <w:szCs w:val="18"/>
              </w:rPr>
              <w:t xml:space="preserve">Northern district</w:t>
            </w:r>
          </w:p>
        </w:tc>
      </w:tr>
      <w:tr>
        <w:trPr>
          <w:cantSplit/>
        </w:trPr>
        <w:tc>
          <w:tcPr>
            <w:tcW w:type="dxa" w:w="3120"/>
            <w:tcMar>
              <w:top w:type="dxa" w:w="60"/>
              <w:left w:type="dxa" w:w="100"/>
              <w:bottom w:type="dxa" w:w="60"/>
              <w:right w:type="dxa" w:w="100"/>
            </w:tcMar>
            <w:vAlign w:val="center"/>
          </w:tcPr>
          <w:p>
            <w:pPr>
              <w:jc w:val="left"/>
            </w:pPr>
            <w:r>
              <w:rPr>
                <w:sz w:val="18"/>
                <w:szCs w:val="18"/>
              </w:rPr>
              <w:t xml:space="preserve">Population</w:t>
            </w:r>
          </w:p>
        </w:tc>
        <w:tc>
          <w:tcPr>
            <w:tcW w:type="dxa" w:w="3120"/>
            <w:tcMar>
              <w:top w:type="dxa" w:w="60"/>
              <w:left w:type="dxa" w:w="100"/>
              <w:bottom w:type="dxa" w:w="60"/>
              <w:right w:type="dxa" w:w="100"/>
            </w:tcMar>
            <w:vAlign w:val="center"/>
          </w:tcPr>
          <w:p>
            <w:pPr>
              <w:jc w:val="left"/>
            </w:pPr>
            <w:r>
              <w:rPr>
                <w:sz w:val="18"/>
                <w:szCs w:val="18"/>
              </w:rPr>
              <w:t xml:space="preserve">681,179 [S6]</w:t>
            </w:r>
          </w:p>
        </w:tc>
        <w:tc>
          <w:tcPr>
            <w:tcW w:type="dxa" w:w="3120"/>
            <w:tcMar>
              <w:top w:type="dxa" w:w="60"/>
              <w:left w:type="dxa" w:w="100"/>
              <w:bottom w:type="dxa" w:w="60"/>
              <w:right w:type="dxa" w:w="100"/>
            </w:tcMar>
            <w:vAlign w:val="center"/>
          </w:tcPr>
          <w:p>
            <w:pPr>
              <w:jc w:val="left"/>
            </w:pPr>
            <w:r>
              <w:rPr>
                <w:sz w:val="18"/>
                <w:szCs w:val="18"/>
              </w:rPr>
              <w:t xml:space="preserve">681,180 [S6]</w:t>
            </w:r>
          </w:p>
        </w:tc>
      </w:tr>
      <w:tr>
        <w:trPr>
          <w:cantSplit/>
        </w:trPr>
        <w:tc>
          <w:tcPr>
            <w:tcW w:type="dxa" w:w="3120"/>
            <w:shd w:fill="f7f9fb" w:val="clear"/>
            <w:tcMar>
              <w:top w:type="dxa" w:w="60"/>
              <w:left w:type="dxa" w:w="100"/>
              <w:bottom w:type="dxa" w:w="60"/>
              <w:right w:type="dxa" w:w="100"/>
            </w:tcMar>
            <w:vAlign w:val="center"/>
          </w:tcPr>
          <w:p>
            <w:pPr>
              <w:jc w:val="left"/>
            </w:pPr>
            <w:r>
              <w:rPr>
                <w:sz w:val="18"/>
                <w:szCs w:val="18"/>
              </w:rPr>
              <w:t xml:space="preserve">Kennebec County residents in this district</w:t>
            </w:r>
          </w:p>
        </w:tc>
        <w:tc>
          <w:tcPr>
            <w:tcW w:type="dxa" w:w="3120"/>
            <w:shd w:fill="f7f9fb" w:val="clear"/>
            <w:tcMar>
              <w:top w:type="dxa" w:w="60"/>
              <w:left w:type="dxa" w:w="100"/>
              <w:bottom w:type="dxa" w:w="60"/>
              <w:right w:type="dxa" w:w="100"/>
            </w:tcMar>
            <w:vAlign w:val="center"/>
          </w:tcPr>
          <w:p>
            <w:pPr>
              <w:jc w:val="left"/>
            </w:pPr>
            <w:r>
              <w:rPr>
                <w:sz w:val="18"/>
                <w:szCs w:val="18"/>
              </w:rPr>
              <w:t xml:space="preserve">53,595</w:t>
            </w:r>
          </w:p>
        </w:tc>
        <w:tc>
          <w:tcPr>
            <w:tcW w:type="dxa" w:w="3120"/>
            <w:shd w:fill="f7f9fb" w:val="clear"/>
            <w:tcMar>
              <w:top w:type="dxa" w:w="60"/>
              <w:left w:type="dxa" w:w="100"/>
              <w:bottom w:type="dxa" w:w="60"/>
              <w:right w:type="dxa" w:w="100"/>
            </w:tcMar>
            <w:vAlign w:val="center"/>
          </w:tcPr>
          <w:p>
            <w:pPr>
              <w:jc w:val="left"/>
            </w:pPr>
            <w:r>
              <w:rPr>
                <w:sz w:val="18"/>
                <w:szCs w:val="18"/>
              </w:rPr>
              <w:t xml:space="preserve">70,047</w:t>
            </w:r>
          </w:p>
        </w:tc>
      </w:tr>
      <w:tr>
        <w:trPr>
          <w:cantSplit/>
        </w:trPr>
        <w:tc>
          <w:tcPr>
            <w:tcW w:type="dxa" w:w="3120"/>
            <w:tcMar>
              <w:top w:type="dxa" w:w="60"/>
              <w:left w:type="dxa" w:w="100"/>
              <w:bottom w:type="dxa" w:w="60"/>
              <w:right w:type="dxa" w:w="100"/>
            </w:tcMar>
            <w:vAlign w:val="center"/>
          </w:tcPr>
          <w:p>
            <w:pPr>
              <w:jc w:val="left"/>
            </w:pPr>
            <w:r>
              <w:rPr>
                <w:sz w:val="18"/>
                <w:szCs w:val="18"/>
              </w:rPr>
              <w:t xml:space="preserve">Counties divided</w:t>
            </w:r>
          </w:p>
        </w:tc>
        <w:tc>
          <w:tcPr>
            <w:tcW w:type="dxa" w:w="3120"/>
            <w:tcMar>
              <w:top w:type="dxa" w:w="60"/>
              <w:left w:type="dxa" w:w="100"/>
              <w:bottom w:type="dxa" w:w="60"/>
              <w:right w:type="dxa" w:w="100"/>
            </w:tcMar>
            <w:vAlign w:val="center"/>
          </w:tcPr>
          <w:p>
            <w:pPr>
              <w:jc w:val="left"/>
            </w:pPr>
            <w:r>
              <w:rPr>
                <w:sz w:val="18"/>
                <w:szCs w:val="18"/>
              </w:rPr>
              <w:t xml:space="preserve">Kennebec</w:t>
            </w:r>
          </w:p>
        </w:tc>
        <w:tc>
          <w:tcPr>
            <w:tcW w:type="dxa" w:w="3120"/>
            <w:tcMar>
              <w:top w:type="dxa" w:w="60"/>
              <w:left w:type="dxa" w:w="100"/>
              <w:bottom w:type="dxa" w:w="60"/>
              <w:right w:type="dxa" w:w="100"/>
            </w:tcMar>
            <w:vAlign w:val="center"/>
          </w:tcPr>
          <w:p>
            <w:pPr>
              <w:jc w:val="left"/>
            </w:pPr>
            <w:r>
              <w:rPr>
                <w:sz w:val="18"/>
                <w:szCs w:val="18"/>
              </w:rPr>
              <w:t xml:space="preserve">Kennebec</w:t>
            </w:r>
          </w:p>
        </w:tc>
      </w:tr>
      <w:tr>
        <w:trPr>
          <w:cantSplit/>
        </w:trPr>
        <w:tc>
          <w:tcPr>
            <w:tcW w:type="dxa" w:w="3120"/>
            <w:shd w:fill="f7f9fb" w:val="clear"/>
            <w:tcMar>
              <w:top w:type="dxa" w:w="60"/>
              <w:left w:type="dxa" w:w="100"/>
              <w:bottom w:type="dxa" w:w="60"/>
              <w:right w:type="dxa" w:w="100"/>
            </w:tcMar>
            <w:vAlign w:val="center"/>
          </w:tcPr>
          <w:p>
            <w:pPr>
              <w:jc w:val="left"/>
            </w:pPr>
            <w:r>
              <w:rPr>
                <w:sz w:val="18"/>
                <w:szCs w:val="18"/>
              </w:rPr>
              <w:t xml:space="preserve">County-line crossings</w:t>
            </w:r>
          </w:p>
        </w:tc>
        <w:tc>
          <w:tcPr>
            <w:tcW w:type="dxa" w:w="3120"/>
            <w:shd w:fill="f7f9fb" w:val="clear"/>
            <w:tcMar>
              <w:top w:type="dxa" w:w="60"/>
              <w:left w:type="dxa" w:w="100"/>
              <w:bottom w:type="dxa" w:w="60"/>
              <w:right w:type="dxa" w:w="100"/>
            </w:tcMar>
            <w:vAlign w:val="center"/>
          </w:tcPr>
          <w:p>
            <w:pPr>
              <w:jc w:val="left"/>
            </w:pPr>
            <w:r>
              <w:rPr>
                <w:sz w:val="18"/>
                <w:szCs w:val="18"/>
              </w:rPr>
              <w:t xml:space="preserve">(a Hero computes this)</w:t>
            </w:r>
          </w:p>
        </w:tc>
        <w:tc>
          <w:tcPr>
            <w:tcW w:type="dxa" w:w="3120"/>
            <w:shd w:fill="f7f9fb" w:val="clear"/>
            <w:tcMar>
              <w:top w:type="dxa" w:w="60"/>
              <w:left w:type="dxa" w:w="100"/>
              <w:bottom w:type="dxa" w:w="60"/>
              <w:right w:type="dxa" w:w="100"/>
            </w:tcMar>
            <w:vAlign w:val="center"/>
          </w:tcPr>
          <w:p>
            <w:pPr>
              <w:jc w:val="left"/>
            </w:pPr>
            <w:r>
              <w:rPr>
                <w:sz w:val="18"/>
                <w:szCs w:val="18"/>
              </w:rPr>
              <w:t xml:space="preserve">(a Hero computes this)</w:t>
            </w:r>
          </w:p>
        </w:tc>
      </w:tr>
    </w:tbl>
    <w:p>
      <w:pPr>
        <w:spacing w:after="200"/>
      </w:pPr>
      <w:r>
        <w:rPr>
          <w:b/>
          <w:bCs/>
        </w:rPr>
        <w:t xml:space="preserve">The Hancock Line. </w:t>
      </w:r>
      <w:r>
        <w:t xml:space="preserve">Southern district: Cumberland, Hancock, Knox, Lincoln, Sagadahoc and York counties, whole. Northern district: the remaining ten counties, whole.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shd w:fill="1a3a5c" w:val="clear"/>
            <w:tcMar>
              <w:top w:type="dxa" w:w="60"/>
              <w:left w:type="dxa" w:w="100"/>
              <w:bottom w:type="dxa" w:w="60"/>
              <w:right w:type="dxa" w:w="100"/>
            </w:tcMar>
            <w:vAlign w:val="center"/>
          </w:tcPr>
          <w:p>
            <w:pPr>
              <w:jc w:val="left"/>
            </w:pPr>
            <w:r>
              <w:rPr>
                <w:b/>
                <w:bCs/>
                <w:color w:val="FFFFFF"/>
                <w:sz w:val="18"/>
                <w:szCs w:val="18"/>
              </w:rPr>
              <w:t xml:space="preserve"/>
            </w:r>
          </w:p>
        </w:tc>
        <w:tc>
          <w:tcPr>
            <w:tcW w:type="dxa" w:w="3120"/>
            <w:shd w:fill="1a3a5c" w:val="clear"/>
            <w:tcMar>
              <w:top w:type="dxa" w:w="60"/>
              <w:left w:type="dxa" w:w="100"/>
              <w:bottom w:type="dxa" w:w="60"/>
              <w:right w:type="dxa" w:w="100"/>
            </w:tcMar>
            <w:vAlign w:val="center"/>
          </w:tcPr>
          <w:p>
            <w:pPr>
              <w:jc w:val="left"/>
            </w:pPr>
            <w:r>
              <w:rPr>
                <w:b/>
                <w:bCs/>
                <w:color w:val="FFFFFF"/>
                <w:sz w:val="18"/>
                <w:szCs w:val="18"/>
              </w:rPr>
              <w:t xml:space="preserve">Southern district</w:t>
            </w:r>
          </w:p>
        </w:tc>
        <w:tc>
          <w:tcPr>
            <w:tcW w:type="dxa" w:w="3120"/>
            <w:shd w:fill="1a3a5c" w:val="clear"/>
            <w:tcMar>
              <w:top w:type="dxa" w:w="60"/>
              <w:left w:type="dxa" w:w="100"/>
              <w:bottom w:type="dxa" w:w="60"/>
              <w:right w:type="dxa" w:w="100"/>
            </w:tcMar>
            <w:vAlign w:val="center"/>
          </w:tcPr>
          <w:p>
            <w:pPr>
              <w:jc w:val="left"/>
            </w:pPr>
            <w:r>
              <w:rPr>
                <w:b/>
                <w:bCs/>
                <w:color w:val="FFFFFF"/>
                <w:sz w:val="18"/>
                <w:szCs w:val="18"/>
              </w:rPr>
              <w:t xml:space="preserve">Northern district</w:t>
            </w:r>
          </w:p>
        </w:tc>
      </w:tr>
      <w:tr>
        <w:trPr>
          <w:cantSplit/>
        </w:trPr>
        <w:tc>
          <w:tcPr>
            <w:tcW w:type="dxa" w:w="3120"/>
            <w:tcMar>
              <w:top w:type="dxa" w:w="60"/>
              <w:left w:type="dxa" w:w="100"/>
              <w:bottom w:type="dxa" w:w="60"/>
              <w:right w:type="dxa" w:w="100"/>
            </w:tcMar>
            <w:vAlign w:val="center"/>
          </w:tcPr>
          <w:p>
            <w:pPr>
              <w:jc w:val="left"/>
            </w:pPr>
            <w:r>
              <w:rPr>
                <w:sz w:val="18"/>
                <w:szCs w:val="18"/>
              </w:rPr>
              <w:t xml:space="preserve">Population</w:t>
            </w:r>
          </w:p>
        </w:tc>
        <w:tc>
          <w:tcPr>
            <w:tcW w:type="dxa" w:w="3120"/>
            <w:tcMar>
              <w:top w:type="dxa" w:w="60"/>
              <w:left w:type="dxa" w:w="100"/>
              <w:bottom w:type="dxa" w:w="60"/>
              <w:right w:type="dxa" w:w="100"/>
            </w:tcMar>
            <w:vAlign w:val="center"/>
          </w:tcPr>
          <w:p>
            <w:pPr>
              <w:jc w:val="left"/>
            </w:pPr>
            <w:r>
              <w:rPr>
                <w:sz w:val="18"/>
                <w:szCs w:val="18"/>
              </w:rPr>
              <w:t xml:space="preserve">683,062</w:t>
            </w:r>
          </w:p>
        </w:tc>
        <w:tc>
          <w:tcPr>
            <w:tcW w:type="dxa" w:w="3120"/>
            <w:tcMar>
              <w:top w:type="dxa" w:w="60"/>
              <w:left w:type="dxa" w:w="100"/>
              <w:bottom w:type="dxa" w:w="60"/>
              <w:right w:type="dxa" w:w="100"/>
            </w:tcMar>
            <w:vAlign w:val="center"/>
          </w:tcPr>
          <w:p>
            <w:pPr>
              <w:jc w:val="left"/>
            </w:pPr>
            <w:r>
              <w:rPr>
                <w:sz w:val="18"/>
                <w:szCs w:val="18"/>
              </w:rPr>
              <w:t xml:space="preserve">679,297</w:t>
            </w:r>
          </w:p>
        </w:tc>
      </w:tr>
      <w:tr>
        <w:trPr>
          <w:cantSplit/>
        </w:trPr>
        <w:tc>
          <w:tcPr>
            <w:tcW w:type="dxa" w:w="3120"/>
            <w:shd w:fill="f7f9fb" w:val="clear"/>
            <w:tcMar>
              <w:top w:type="dxa" w:w="60"/>
              <w:left w:type="dxa" w:w="100"/>
              <w:bottom w:type="dxa" w:w="60"/>
              <w:right w:type="dxa" w:w="100"/>
            </w:tcMar>
            <w:vAlign w:val="center"/>
          </w:tcPr>
          <w:p>
            <w:pPr>
              <w:jc w:val="left"/>
            </w:pPr>
            <w:r>
              <w:rPr>
                <w:sz w:val="18"/>
                <w:szCs w:val="18"/>
              </w:rPr>
              <w:t xml:space="preserve">Kennebec County residents in this district</w:t>
            </w:r>
          </w:p>
        </w:tc>
        <w:tc>
          <w:tcPr>
            <w:tcW w:type="dxa" w:w="3120"/>
            <w:shd w:fill="f7f9fb" w:val="clear"/>
            <w:tcMar>
              <w:top w:type="dxa" w:w="60"/>
              <w:left w:type="dxa" w:w="100"/>
              <w:bottom w:type="dxa" w:w="60"/>
              <w:right w:type="dxa" w:w="100"/>
            </w:tcMar>
            <w:vAlign w:val="center"/>
          </w:tcPr>
          <w:p>
            <w:pPr>
              <w:jc w:val="left"/>
            </w:pPr>
            <w:r>
              <w:rPr>
                <w:sz w:val="18"/>
                <w:szCs w:val="18"/>
              </w:rPr>
              <w:t xml:space="preserve">0</w:t>
            </w:r>
          </w:p>
        </w:tc>
        <w:tc>
          <w:tcPr>
            <w:tcW w:type="dxa" w:w="3120"/>
            <w:shd w:fill="f7f9fb" w:val="clear"/>
            <w:tcMar>
              <w:top w:type="dxa" w:w="60"/>
              <w:left w:type="dxa" w:w="100"/>
              <w:bottom w:type="dxa" w:w="60"/>
              <w:right w:type="dxa" w:w="100"/>
            </w:tcMar>
            <w:vAlign w:val="center"/>
          </w:tcPr>
          <w:p>
            <w:pPr>
              <w:jc w:val="left"/>
            </w:pPr>
            <w:r>
              <w:rPr>
                <w:sz w:val="18"/>
                <w:szCs w:val="18"/>
              </w:rPr>
              <w:t xml:space="preserve">123,642</w:t>
            </w:r>
          </w:p>
        </w:tc>
      </w:tr>
      <w:tr>
        <w:trPr>
          <w:cantSplit/>
        </w:trPr>
        <w:tc>
          <w:tcPr>
            <w:tcW w:type="dxa" w:w="3120"/>
            <w:tcMar>
              <w:top w:type="dxa" w:w="60"/>
              <w:left w:type="dxa" w:w="100"/>
              <w:bottom w:type="dxa" w:w="60"/>
              <w:right w:type="dxa" w:w="100"/>
            </w:tcMar>
            <w:vAlign w:val="center"/>
          </w:tcPr>
          <w:p>
            <w:pPr>
              <w:jc w:val="left"/>
            </w:pPr>
            <w:r>
              <w:rPr>
                <w:sz w:val="18"/>
                <w:szCs w:val="18"/>
              </w:rPr>
              <w:t xml:space="preserve">Counties divided</w:t>
            </w:r>
          </w:p>
        </w:tc>
        <w:tc>
          <w:tcPr>
            <w:tcW w:type="dxa" w:w="3120"/>
            <w:tcMar>
              <w:top w:type="dxa" w:w="60"/>
              <w:left w:type="dxa" w:w="100"/>
              <w:bottom w:type="dxa" w:w="60"/>
              <w:right w:type="dxa" w:w="100"/>
            </w:tcMar>
            <w:vAlign w:val="center"/>
          </w:tcPr>
          <w:p>
            <w:pPr>
              <w:jc w:val="left"/>
            </w:pPr>
            <w:r>
              <w:rPr>
                <w:sz w:val="18"/>
                <w:szCs w:val="18"/>
              </w:rPr>
              <w:t xml:space="preserve">none</w:t>
            </w:r>
          </w:p>
        </w:tc>
        <w:tc>
          <w:tcPr>
            <w:tcW w:type="dxa" w:w="3120"/>
            <w:tcMar>
              <w:top w:type="dxa" w:w="60"/>
              <w:left w:type="dxa" w:w="100"/>
              <w:bottom w:type="dxa" w:w="60"/>
              <w:right w:type="dxa" w:w="100"/>
            </w:tcMar>
            <w:vAlign w:val="center"/>
          </w:tcPr>
          <w:p>
            <w:pPr>
              <w:jc w:val="left"/>
            </w:pPr>
            <w:r>
              <w:rPr>
                <w:sz w:val="18"/>
                <w:szCs w:val="18"/>
              </w:rPr>
              <w:t xml:space="preserve">none</w:t>
            </w:r>
          </w:p>
        </w:tc>
      </w:tr>
      <w:tr>
        <w:trPr>
          <w:cantSplit/>
        </w:trPr>
        <w:tc>
          <w:tcPr>
            <w:tcW w:type="dxa" w:w="3120"/>
            <w:shd w:fill="f7f9fb" w:val="clear"/>
            <w:tcMar>
              <w:top w:type="dxa" w:w="60"/>
              <w:left w:type="dxa" w:w="100"/>
              <w:bottom w:type="dxa" w:w="60"/>
              <w:right w:type="dxa" w:w="100"/>
            </w:tcMar>
            <w:vAlign w:val="center"/>
          </w:tcPr>
          <w:p>
            <w:pPr>
              <w:jc w:val="left"/>
            </w:pPr>
            <w:r>
              <w:rPr>
                <w:sz w:val="18"/>
                <w:szCs w:val="18"/>
              </w:rPr>
              <w:t xml:space="preserve">County-line crossings</w:t>
            </w:r>
          </w:p>
        </w:tc>
        <w:tc>
          <w:tcPr>
            <w:tcW w:type="dxa" w:w="3120"/>
            <w:shd w:fill="f7f9fb" w:val="clear"/>
            <w:tcMar>
              <w:top w:type="dxa" w:w="60"/>
              <w:left w:type="dxa" w:w="100"/>
              <w:bottom w:type="dxa" w:w="60"/>
              <w:right w:type="dxa" w:w="100"/>
            </w:tcMar>
            <w:vAlign w:val="center"/>
          </w:tcPr>
          <w:p>
            <w:pPr>
              <w:jc w:val="left"/>
            </w:pPr>
            <w:r>
              <w:rPr>
                <w:sz w:val="18"/>
                <w:szCs w:val="18"/>
              </w:rPr>
              <w:t xml:space="preserve">(a Hero computes this)</w:t>
            </w:r>
          </w:p>
        </w:tc>
        <w:tc>
          <w:tcPr>
            <w:tcW w:type="dxa" w:w="3120"/>
            <w:shd w:fill="f7f9fb" w:val="clear"/>
            <w:tcMar>
              <w:top w:type="dxa" w:w="60"/>
              <w:left w:type="dxa" w:w="100"/>
              <w:bottom w:type="dxa" w:w="60"/>
              <w:right w:type="dxa" w:w="100"/>
            </w:tcMar>
            <w:vAlign w:val="center"/>
          </w:tcPr>
          <w:p>
            <w:pPr>
              <w:jc w:val="left"/>
            </w:pPr>
            <w:r>
              <w:rPr>
                <w:sz w:val="18"/>
                <w:szCs w:val="18"/>
              </w:rPr>
              <w:t xml:space="preserve">(a Hero computes this)</w:t>
            </w:r>
          </w:p>
        </w:tc>
      </w:tr>
    </w:tbl>
    <w:p>
      <w:pPr>
        <w:spacing w:after="160"/>
      </w:pPr>
      <w:r>
        <w:rPr>
          <w:i/>
          <w:iCs/>
        </w:rPr>
        <w:t xml:space="preserve">The Hancock Line’s two district populations are the sums of the Appendix A county counts and nothing else; check them, both columns, and check that the two add back to 1,362,359. The Hancock Line is </w:t>
      </w:r>
      <w:r>
        <w:rPr>
          <w:i/>
          <w:iCs/>
        </w:rPr>
        <w:t xml:space="preserve">not</w:t>
      </w:r>
      <w:r>
        <w:rPr>
          <w:i/>
          <w:iCs/>
        </w:rPr>
        <w:t xml:space="preserve"> a plan anybody filed. It is built here from the same public data as the enacted plan, and this case makes no claim that it was ever formally proposed to the commission.</w:t>
      </w:r>
    </w:p>
    <w:p>
      <w:pPr>
        <w:pStyle w:val="Heading1"/>
        <w:spacing w:after="140" w:before="280"/>
      </w:pPr>
      <w:r>
        <w:rPr>
          <w:b/>
          <w:bCs/>
          <w:color w:val="1a3a5c"/>
          <w:sz w:val="30"/>
          <w:szCs w:val="30"/>
        </w:rPr>
        <w:t xml:space="preserve">Appendix D — The Staff Shortlist: One-County Add-Ons</w:t>
      </w:r>
    </w:p>
    <w:p>
      <w:pPr>
        <w:spacing w:after="160"/>
      </w:pPr>
      <w:r>
        <w:t xml:space="preserve">Every county that shares a border with the five-county southern core, and what the southern district would hold if that one whole county were added to it. All populations from Appendix A; all borders from Appendix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shd w:fill="1a3a5c" w:val="clear"/>
            <w:tcMar>
              <w:top w:type="dxa" w:w="60"/>
              <w:left w:type="dxa" w:w="100"/>
              <w:bottom w:type="dxa" w:w="60"/>
              <w:right w:type="dxa" w:w="100"/>
            </w:tcMar>
            <w:vAlign w:val="center"/>
          </w:tcPr>
          <w:p>
            <w:pPr>
              <w:jc w:val="left"/>
            </w:pPr>
            <w:r>
              <w:rPr>
                <w:b/>
                <w:bCs/>
                <w:color w:val="FFFFFF"/>
                <w:sz w:val="18"/>
                <w:szCs w:val="18"/>
              </w:rPr>
              <w:t xml:space="preserve">County added</w:t>
            </w:r>
          </w:p>
        </w:tc>
        <w:tc>
          <w:tcPr>
            <w:tcW w:type="dxa" w:w="3120"/>
            <w:shd w:fill="1a3a5c" w:val="clear"/>
            <w:tcMar>
              <w:top w:type="dxa" w:w="60"/>
              <w:left w:type="dxa" w:w="100"/>
              <w:bottom w:type="dxa" w:w="60"/>
              <w:right w:type="dxa" w:w="100"/>
            </w:tcMar>
            <w:vAlign w:val="center"/>
          </w:tcPr>
          <w:p>
            <w:pPr>
              <w:jc w:val="left"/>
            </w:pPr>
            <w:r>
              <w:rPr>
                <w:b/>
                <w:bCs/>
                <w:color w:val="FFFFFF"/>
                <w:sz w:val="18"/>
                <w:szCs w:val="18"/>
              </w:rPr>
              <w:t xml:space="preserve">Southern district</w:t>
            </w:r>
          </w:p>
        </w:tc>
        <w:tc>
          <w:tcPr>
            <w:tcW w:type="dxa" w:w="3120"/>
            <w:shd w:fill="1a3a5c" w:val="clear"/>
            <w:tcMar>
              <w:top w:type="dxa" w:w="60"/>
              <w:left w:type="dxa" w:w="100"/>
              <w:bottom w:type="dxa" w:w="60"/>
              <w:right w:type="dxa" w:w="100"/>
            </w:tcMar>
            <w:vAlign w:val="center"/>
          </w:tcPr>
          <w:p>
            <w:pPr>
              <w:jc w:val="left"/>
            </w:pPr>
            <w:r>
              <w:rPr>
                <w:b/>
                <w:bCs/>
                <w:color w:val="FFFFFF"/>
                <w:sz w:val="18"/>
                <w:szCs w:val="18"/>
              </w:rPr>
              <w:t xml:space="preserve">Northern district</w:t>
            </w:r>
          </w:p>
        </w:tc>
      </w:tr>
      <w:tr>
        <w:trPr>
          <w:cantSplit/>
        </w:trPr>
        <w:tc>
          <w:tcPr>
            <w:tcW w:type="dxa" w:w="3120"/>
            <w:tcMar>
              <w:top w:type="dxa" w:w="60"/>
              <w:left w:type="dxa" w:w="100"/>
              <w:bottom w:type="dxa" w:w="60"/>
              <w:right w:type="dxa" w:w="100"/>
            </w:tcMar>
            <w:vAlign w:val="center"/>
          </w:tcPr>
          <w:p>
            <w:pPr>
              <w:jc w:val="left"/>
            </w:pPr>
            <w:r>
              <w:rPr>
                <w:sz w:val="18"/>
                <w:szCs w:val="18"/>
              </w:rPr>
              <w:t xml:space="preserve">Androscoggin</w:t>
            </w:r>
          </w:p>
        </w:tc>
        <w:tc>
          <w:tcPr>
            <w:tcW w:type="dxa" w:w="3120"/>
            <w:tcMar>
              <w:top w:type="dxa" w:w="60"/>
              <w:left w:type="dxa" w:w="100"/>
              <w:bottom w:type="dxa" w:w="60"/>
              <w:right w:type="dxa" w:w="100"/>
            </w:tcMar>
            <w:vAlign w:val="center"/>
          </w:tcPr>
          <w:p>
            <w:pPr>
              <w:jc w:val="left"/>
            </w:pPr>
            <w:r>
              <w:rPr>
                <w:sz w:val="18"/>
                <w:szCs w:val="18"/>
              </w:rPr>
              <w:t xml:space="preserve">738,723</w:t>
            </w:r>
          </w:p>
        </w:tc>
        <w:tc>
          <w:tcPr>
            <w:tcW w:type="dxa" w:w="3120"/>
            <w:tcMar>
              <w:top w:type="dxa" w:w="60"/>
              <w:left w:type="dxa" w:w="100"/>
              <w:bottom w:type="dxa" w:w="60"/>
              <w:right w:type="dxa" w:w="100"/>
            </w:tcMar>
            <w:vAlign w:val="center"/>
          </w:tcPr>
          <w:p>
            <w:pPr>
              <w:jc w:val="left"/>
            </w:pPr>
            <w:r>
              <w:rPr>
                <w:sz w:val="18"/>
                <w:szCs w:val="18"/>
              </w:rPr>
              <w:t xml:space="preserve">623,636</w:t>
            </w:r>
          </w:p>
        </w:tc>
      </w:tr>
      <w:tr>
        <w:trPr>
          <w:cantSplit/>
        </w:trPr>
        <w:tc>
          <w:tcPr>
            <w:tcW w:type="dxa" w:w="3120"/>
            <w:shd w:fill="f7f9fb" w:val="clear"/>
            <w:tcMar>
              <w:top w:type="dxa" w:w="60"/>
              <w:left w:type="dxa" w:w="100"/>
              <w:bottom w:type="dxa" w:w="60"/>
              <w:right w:type="dxa" w:w="100"/>
            </w:tcMar>
            <w:vAlign w:val="center"/>
          </w:tcPr>
          <w:p>
            <w:pPr>
              <w:jc w:val="left"/>
            </w:pPr>
            <w:r>
              <w:rPr>
                <w:sz w:val="18"/>
                <w:szCs w:val="18"/>
              </w:rPr>
              <w:t xml:space="preserve">Hancock</w:t>
            </w:r>
          </w:p>
        </w:tc>
        <w:tc>
          <w:tcPr>
            <w:tcW w:type="dxa" w:w="3120"/>
            <w:shd w:fill="f7f9fb" w:val="clear"/>
            <w:tcMar>
              <w:top w:type="dxa" w:w="60"/>
              <w:left w:type="dxa" w:w="100"/>
              <w:bottom w:type="dxa" w:w="60"/>
              <w:right w:type="dxa" w:w="100"/>
            </w:tcMar>
            <w:vAlign w:val="center"/>
          </w:tcPr>
          <w:p>
            <w:pPr>
              <w:jc w:val="left"/>
            </w:pPr>
            <w:r>
              <w:rPr>
                <w:sz w:val="18"/>
                <w:szCs w:val="18"/>
              </w:rPr>
              <w:t xml:space="preserve">683,062</w:t>
            </w:r>
          </w:p>
        </w:tc>
        <w:tc>
          <w:tcPr>
            <w:tcW w:type="dxa" w:w="3120"/>
            <w:shd w:fill="f7f9fb" w:val="clear"/>
            <w:tcMar>
              <w:top w:type="dxa" w:w="60"/>
              <w:left w:type="dxa" w:w="100"/>
              <w:bottom w:type="dxa" w:w="60"/>
              <w:right w:type="dxa" w:w="100"/>
            </w:tcMar>
            <w:vAlign w:val="center"/>
          </w:tcPr>
          <w:p>
            <w:pPr>
              <w:jc w:val="left"/>
            </w:pPr>
            <w:r>
              <w:rPr>
                <w:sz w:val="18"/>
                <w:szCs w:val="18"/>
              </w:rPr>
              <w:t xml:space="preserve">679,297</w:t>
            </w:r>
          </w:p>
        </w:tc>
      </w:tr>
      <w:tr>
        <w:trPr>
          <w:cantSplit/>
        </w:trPr>
        <w:tc>
          <w:tcPr>
            <w:tcW w:type="dxa" w:w="3120"/>
            <w:tcMar>
              <w:top w:type="dxa" w:w="60"/>
              <w:left w:type="dxa" w:w="100"/>
              <w:bottom w:type="dxa" w:w="60"/>
              <w:right w:type="dxa" w:w="100"/>
            </w:tcMar>
            <w:vAlign w:val="center"/>
          </w:tcPr>
          <w:p>
            <w:pPr>
              <w:jc w:val="left"/>
            </w:pPr>
            <w:r>
              <w:rPr>
                <w:sz w:val="18"/>
                <w:szCs w:val="18"/>
              </w:rPr>
              <w:t xml:space="preserve">Kennebec (whole)</w:t>
            </w:r>
          </w:p>
        </w:tc>
        <w:tc>
          <w:tcPr>
            <w:tcW w:type="dxa" w:w="3120"/>
            <w:tcMar>
              <w:top w:type="dxa" w:w="60"/>
              <w:left w:type="dxa" w:w="100"/>
              <w:bottom w:type="dxa" w:w="60"/>
              <w:right w:type="dxa" w:w="100"/>
            </w:tcMar>
            <w:vAlign w:val="center"/>
          </w:tcPr>
          <w:p>
            <w:pPr>
              <w:jc w:val="left"/>
            </w:pPr>
            <w:r>
              <w:rPr>
                <w:sz w:val="18"/>
                <w:szCs w:val="18"/>
              </w:rPr>
              <w:t xml:space="preserve">751,226</w:t>
            </w:r>
          </w:p>
        </w:tc>
        <w:tc>
          <w:tcPr>
            <w:tcW w:type="dxa" w:w="3120"/>
            <w:tcMar>
              <w:top w:type="dxa" w:w="60"/>
              <w:left w:type="dxa" w:w="100"/>
              <w:bottom w:type="dxa" w:w="60"/>
              <w:right w:type="dxa" w:w="100"/>
            </w:tcMar>
            <w:vAlign w:val="center"/>
          </w:tcPr>
          <w:p>
            <w:pPr>
              <w:jc w:val="left"/>
            </w:pPr>
            <w:r>
              <w:rPr>
                <w:sz w:val="18"/>
                <w:szCs w:val="18"/>
              </w:rPr>
              <w:t xml:space="preserve">611,133</w:t>
            </w:r>
          </w:p>
        </w:tc>
      </w:tr>
      <w:tr>
        <w:trPr>
          <w:cantSplit/>
        </w:trPr>
        <w:tc>
          <w:tcPr>
            <w:tcW w:type="dxa" w:w="3120"/>
            <w:shd w:fill="f7f9fb" w:val="clear"/>
            <w:tcMar>
              <w:top w:type="dxa" w:w="60"/>
              <w:left w:type="dxa" w:w="100"/>
              <w:bottom w:type="dxa" w:w="60"/>
              <w:right w:type="dxa" w:w="100"/>
            </w:tcMar>
            <w:vAlign w:val="center"/>
          </w:tcPr>
          <w:p>
            <w:pPr>
              <w:jc w:val="left"/>
            </w:pPr>
            <w:r>
              <w:rPr>
                <w:sz w:val="18"/>
                <w:szCs w:val="18"/>
              </w:rPr>
              <w:t xml:space="preserve">Oxford</w:t>
            </w:r>
          </w:p>
        </w:tc>
        <w:tc>
          <w:tcPr>
            <w:tcW w:type="dxa" w:w="3120"/>
            <w:shd w:fill="f7f9fb" w:val="clear"/>
            <w:tcMar>
              <w:top w:type="dxa" w:w="60"/>
              <w:left w:type="dxa" w:w="100"/>
              <w:bottom w:type="dxa" w:w="60"/>
              <w:right w:type="dxa" w:w="100"/>
            </w:tcMar>
            <w:vAlign w:val="center"/>
          </w:tcPr>
          <w:p>
            <w:pPr>
              <w:jc w:val="left"/>
            </w:pPr>
            <w:r>
              <w:rPr>
                <w:sz w:val="18"/>
                <w:szCs w:val="18"/>
              </w:rPr>
              <w:t xml:space="preserve">685,361</w:t>
            </w:r>
          </w:p>
        </w:tc>
        <w:tc>
          <w:tcPr>
            <w:tcW w:type="dxa" w:w="3120"/>
            <w:shd w:fill="f7f9fb" w:val="clear"/>
            <w:tcMar>
              <w:top w:type="dxa" w:w="60"/>
              <w:left w:type="dxa" w:w="100"/>
              <w:bottom w:type="dxa" w:w="60"/>
              <w:right w:type="dxa" w:w="100"/>
            </w:tcMar>
            <w:vAlign w:val="center"/>
          </w:tcPr>
          <w:p>
            <w:pPr>
              <w:jc w:val="left"/>
            </w:pPr>
            <w:r>
              <w:rPr>
                <w:sz w:val="18"/>
                <w:szCs w:val="18"/>
              </w:rPr>
              <w:t xml:space="preserve">676,998</w:t>
            </w:r>
          </w:p>
        </w:tc>
      </w:tr>
      <w:tr>
        <w:trPr>
          <w:cantSplit/>
        </w:trPr>
        <w:tc>
          <w:tcPr>
            <w:tcW w:type="dxa" w:w="3120"/>
            <w:tcMar>
              <w:top w:type="dxa" w:w="60"/>
              <w:left w:type="dxa" w:w="100"/>
              <w:bottom w:type="dxa" w:w="60"/>
              <w:right w:type="dxa" w:w="100"/>
            </w:tcMar>
            <w:vAlign w:val="center"/>
          </w:tcPr>
          <w:p>
            <w:pPr>
              <w:jc w:val="left"/>
            </w:pPr>
            <w:r>
              <w:rPr>
                <w:sz w:val="18"/>
                <w:szCs w:val="18"/>
              </w:rPr>
              <w:t xml:space="preserve">Waldo</w:t>
            </w:r>
          </w:p>
        </w:tc>
        <w:tc>
          <w:tcPr>
            <w:tcW w:type="dxa" w:w="3120"/>
            <w:tcMar>
              <w:top w:type="dxa" w:w="60"/>
              <w:left w:type="dxa" w:w="100"/>
              <w:bottom w:type="dxa" w:w="60"/>
              <w:right w:type="dxa" w:w="100"/>
            </w:tcMar>
            <w:vAlign w:val="center"/>
          </w:tcPr>
          <w:p>
            <w:pPr>
              <w:jc w:val="left"/>
            </w:pPr>
            <w:r>
              <w:rPr>
                <w:sz w:val="18"/>
                <w:szCs w:val="18"/>
              </w:rPr>
              <w:t xml:space="preserve">667,191</w:t>
            </w:r>
          </w:p>
        </w:tc>
        <w:tc>
          <w:tcPr>
            <w:tcW w:type="dxa" w:w="3120"/>
            <w:tcMar>
              <w:top w:type="dxa" w:w="60"/>
              <w:left w:type="dxa" w:w="100"/>
              <w:bottom w:type="dxa" w:w="60"/>
              <w:right w:type="dxa" w:w="100"/>
            </w:tcMar>
            <w:vAlign w:val="center"/>
          </w:tcPr>
          <w:p>
            <w:pPr>
              <w:jc w:val="left"/>
            </w:pPr>
            <w:r>
              <w:rPr>
                <w:sz w:val="18"/>
                <w:szCs w:val="18"/>
              </w:rPr>
              <w:t xml:space="preserve">695,168</w:t>
            </w:r>
          </w:p>
        </w:tc>
      </w:tr>
    </w:tbl>
    <w:p>
      <w:pPr>
        <w:spacing w:after="160"/>
      </w:pPr>
      <w:r>
        <w:rPr>
          <w:i/>
          <w:iCs/>
        </w:rPr>
        <w:t xml:space="preserve">Deviations and crossings are not printed here. Both are yours to compute, and the shortlist rule in Appendix H MA3 says which column decided it. One of these five rows is on the table as Option B and four are not; work out which, and whether you would have chosen the same one.</w:t>
      </w:r>
    </w:p>
    <w:p>
      <w:pPr>
        <w:pStyle w:val="Heading1"/>
        <w:spacing w:after="140" w:before="280"/>
      </w:pPr>
      <w:r>
        <w:rPr>
          <w:b/>
          <w:bCs/>
          <w:color w:val="1a3a5c"/>
          <w:sz w:val="30"/>
          <w:szCs w:val="30"/>
        </w:rPr>
        <w:t xml:space="preserve">Appendix E — What the Courts Have Said About Population Equality</w:t>
      </w:r>
    </w:p>
    <w:p>
      <w:pPr>
        <w:spacing w:after="160"/>
      </w:pPr>
      <w:r>
        <w:t xml:space="preserve">The standard for congressional districts is not a fixed percentage, and reasonable lawyers disagree about where the line sits. Two Supreme Court decisions are usually cited against each other, and this case does not pretend they point the same way:</w:t>
      </w:r>
    </w:p>
    <w:p>
      <w:pPr>
        <w:spacing w:after="160"/>
      </w:pPr>
      <w:r>
        <w:rPr>
          <w:b/>
          <w:bCs/>
        </w:rPr>
        <w:t xml:space="preserve">How both percentages below are computed, so that yours can be compared to them. </w:t>
      </w:r>
      <w:r>
        <w:t xml:space="preserve">Each is a </w:t>
      </w:r>
      <w:r>
        <w:rPr>
          <w:b/>
          <w:bCs/>
        </w:rPr>
        <w:t xml:space="preserve">maximum deviation</w:t>
      </w:r>
      <w:r>
        <w:t xml:space="preserve">: the largest district minus the smallest district, divided by the average (ideal) district. It is not the distance from one district to the ideal, which for a two-district state is exactly half as large. Karcher’s 3,674 is 527,472 − 523,798, and dividing that by the average New Jersey district is the 0.6984% below. Score your plans the same way or the comparison means nothing — and say which of the two figures you are quoting every time you quote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460"/>
        <w:gridCol w:w="2800"/>
      </w:tblGrid>
      <w:tr>
        <w:trPr>
          <w:cantSplit/>
          <w:tblHeader/>
        </w:trPr>
        <w:tc>
          <w:tcPr>
            <w:tcW w:type="dxa" w:w="2600"/>
            <w:shd w:fill="1a3a5c" w:val="clear"/>
            <w:tcMar>
              <w:top w:type="dxa" w:w="60"/>
              <w:left w:type="dxa" w:w="100"/>
              <w:bottom w:type="dxa" w:w="60"/>
              <w:right w:type="dxa" w:w="100"/>
            </w:tcMar>
            <w:vAlign w:val="center"/>
          </w:tcPr>
          <w:p>
            <w:pPr>
              <w:jc w:val="left"/>
            </w:pPr>
            <w:r>
              <w:rPr>
                <w:b/>
                <w:bCs/>
                <w:color w:val="FFFFFF"/>
                <w:sz w:val="18"/>
                <w:szCs w:val="18"/>
              </w:rPr>
              <w:t xml:space="preserve">Case</w:t>
            </w:r>
          </w:p>
        </w:tc>
        <w:tc>
          <w:tcPr>
            <w:tcW w:type="dxa" w:w="2500"/>
            <w:shd w:fill="1a3a5c" w:val="clear"/>
            <w:tcMar>
              <w:top w:type="dxa" w:w="60"/>
              <w:left w:type="dxa" w:w="100"/>
              <w:bottom w:type="dxa" w:w="60"/>
              <w:right w:type="dxa" w:w="100"/>
            </w:tcMar>
            <w:vAlign w:val="center"/>
          </w:tcPr>
          <w:p>
            <w:pPr>
              <w:jc w:val="left"/>
            </w:pPr>
            <w:r>
              <w:rPr>
                <w:b/>
                <w:bCs/>
                <w:color w:val="FFFFFF"/>
                <w:sz w:val="18"/>
                <w:szCs w:val="18"/>
              </w:rPr>
              <w:t xml:space="preserve">Deviation</w:t>
            </w:r>
          </w:p>
        </w:tc>
        <w:tc>
          <w:tcPr>
            <w:tcW w:type="dxa" w:w="1460"/>
            <w:shd w:fill="1a3a5c" w:val="clear"/>
            <w:tcMar>
              <w:top w:type="dxa" w:w="60"/>
              <w:left w:type="dxa" w:w="100"/>
              <w:bottom w:type="dxa" w:w="60"/>
              <w:right w:type="dxa" w:w="100"/>
            </w:tcMar>
            <w:vAlign w:val="center"/>
          </w:tcPr>
          <w:p>
            <w:pPr>
              <w:jc w:val="left"/>
            </w:pPr>
            <w:r>
              <w:rPr>
                <w:b/>
                <w:bCs/>
                <w:color w:val="FFFFFF"/>
                <w:sz w:val="18"/>
                <w:szCs w:val="18"/>
              </w:rPr>
              <w:t xml:space="preserve">Percent</w:t>
            </w:r>
          </w:p>
        </w:tc>
        <w:tc>
          <w:tcPr>
            <w:tcW w:type="dxa" w:w="2800"/>
            <w:shd w:fill="1a3a5c" w:val="clear"/>
            <w:tcMar>
              <w:top w:type="dxa" w:w="60"/>
              <w:left w:type="dxa" w:w="100"/>
              <w:bottom w:type="dxa" w:w="60"/>
              <w:right w:type="dxa" w:w="100"/>
            </w:tcMar>
            <w:vAlign w:val="center"/>
          </w:tcPr>
          <w:p>
            <w:pPr>
              <w:jc w:val="left"/>
            </w:pPr>
            <w:r>
              <w:rPr>
                <w:b/>
                <w:bCs/>
                <w:color w:val="FFFFFF"/>
                <w:sz w:val="18"/>
                <w:szCs w:val="18"/>
              </w:rPr>
              <w:t xml:space="preserve">Holding</w:t>
            </w:r>
          </w:p>
        </w:tc>
      </w:tr>
      <w:tr>
        <w:trPr>
          <w:cantSplit/>
        </w:trPr>
        <w:tc>
          <w:tcPr>
            <w:tcW w:type="dxa" w:w="2600"/>
            <w:tcMar>
              <w:top w:type="dxa" w:w="60"/>
              <w:left w:type="dxa" w:w="100"/>
              <w:bottom w:type="dxa" w:w="60"/>
              <w:right w:type="dxa" w:w="100"/>
            </w:tcMar>
            <w:vAlign w:val="center"/>
          </w:tcPr>
          <w:p>
            <w:pPr>
              <w:jc w:val="left"/>
            </w:pPr>
            <w:r>
              <w:rPr>
                <w:sz w:val="18"/>
                <w:szCs w:val="18"/>
              </w:rPr>
              <w:t xml:space="preserve">Karcher v. Daggett (1983) [S8]</w:t>
            </w:r>
          </w:p>
        </w:tc>
        <w:tc>
          <w:tcPr>
            <w:tcW w:type="dxa" w:w="2500"/>
            <w:tcMar>
              <w:top w:type="dxa" w:w="60"/>
              <w:left w:type="dxa" w:w="100"/>
              <w:bottom w:type="dxa" w:w="60"/>
              <w:right w:type="dxa" w:w="100"/>
            </w:tcMar>
            <w:vAlign w:val="center"/>
          </w:tcPr>
          <w:p>
            <w:pPr>
              <w:jc w:val="left"/>
            </w:pPr>
            <w:r>
              <w:rPr>
                <w:sz w:val="18"/>
                <w:szCs w:val="18"/>
              </w:rPr>
              <w:t xml:space="preserve">3,674 people (527,472 vs. 523,798)</w:t>
            </w:r>
          </w:p>
        </w:tc>
        <w:tc>
          <w:tcPr>
            <w:tcW w:type="dxa" w:w="1460"/>
            <w:tcMar>
              <w:top w:type="dxa" w:w="60"/>
              <w:left w:type="dxa" w:w="100"/>
              <w:bottom w:type="dxa" w:w="60"/>
              <w:right w:type="dxa" w:w="100"/>
            </w:tcMar>
            <w:vAlign w:val="center"/>
          </w:tcPr>
          <w:p>
            <w:pPr>
              <w:jc w:val="left"/>
            </w:pPr>
            <w:r>
              <w:rPr>
                <w:sz w:val="18"/>
                <w:szCs w:val="18"/>
              </w:rPr>
              <w:t xml:space="preserve">0.6984%</w:t>
            </w:r>
          </w:p>
        </w:tc>
        <w:tc>
          <w:tcPr>
            <w:tcW w:type="dxa" w:w="2800"/>
            <w:tcMar>
              <w:top w:type="dxa" w:w="60"/>
              <w:left w:type="dxa" w:w="100"/>
              <w:bottom w:type="dxa" w:w="60"/>
              <w:right w:type="dxa" w:w="100"/>
            </w:tcMar>
            <w:vAlign w:val="center"/>
          </w:tcPr>
          <w:p>
            <w:pPr>
              <w:jc w:val="left"/>
            </w:pPr>
            <w:r>
              <w:rPr>
                <w:sz w:val="18"/>
                <w:szCs w:val="18"/>
              </w:rPr>
              <w:t xml:space="preserve">Struck down — “there are no de minimis population variations… without justification.”</w:t>
            </w:r>
          </w:p>
        </w:tc>
      </w:tr>
      <w:tr>
        <w:trPr>
          <w:cantSplit/>
        </w:trPr>
        <w:tc>
          <w:tcPr>
            <w:tcW w:type="dxa" w:w="2600"/>
            <w:shd w:fill="f7f9fb" w:val="clear"/>
            <w:tcMar>
              <w:top w:type="dxa" w:w="60"/>
              <w:left w:type="dxa" w:w="100"/>
              <w:bottom w:type="dxa" w:w="60"/>
              <w:right w:type="dxa" w:w="100"/>
            </w:tcMar>
            <w:vAlign w:val="center"/>
          </w:tcPr>
          <w:p>
            <w:pPr>
              <w:jc w:val="left"/>
            </w:pPr>
            <w:r>
              <w:rPr>
                <w:sz w:val="18"/>
                <w:szCs w:val="18"/>
              </w:rPr>
              <w:t xml:space="preserve">Tennant v. Jefferson County Comm’n (2012) [S9]</w:t>
            </w:r>
          </w:p>
        </w:tc>
        <w:tc>
          <w:tcPr>
            <w:tcW w:type="dxa" w:w="2500"/>
            <w:shd w:fill="f7f9fb" w:val="clear"/>
            <w:tcMar>
              <w:top w:type="dxa" w:w="60"/>
              <w:left w:type="dxa" w:w="100"/>
              <w:bottom w:type="dxa" w:w="60"/>
              <w:right w:type="dxa" w:w="100"/>
            </w:tcMar>
            <w:vAlign w:val="center"/>
          </w:tcPr>
          <w:p>
            <w:pPr>
              <w:jc w:val="left"/>
            </w:pPr>
            <w:r>
              <w:rPr>
                <w:sz w:val="18"/>
                <w:szCs w:val="18"/>
              </w:rPr>
              <w:t xml:space="preserve">4,871 people</w:t>
            </w:r>
          </w:p>
        </w:tc>
        <w:tc>
          <w:tcPr>
            <w:tcW w:type="dxa" w:w="1460"/>
            <w:shd w:fill="f7f9fb" w:val="clear"/>
            <w:tcMar>
              <w:top w:type="dxa" w:w="60"/>
              <w:left w:type="dxa" w:w="100"/>
              <w:bottom w:type="dxa" w:w="60"/>
              <w:right w:type="dxa" w:w="100"/>
            </w:tcMar>
            <w:vAlign w:val="center"/>
          </w:tcPr>
          <w:p>
            <w:pPr>
              <w:jc w:val="left"/>
            </w:pPr>
            <w:r>
              <w:rPr>
                <w:sz w:val="18"/>
                <w:szCs w:val="18"/>
              </w:rPr>
              <w:t xml:space="preserve">0.79%</w:t>
            </w:r>
          </w:p>
        </w:tc>
        <w:tc>
          <w:tcPr>
            <w:tcW w:type="dxa" w:w="2800"/>
            <w:shd w:fill="f7f9fb" w:val="clear"/>
            <w:tcMar>
              <w:top w:type="dxa" w:w="60"/>
              <w:left w:type="dxa" w:w="100"/>
              <w:bottom w:type="dxa" w:w="60"/>
              <w:right w:type="dxa" w:w="100"/>
            </w:tcMar>
            <w:vAlign w:val="center"/>
          </w:tcPr>
          <w:p>
            <w:pPr>
              <w:jc w:val="left"/>
            </w:pPr>
            <w:r>
              <w:rPr>
                <w:sz w:val="18"/>
                <w:szCs w:val="18"/>
              </w:rPr>
              <w:t xml:space="preserve">Upheld — “avoiding contests between incumbents and not splitting political subdivisions are valid, neutral state districting policies.” WV had never divided a county between congressional districts.</w:t>
            </w:r>
          </w:p>
        </w:tc>
      </w:tr>
    </w:tbl>
    <w:p>
      <w:pPr>
        <w:spacing w:after="160"/>
      </w:pPr>
      <w:r>
        <w:t xml:space="preserve">Karcher says a small deviation still has to be justified. Tennant says keeping counties whole is the kind of thing that can justify one. Which case governs a given plan is exactly the argument Margo’s memo has to win — and how far past 0.79% a court would still go is not settled by either opinion.</w:t>
      </w:r>
    </w:p>
    <w:p>
      <w:pPr>
        <w:pStyle w:val="Heading1"/>
        <w:spacing w:after="140" w:before="280"/>
      </w:pPr>
      <w:r>
        <w:rPr>
          <w:b/>
          <w:bCs/>
          <w:color w:val="1a3a5c"/>
          <w:sz w:val="30"/>
          <w:szCs w:val="30"/>
        </w:rPr>
        <w:t xml:space="preserve">Appendix F — The Screening Count</w:t>
      </w:r>
    </w:p>
    <w:p>
      <w:pPr>
        <w:spacing w:after="160"/>
      </w:pPr>
      <w:r>
        <w:t xml:space="preserve">The commission’s screening tool reports two numbers about the space of whole-county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cantSplit/>
          <w:tblHeader/>
        </w:trPr>
        <w:tc>
          <w:tcPr>
            <w:tcW w:type="dxa" w:w="6360"/>
            <w:shd w:fill="1a3a5c" w:val="clear"/>
            <w:tcMar>
              <w:top w:type="dxa" w:w="60"/>
              <w:left w:type="dxa" w:w="100"/>
              <w:bottom w:type="dxa" w:w="60"/>
              <w:right w:type="dxa" w:w="100"/>
            </w:tcMar>
            <w:vAlign w:val="center"/>
          </w:tcPr>
          <w:p>
            <w:pPr>
              <w:jc w:val="left"/>
            </w:pPr>
            <w:r>
              <w:rPr>
                <w:b/>
                <w:bCs/>
                <w:color w:val="FFFFFF"/>
                <w:sz w:val="18"/>
                <w:szCs w:val="18"/>
              </w:rPr>
              <w:t xml:space="preserve"/>
            </w:r>
          </w:p>
        </w:tc>
        <w:tc>
          <w:tcPr>
            <w:tcW w:type="dxa" w:w="3000"/>
            <w:shd w:fill="1a3a5c" w:val="clear"/>
            <w:tcMar>
              <w:top w:type="dxa" w:w="60"/>
              <w:left w:type="dxa" w:w="100"/>
              <w:bottom w:type="dxa" w:w="60"/>
              <w:right w:type="dxa" w:w="100"/>
            </w:tcMar>
            <w:vAlign w:val="center"/>
          </w:tcPr>
          <w:p>
            <w:pPr>
              <w:jc w:val="left"/>
            </w:pPr>
            <w:r>
              <w:rPr>
                <w:b/>
                <w:bCs/>
                <w:color w:val="FFFFFF"/>
                <w:sz w:val="18"/>
                <w:szCs w:val="18"/>
              </w:rPr>
              <w:t xml:space="preserve">Count</w:t>
            </w:r>
          </w:p>
        </w:tc>
      </w:tr>
      <w:tr>
        <w:trPr>
          <w:cantSplit/>
        </w:trPr>
        <w:tc>
          <w:tcPr>
            <w:tcW w:type="dxa" w:w="6360"/>
            <w:tcMar>
              <w:top w:type="dxa" w:w="60"/>
              <w:left w:type="dxa" w:w="100"/>
              <w:bottom w:type="dxa" w:w="60"/>
              <w:right w:type="dxa" w:w="100"/>
            </w:tcMar>
            <w:vAlign w:val="center"/>
          </w:tcPr>
          <w:p>
            <w:pPr>
              <w:jc w:val="left"/>
            </w:pPr>
            <w:r>
              <w:rPr>
                <w:sz w:val="18"/>
                <w:szCs w:val="18"/>
              </w:rPr>
              <w:t xml:space="preserve">Assignments of Maine’s 16 counties to two districts, ignoring every constraint</w:t>
            </w:r>
          </w:p>
        </w:tc>
        <w:tc>
          <w:tcPr>
            <w:tcW w:type="dxa" w:w="3000"/>
            <w:tcMar>
              <w:top w:type="dxa" w:w="60"/>
              <w:left w:type="dxa" w:w="100"/>
              <w:bottom w:type="dxa" w:w="60"/>
              <w:right w:type="dxa" w:w="100"/>
            </w:tcMar>
            <w:vAlign w:val="center"/>
          </w:tcPr>
          <w:p>
            <w:pPr>
              <w:jc w:val="left"/>
            </w:pPr>
            <w:r>
              <w:rPr>
                <w:sz w:val="18"/>
                <w:szCs w:val="18"/>
              </w:rPr>
              <w:t xml:space="preserve">(the tool’s claim — a Hero computes this from Appendix A’s county list and the Fundamental Counting Principle, then drops the two assignments that leave a district empty)</w:t>
            </w:r>
          </w:p>
        </w:tc>
      </w:tr>
      <w:tr>
        <w:trPr>
          <w:cantSplit/>
        </w:trPr>
        <w:tc>
          <w:tcPr>
            <w:tcW w:type="dxa" w:w="6360"/>
            <w:shd w:fill="f7f9fb" w:val="clear"/>
            <w:tcMar>
              <w:top w:type="dxa" w:w="60"/>
              <w:left w:type="dxa" w:w="100"/>
              <w:bottom w:type="dxa" w:w="60"/>
              <w:right w:type="dxa" w:w="100"/>
            </w:tcMar>
            <w:vAlign w:val="center"/>
          </w:tcPr>
          <w:p>
            <w:pPr>
              <w:jc w:val="left"/>
            </w:pPr>
            <w:r>
              <w:rPr>
                <w:sz w:val="18"/>
                <w:szCs w:val="18"/>
              </w:rPr>
              <w:t xml:space="preserve">Of those, the ones where both districts are a single connected piece on the Appendix B border list</w:t>
            </w:r>
          </w:p>
        </w:tc>
        <w:tc>
          <w:tcPr>
            <w:tcW w:type="dxa" w:w="3000"/>
            <w:shd w:fill="f7f9fb" w:val="clear"/>
            <w:tcMar>
              <w:top w:type="dxa" w:w="60"/>
              <w:left w:type="dxa" w:w="100"/>
              <w:bottom w:type="dxa" w:w="60"/>
              <w:right w:type="dxa" w:w="100"/>
            </w:tcMar>
            <w:vAlign w:val="center"/>
          </w:tcPr>
          <w:p>
            <w:pPr>
              <w:jc w:val="left"/>
            </w:pPr>
            <w:r>
              <w:rPr>
                <w:sz w:val="18"/>
                <w:szCs w:val="18"/>
              </w:rPr>
              <w:t xml:space="preserve">1,734</w:t>
            </w:r>
          </w:p>
        </w:tc>
      </w:tr>
      <w:tr>
        <w:trPr>
          <w:cantSplit/>
        </w:trPr>
        <w:tc>
          <w:tcPr>
            <w:tcW w:type="dxa" w:w="6360"/>
            <w:tcMar>
              <w:top w:type="dxa" w:w="60"/>
              <w:left w:type="dxa" w:w="100"/>
              <w:bottom w:type="dxa" w:w="60"/>
              <w:right w:type="dxa" w:w="100"/>
            </w:tcMar>
            <w:vAlign w:val="center"/>
          </w:tcPr>
          <w:p>
            <w:pPr>
              <w:jc w:val="left"/>
            </w:pPr>
            <w:r>
              <w:rPr>
                <w:sz w:val="18"/>
                <w:szCs w:val="18"/>
              </w:rPr>
              <w:t xml:space="preserve">The same connected plans, once you stop caring which district is called “north”</w:t>
            </w:r>
          </w:p>
        </w:tc>
        <w:tc>
          <w:tcPr>
            <w:tcW w:type="dxa" w:w="3000"/>
            <w:tcMar>
              <w:top w:type="dxa" w:w="60"/>
              <w:left w:type="dxa" w:w="100"/>
              <w:bottom w:type="dxa" w:w="60"/>
              <w:right w:type="dxa" w:w="100"/>
            </w:tcMar>
            <w:vAlign w:val="center"/>
          </w:tcPr>
          <w:p>
            <w:pPr>
              <w:jc w:val="left"/>
            </w:pPr>
            <w:r>
              <w:rPr>
                <w:sz w:val="18"/>
                <w:szCs w:val="18"/>
              </w:rPr>
              <w:t xml:space="preserve">867</w:t>
            </w:r>
          </w:p>
        </w:tc>
      </w:tr>
    </w:tbl>
    <w:p>
      <w:pPr>
        <w:spacing w:after="160"/>
      </w:pPr>
      <w:r>
        <w:t xml:space="preserve">The last two rows are the same fact counted two ways, and the factor of two is worth explaining in your pitch: an assignment records </w:t>
      </w:r>
      <w:r>
        <w:rPr>
          <w:i/>
          <w:iCs/>
        </w:rPr>
        <w:t xml:space="preserve">which</w:t>
      </w:r>
      <w:r>
        <w:t xml:space="preserve"> district each county went to, while a plan on a wall does not care what the two districts are named. The same doubling is visible in the D1 size-breakdown row, which reads the same forwards and backwards.</w:t>
      </w:r>
    </w:p>
    <w:p>
      <w:pPr>
        <w:spacing w:after="160"/>
      </w:pPr>
      <w:r>
        <w:t xml:space="preserve">None of these are measurements; all three are computations. The first follows from the Fundamental Counting Principle applied to the Appendix A county list, and the others from checking every one of those assignments against the Appendix B borders. The tool’s claim to have looked at </w:t>
      </w:r>
      <w:r>
        <w:rPr>
          <w:i/>
          <w:iCs/>
        </w:rPr>
        <w:t xml:space="preserve">every</w:t>
      </w:r>
      <w:r>
        <w:t xml:space="preserve"> whole-county plan is only as good as the first row, and D1 through D3 are what make that row checkable rather than merely asserted.</w:t>
      </w:r>
    </w:p>
    <w:p>
      <w:pPr>
        <w:pStyle w:val="Heading1"/>
        <w:spacing w:after="140" w:before="280"/>
      </w:pPr>
      <w:r>
        <w:rPr>
          <w:b/>
          <w:bCs/>
          <w:color w:val="1a3a5c"/>
          <w:sz w:val="30"/>
          <w:szCs w:val="30"/>
        </w:rPr>
        <w:t xml:space="preserve">Appendix G —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3460"/>
      </w:tblGrid>
      <w:tr>
        <w:trPr>
          <w:cantSplit/>
          <w:tblHeader/>
        </w:trPr>
        <w:tc>
          <w:tcPr>
            <w:tcW w:type="dxa" w:w="900"/>
            <w:shd w:fill="1a3a5c" w:val="clear"/>
            <w:tcMar>
              <w:top w:type="dxa" w:w="60"/>
              <w:left w:type="dxa" w:w="100"/>
              <w:bottom w:type="dxa" w:w="60"/>
              <w:right w:type="dxa" w:w="100"/>
            </w:tcMar>
            <w:vAlign w:val="center"/>
          </w:tcPr>
          <w:p>
            <w:r>
              <w:rPr>
                <w:b/>
                <w:bCs/>
                <w:color w:val="FFFFFF"/>
                <w:sz w:val="18"/>
                <w:szCs w:val="18"/>
              </w:rPr>
              <w:t xml:space="preserve">id</w:t>
            </w:r>
          </w:p>
        </w:tc>
        <w:tc>
          <w:tcPr>
            <w:tcW w:type="dxa" w:w="2400"/>
            <w:shd w:fill="1a3a5c" w:val="clear"/>
            <w:tcMar>
              <w:top w:type="dxa" w:w="60"/>
              <w:left w:type="dxa" w:w="100"/>
              <w:bottom w:type="dxa" w:w="60"/>
              <w:right w:type="dxa" w:w="100"/>
            </w:tcMar>
            <w:vAlign w:val="center"/>
          </w:tcPr>
          <w:p>
            <w:r>
              <w:rPr>
                <w:b/>
                <w:bCs/>
                <w:color w:val="FFFFFF"/>
                <w:sz w:val="18"/>
                <w:szCs w:val="18"/>
              </w:rPr>
              <w:t xml:space="preserve">Claim</w:t>
            </w:r>
          </w:p>
        </w:tc>
        <w:tc>
          <w:tcPr>
            <w:tcW w:type="dxa" w:w="2600"/>
            <w:shd w:fill="1a3a5c" w:val="clear"/>
            <w:tcMar>
              <w:top w:type="dxa" w:w="60"/>
              <w:left w:type="dxa" w:w="100"/>
              <w:bottom w:type="dxa" w:w="60"/>
              <w:right w:type="dxa" w:w="100"/>
            </w:tcMar>
            <w:vAlign w:val="center"/>
          </w:tcPr>
          <w:p>
            <w:r>
              <w:rPr>
                <w:b/>
                <w:bCs/>
                <w:color w:val="FFFFFF"/>
                <w:sz w:val="18"/>
                <w:szCs w:val="18"/>
              </w:rPr>
              <w:t xml:space="preserve">Value</w:t>
            </w:r>
          </w:p>
        </w:tc>
        <w:tc>
          <w:tcPr>
            <w:tcW w:type="dxa" w:w="3460"/>
            <w:shd w:fill="1a3a5c" w:val="clear"/>
            <w:tcMar>
              <w:top w:type="dxa" w:w="60"/>
              <w:left w:type="dxa" w:w="100"/>
              <w:bottom w:type="dxa" w:w="60"/>
              <w:right w:type="dxa" w:w="100"/>
            </w:tcMar>
            <w:vAlign w:val="center"/>
          </w:tcPr>
          <w:p>
            <w:r>
              <w:rPr>
                <w:b/>
                <w:bCs/>
                <w:color w:val="FFFFFF"/>
                <w:sz w:val="18"/>
                <w:szCs w:val="18"/>
              </w:rPr>
              <w:t xml:space="preserve">Source</w:t>
            </w:r>
          </w:p>
        </w:tc>
      </w:tr>
      <w:tr>
        <w:trPr>
          <w:cantSplit/>
        </w:trPr>
        <w:tc>
          <w:tcPr>
            <w:tcW w:type="dxa" w:w="900"/>
            <w:tcMar>
              <w:top w:type="dxa" w:w="60"/>
              <w:left w:type="dxa" w:w="100"/>
              <w:bottom w:type="dxa" w:w="60"/>
              <w:right w:type="dxa" w:w="100"/>
            </w:tcMar>
          </w:tcPr>
          <w:p>
            <w:r>
              <w:rPr>
                <w:sz w:val="18"/>
                <w:szCs w:val="18"/>
              </w:rPr>
              <w:t xml:space="preserve">S1</w:t>
            </w:r>
          </w:p>
        </w:tc>
        <w:tc>
          <w:tcPr>
            <w:tcW w:type="dxa" w:w="2400"/>
            <w:tcMar>
              <w:top w:type="dxa" w:w="60"/>
              <w:left w:type="dxa" w:w="100"/>
              <w:bottom w:type="dxa" w:w="60"/>
              <w:right w:type="dxa" w:w="100"/>
            </w:tcMar>
          </w:tcPr>
          <w:p>
            <w:r>
              <w:rPr>
                <w:sz w:val="18"/>
                <w:szCs w:val="18"/>
              </w:rPr>
              <w:t xml:space="preserve">Maine 2020 apportionment population and U.S. House seats</w:t>
            </w:r>
          </w:p>
        </w:tc>
        <w:tc>
          <w:tcPr>
            <w:tcW w:type="dxa" w:w="2600"/>
            <w:tcMar>
              <w:top w:type="dxa" w:w="60"/>
              <w:left w:type="dxa" w:w="100"/>
              <w:bottom w:type="dxa" w:w="60"/>
              <w:right w:type="dxa" w:w="100"/>
            </w:tcMar>
          </w:tcPr>
          <w:p>
            <w:r>
              <w:rPr>
                <w:sz w:val="18"/>
                <w:szCs w:val="18"/>
              </w:rPr>
              <w:t xml:space="preserve">1,363,582 · 2 seats</w:t>
            </w:r>
          </w:p>
        </w:tc>
        <w:tc>
          <w:tcPr>
            <w:tcW w:type="dxa" w:w="3460"/>
            <w:tcMar>
              <w:top w:type="dxa" w:w="60"/>
              <w:left w:type="dxa" w:w="100"/>
              <w:bottom w:type="dxa" w:w="60"/>
              <w:right w:type="dxa" w:w="100"/>
            </w:tcMar>
          </w:tcPr>
          <w:p>
            <w:hyperlink w:history="1" r:id="rIdd4fg8ezs3j6w1pujuyevz">
              <w:r>
                <w:rPr>
                  <w:rStyle w:val="Hyperlink"/>
                  <w:color w:val="1a3a5c"/>
                  <w:u w:val="single"/>
                </w:rPr>
                <w:t xml:space="preserve">U.S. Census Bureau, Table 1, 2020 Apportionment</w:t>
              </w:r>
            </w:hyperlink>
          </w:p>
        </w:tc>
      </w:tr>
      <w:tr>
        <w:trPr>
          <w:cantSplit/>
        </w:trPr>
        <w:tc>
          <w:tcPr>
            <w:tcW w:type="dxa" w:w="900"/>
            <w:shd w:fill="f7f9fb" w:val="clear"/>
            <w:tcMar>
              <w:top w:type="dxa" w:w="60"/>
              <w:left w:type="dxa" w:w="100"/>
              <w:bottom w:type="dxa" w:w="60"/>
              <w:right w:type="dxa" w:w="100"/>
            </w:tcMar>
          </w:tcPr>
          <w:p>
            <w:r>
              <w:rPr>
                <w:sz w:val="18"/>
                <w:szCs w:val="18"/>
              </w:rPr>
              <w:t xml:space="preserve">S2</w:t>
            </w:r>
          </w:p>
        </w:tc>
        <w:tc>
          <w:tcPr>
            <w:tcW w:type="dxa" w:w="2400"/>
            <w:shd w:fill="f7f9fb" w:val="clear"/>
            <w:tcMar>
              <w:top w:type="dxa" w:w="60"/>
              <w:left w:type="dxa" w:w="100"/>
              <w:bottom w:type="dxa" w:w="60"/>
              <w:right w:type="dxa" w:w="100"/>
            </w:tcMar>
          </w:tcPr>
          <w:p>
            <w:r>
              <w:rPr>
                <w:sz w:val="18"/>
                <w:szCs w:val="18"/>
              </w:rPr>
              <w:t xml:space="preserve">2020 Census resident population of each Maine county and the state total</w:t>
            </w:r>
          </w:p>
        </w:tc>
        <w:tc>
          <w:tcPr>
            <w:tcW w:type="dxa" w:w="2600"/>
            <w:shd w:fill="f7f9fb" w:val="clear"/>
            <w:tcMar>
              <w:top w:type="dxa" w:w="60"/>
              <w:left w:type="dxa" w:w="100"/>
              <w:bottom w:type="dxa" w:w="60"/>
              <w:right w:type="dxa" w:w="100"/>
            </w:tcMar>
          </w:tcPr>
          <w:p>
            <w:r>
              <w:rPr>
                <w:sz w:val="18"/>
                <w:szCs w:val="18"/>
              </w:rPr>
              <w:t xml:space="preserve">see Appendix A · total 1,362,359</w:t>
            </w:r>
          </w:p>
        </w:tc>
        <w:tc>
          <w:tcPr>
            <w:tcW w:type="dxa" w:w="3460"/>
            <w:shd w:fill="f7f9fb" w:val="clear"/>
            <w:tcMar>
              <w:top w:type="dxa" w:w="60"/>
              <w:left w:type="dxa" w:w="100"/>
              <w:bottom w:type="dxa" w:w="60"/>
              <w:right w:type="dxa" w:w="100"/>
            </w:tcMar>
          </w:tcPr>
          <w:p>
            <w:hyperlink w:history="1" r:id="rIdp_ryj0szetrfobpjyqush">
              <w:r>
                <w:rPr>
                  <w:rStyle w:val="Hyperlink"/>
                  <w:color w:val="1a3a5c"/>
                  <w:u w:val="single"/>
                </w:rPr>
                <w:t xml:space="preserve">U.S. Census Bureau, 2020 P.L. 94-171 Redistricting File — Maine</w:t>
              </w:r>
            </w:hyperlink>
          </w:p>
        </w:tc>
      </w:tr>
      <w:tr>
        <w:trPr>
          <w:cantSplit/>
        </w:trPr>
        <w:tc>
          <w:tcPr>
            <w:tcW w:type="dxa" w:w="900"/>
            <w:tcMar>
              <w:top w:type="dxa" w:w="60"/>
              <w:left w:type="dxa" w:w="100"/>
              <w:bottom w:type="dxa" w:w="60"/>
              <w:right w:type="dxa" w:w="100"/>
            </w:tcMar>
          </w:tcPr>
          <w:p>
            <w:r>
              <w:rPr>
                <w:sz w:val="18"/>
                <w:szCs w:val="18"/>
              </w:rPr>
              <w:t xml:space="preserve">S3</w:t>
            </w:r>
          </w:p>
        </w:tc>
        <w:tc>
          <w:tcPr>
            <w:tcW w:type="dxa" w:w="2400"/>
            <w:tcMar>
              <w:top w:type="dxa" w:w="60"/>
              <w:left w:type="dxa" w:w="100"/>
              <w:bottom w:type="dxa" w:w="60"/>
              <w:right w:type="dxa" w:w="100"/>
            </w:tcMar>
          </w:tcPr>
          <w:p>
            <w:r>
              <w:rPr>
                <w:sz w:val="18"/>
                <w:szCs w:val="18"/>
              </w:rPr>
              <w:t xml:space="preserve">2020 Census population of each Kennebec County municipality</w:t>
            </w:r>
          </w:p>
        </w:tc>
        <w:tc>
          <w:tcPr>
            <w:tcW w:type="dxa" w:w="2600"/>
            <w:tcMar>
              <w:top w:type="dxa" w:w="60"/>
              <w:left w:type="dxa" w:w="100"/>
              <w:bottom w:type="dxa" w:w="60"/>
              <w:right w:type="dxa" w:w="100"/>
            </w:tcMar>
          </w:tcPr>
          <w:p>
            <w:r>
              <w:rPr>
                <w:sz w:val="18"/>
                <w:szCs w:val="18"/>
              </w:rPr>
              <w:t xml:space="preserve">see Appendix C · Kennebec total 123,642</w:t>
            </w:r>
          </w:p>
        </w:tc>
        <w:tc>
          <w:tcPr>
            <w:tcW w:type="dxa" w:w="3460"/>
            <w:tcMar>
              <w:top w:type="dxa" w:w="60"/>
              <w:left w:type="dxa" w:w="100"/>
              <w:bottom w:type="dxa" w:w="60"/>
              <w:right w:type="dxa" w:w="100"/>
            </w:tcMar>
          </w:tcPr>
          <w:p>
            <w:hyperlink w:history="1" r:id="rIdsvfyst_geicasb7c_c9i-">
              <w:r>
                <w:rPr>
                  <w:rStyle w:val="Hyperlink"/>
                  <w:color w:val="1a3a5c"/>
                  <w:u w:val="single"/>
                </w:rPr>
                <w:t xml:space="preserve">Same file, summary level 060</w:t>
              </w:r>
            </w:hyperlink>
          </w:p>
        </w:tc>
      </w:tr>
      <w:tr>
        <w:trPr>
          <w:cantSplit/>
        </w:trPr>
        <w:tc>
          <w:tcPr>
            <w:tcW w:type="dxa" w:w="900"/>
            <w:shd w:fill="f7f9fb" w:val="clear"/>
            <w:tcMar>
              <w:top w:type="dxa" w:w="60"/>
              <w:left w:type="dxa" w:w="100"/>
              <w:bottom w:type="dxa" w:w="60"/>
              <w:right w:type="dxa" w:w="100"/>
            </w:tcMar>
          </w:tcPr>
          <w:p>
            <w:r>
              <w:rPr>
                <w:sz w:val="18"/>
                <w:szCs w:val="18"/>
              </w:rPr>
              <w:t xml:space="preserve">S4</w:t>
            </w:r>
          </w:p>
        </w:tc>
        <w:tc>
          <w:tcPr>
            <w:tcW w:type="dxa" w:w="2400"/>
            <w:shd w:fill="f7f9fb" w:val="clear"/>
            <w:tcMar>
              <w:top w:type="dxa" w:w="60"/>
              <w:left w:type="dxa" w:w="100"/>
              <w:bottom w:type="dxa" w:w="60"/>
              <w:right w:type="dxa" w:w="100"/>
            </w:tcMar>
          </w:tcPr>
          <w:p>
            <w:r>
              <w:rPr>
                <w:sz w:val="18"/>
                <w:szCs w:val="18"/>
              </w:rPr>
              <w:t xml:space="preserve">Which Maine counties share a border, and the number of distinct borders</w:t>
            </w:r>
          </w:p>
        </w:tc>
        <w:tc>
          <w:tcPr>
            <w:tcW w:type="dxa" w:w="2600"/>
            <w:shd w:fill="f7f9fb" w:val="clear"/>
            <w:tcMar>
              <w:top w:type="dxa" w:w="60"/>
              <w:left w:type="dxa" w:w="100"/>
              <w:bottom w:type="dxa" w:w="60"/>
              <w:right w:type="dxa" w:w="100"/>
            </w:tcMar>
          </w:tcPr>
          <w:p>
            <w:r>
              <w:rPr>
                <w:sz w:val="18"/>
                <w:szCs w:val="18"/>
              </w:rPr>
              <w:t xml:space="preserve">see Appendix B · 34 borders</w:t>
            </w:r>
          </w:p>
        </w:tc>
        <w:tc>
          <w:tcPr>
            <w:tcW w:type="dxa" w:w="3460"/>
            <w:shd w:fill="f7f9fb" w:val="clear"/>
            <w:tcMar>
              <w:top w:type="dxa" w:w="60"/>
              <w:left w:type="dxa" w:w="100"/>
              <w:bottom w:type="dxa" w:w="60"/>
              <w:right w:type="dxa" w:w="100"/>
            </w:tcMar>
          </w:tcPr>
          <w:p>
            <w:hyperlink w:history="1" r:id="rId_h4xtddtfw39zw0a16rco">
              <w:r>
                <w:rPr>
                  <w:rStyle w:val="Hyperlink"/>
                  <w:color w:val="1a3a5c"/>
                  <w:u w:val="single"/>
                </w:rPr>
                <w:t xml:space="preserve">U.S. Census Bureau, County Adjacency File 2025</w:t>
              </w:r>
            </w:hyperlink>
          </w:p>
        </w:tc>
      </w:tr>
      <w:tr>
        <w:trPr>
          <w:cantSplit/>
        </w:trPr>
        <w:tc>
          <w:tcPr>
            <w:tcW w:type="dxa" w:w="900"/>
            <w:tcMar>
              <w:top w:type="dxa" w:w="60"/>
              <w:left w:type="dxa" w:w="100"/>
              <w:bottom w:type="dxa" w:w="60"/>
              <w:right w:type="dxa" w:w="100"/>
            </w:tcMar>
          </w:tcPr>
          <w:p>
            <w:r>
              <w:rPr>
                <w:sz w:val="18"/>
                <w:szCs w:val="18"/>
              </w:rPr>
              <w:t xml:space="preserve">S5</w:t>
            </w:r>
          </w:p>
        </w:tc>
        <w:tc>
          <w:tcPr>
            <w:tcW w:type="dxa" w:w="2400"/>
            <w:tcMar>
              <w:top w:type="dxa" w:w="60"/>
              <w:left w:type="dxa" w:w="100"/>
              <w:bottom w:type="dxa" w:w="60"/>
              <w:right w:type="dxa" w:w="100"/>
            </w:tcMar>
          </w:tcPr>
          <w:p>
            <w:r>
              <w:rPr>
                <w:sz w:val="18"/>
                <w:szCs w:val="18"/>
              </w:rPr>
              <w:t xml:space="preserve">Maine’s enacted congressional districts</w:t>
            </w:r>
          </w:p>
        </w:tc>
        <w:tc>
          <w:tcPr>
            <w:tcW w:type="dxa" w:w="2600"/>
            <w:tcMar>
              <w:top w:type="dxa" w:w="60"/>
              <w:left w:type="dxa" w:w="100"/>
              <w:bottom w:type="dxa" w:w="60"/>
              <w:right w:type="dxa" w:w="100"/>
            </w:tcMar>
          </w:tcPr>
          <w:p>
            <w:r>
              <w:rPr>
                <w:sz w:val="18"/>
                <w:szCs w:val="18"/>
              </w:rPr>
              <w:t xml:space="preserve">12 Kennebec municipalities in CD-1, 18 in CD-2</w:t>
            </w:r>
          </w:p>
        </w:tc>
        <w:tc>
          <w:tcPr>
            <w:tcW w:type="dxa" w:w="3460"/>
            <w:tcMar>
              <w:top w:type="dxa" w:w="60"/>
              <w:left w:type="dxa" w:w="100"/>
              <w:bottom w:type="dxa" w:w="60"/>
              <w:right w:type="dxa" w:w="100"/>
            </w:tcMar>
          </w:tcPr>
          <w:p>
            <w:hyperlink w:history="1" r:id="rIdjgqoes2myt6yarujmmlab">
              <w:r>
                <w:rPr>
                  <w:rStyle w:val="Hyperlink"/>
                  <w:color w:val="1a3a5c"/>
                  <w:u w:val="single"/>
                </w:rPr>
                <w:t xml:space="preserve">21-A M.R.S. §1205-A</w:t>
              </w:r>
            </w:hyperlink>
          </w:p>
        </w:tc>
      </w:tr>
      <w:tr>
        <w:trPr>
          <w:cantSplit/>
        </w:trPr>
        <w:tc>
          <w:tcPr>
            <w:tcW w:type="dxa" w:w="900"/>
            <w:shd w:fill="f7f9fb" w:val="clear"/>
            <w:tcMar>
              <w:top w:type="dxa" w:w="60"/>
              <w:left w:type="dxa" w:w="100"/>
              <w:bottom w:type="dxa" w:w="60"/>
              <w:right w:type="dxa" w:w="100"/>
            </w:tcMar>
          </w:tcPr>
          <w:p>
            <w:r>
              <w:rPr>
                <w:sz w:val="18"/>
                <w:szCs w:val="18"/>
              </w:rPr>
              <w:t xml:space="preserve">S6</w:t>
            </w:r>
          </w:p>
        </w:tc>
        <w:tc>
          <w:tcPr>
            <w:tcW w:type="dxa" w:w="2400"/>
            <w:shd w:fill="f7f9fb" w:val="clear"/>
            <w:tcMar>
              <w:top w:type="dxa" w:w="60"/>
              <w:left w:type="dxa" w:w="100"/>
              <w:bottom w:type="dxa" w:w="60"/>
              <w:right w:type="dxa" w:w="100"/>
            </w:tcMar>
          </w:tcPr>
          <w:p>
            <w:r>
              <w:rPr>
                <w:sz w:val="18"/>
                <w:szCs w:val="18"/>
              </w:rPr>
              <w:t xml:space="preserve">Ideal district population and the enacted district populations</w:t>
            </w:r>
          </w:p>
        </w:tc>
        <w:tc>
          <w:tcPr>
            <w:tcW w:type="dxa" w:w="2600"/>
            <w:shd w:fill="f7f9fb" w:val="clear"/>
            <w:tcMar>
              <w:top w:type="dxa" w:w="60"/>
              <w:left w:type="dxa" w:w="100"/>
              <w:bottom w:type="dxa" w:w="60"/>
              <w:right w:type="dxa" w:w="100"/>
            </w:tcMar>
          </w:tcPr>
          <w:p>
            <w:r>
              <w:rPr>
                <w:sz w:val="18"/>
                <w:szCs w:val="18"/>
              </w:rPr>
              <w:t xml:space="preserve">681,179.5 ideal · CD-1 681,179 · CD-2 681,180</w:t>
            </w:r>
          </w:p>
        </w:tc>
        <w:tc>
          <w:tcPr>
            <w:tcW w:type="dxa" w:w="3460"/>
            <w:shd w:fill="f7f9fb" w:val="clear"/>
            <w:tcMar>
              <w:top w:type="dxa" w:w="60"/>
              <w:left w:type="dxa" w:w="100"/>
              <w:bottom w:type="dxa" w:w="60"/>
              <w:right w:type="dxa" w:w="100"/>
            </w:tcMar>
          </w:tcPr>
          <w:p>
            <w:hyperlink w:history="1" r:id="rId3fz6zrtblbdpuxwmp8yi9">
              <w:r>
                <w:rPr>
                  <w:rStyle w:val="Hyperlink"/>
                  <w:color w:val="1a3a5c"/>
                  <w:u w:val="single"/>
                </w:rPr>
                <w:t xml:space="preserve">Maine Secretary of State, 2020 Census Apportionment Overview</w:t>
              </w:r>
            </w:hyperlink>
          </w:p>
        </w:tc>
      </w:tr>
      <w:tr>
        <w:trPr>
          <w:cantSplit/>
        </w:trPr>
        <w:tc>
          <w:tcPr>
            <w:tcW w:type="dxa" w:w="900"/>
            <w:tcMar>
              <w:top w:type="dxa" w:w="60"/>
              <w:left w:type="dxa" w:w="100"/>
              <w:bottom w:type="dxa" w:w="60"/>
              <w:right w:type="dxa" w:w="100"/>
            </w:tcMar>
          </w:tcPr>
          <w:p>
            <w:r>
              <w:rPr>
                <w:sz w:val="18"/>
                <w:szCs w:val="18"/>
              </w:rPr>
              <w:t xml:space="preserve">S7</w:t>
            </w:r>
          </w:p>
        </w:tc>
        <w:tc>
          <w:tcPr>
            <w:tcW w:type="dxa" w:w="2400"/>
            <w:tcMar>
              <w:top w:type="dxa" w:w="60"/>
              <w:left w:type="dxa" w:w="100"/>
              <w:bottom w:type="dxa" w:w="60"/>
              <w:right w:type="dxa" w:w="100"/>
            </w:tcMar>
          </w:tcPr>
          <w:p>
            <w:r>
              <w:rPr>
                <w:sz w:val="18"/>
                <w:szCs w:val="18"/>
              </w:rPr>
              <w:t xml:space="preserve">Date the apportionment commission delivered its report and plan</w:t>
            </w:r>
          </w:p>
        </w:tc>
        <w:tc>
          <w:tcPr>
            <w:tcW w:type="dxa" w:w="2600"/>
            <w:tcMar>
              <w:top w:type="dxa" w:w="60"/>
              <w:left w:type="dxa" w:w="100"/>
              <w:bottom w:type="dxa" w:w="60"/>
              <w:right w:type="dxa" w:w="100"/>
            </w:tcMar>
          </w:tcPr>
          <w:p>
            <w:r>
              <w:rPr>
                <w:sz w:val="18"/>
                <w:szCs w:val="18"/>
              </w:rPr>
              <w:t xml:space="preserve">September 27, 2021</w:t>
            </w:r>
          </w:p>
        </w:tc>
        <w:tc>
          <w:tcPr>
            <w:tcW w:type="dxa" w:w="3460"/>
            <w:tcMar>
              <w:top w:type="dxa" w:w="60"/>
              <w:left w:type="dxa" w:w="100"/>
              <w:bottom w:type="dxa" w:w="60"/>
              <w:right w:type="dxa" w:w="100"/>
            </w:tcMar>
          </w:tcPr>
          <w:p>
            <w:hyperlink w:history="1" r:id="rIdgnckz1ruja2dd0zq7u4dn">
              <w:r>
                <w:rPr>
                  <w:rStyle w:val="Hyperlink"/>
                  <w:color w:val="1a3a5c"/>
                  <w:u w:val="single"/>
                </w:rPr>
                <w:t xml:space="preserve">Maine Secretary of State, 2020 Census Apportionment Details</w:t>
              </w:r>
            </w:hyperlink>
          </w:p>
        </w:tc>
      </w:tr>
      <w:tr>
        <w:trPr>
          <w:cantSplit/>
        </w:trPr>
        <w:tc>
          <w:tcPr>
            <w:tcW w:type="dxa" w:w="900"/>
            <w:shd w:fill="f7f9fb" w:val="clear"/>
            <w:tcMar>
              <w:top w:type="dxa" w:w="60"/>
              <w:left w:type="dxa" w:w="100"/>
              <w:bottom w:type="dxa" w:w="60"/>
              <w:right w:type="dxa" w:w="100"/>
            </w:tcMar>
          </w:tcPr>
          <w:p>
            <w:r>
              <w:rPr>
                <w:sz w:val="18"/>
                <w:szCs w:val="18"/>
              </w:rPr>
              <w:t xml:space="preserve">S8</w:t>
            </w:r>
          </w:p>
        </w:tc>
        <w:tc>
          <w:tcPr>
            <w:tcW w:type="dxa" w:w="2400"/>
            <w:shd w:fill="f7f9fb" w:val="clear"/>
            <w:tcMar>
              <w:top w:type="dxa" w:w="60"/>
              <w:left w:type="dxa" w:w="100"/>
              <w:bottom w:type="dxa" w:w="60"/>
              <w:right w:type="dxa" w:w="100"/>
            </w:tcMar>
          </w:tcPr>
          <w:p>
            <w:r>
              <w:rPr>
                <w:sz w:val="18"/>
                <w:szCs w:val="18"/>
              </w:rPr>
              <w:t xml:space="preserve">Karcher v. Daggett deviation and holding</w:t>
            </w:r>
          </w:p>
        </w:tc>
        <w:tc>
          <w:tcPr>
            <w:tcW w:type="dxa" w:w="2600"/>
            <w:shd w:fill="f7f9fb" w:val="clear"/>
            <w:tcMar>
              <w:top w:type="dxa" w:w="60"/>
              <w:left w:type="dxa" w:w="100"/>
              <w:bottom w:type="dxa" w:w="60"/>
              <w:right w:type="dxa" w:w="100"/>
            </w:tcMar>
          </w:tcPr>
          <w:p>
            <w:r>
              <w:rPr>
                <w:sz w:val="18"/>
                <w:szCs w:val="18"/>
              </w:rPr>
              <w:t xml:space="preserve">3,674 people · 0.6984% · struck down</w:t>
            </w:r>
          </w:p>
        </w:tc>
        <w:tc>
          <w:tcPr>
            <w:tcW w:type="dxa" w:w="3460"/>
            <w:shd w:fill="f7f9fb" w:val="clear"/>
            <w:tcMar>
              <w:top w:type="dxa" w:w="60"/>
              <w:left w:type="dxa" w:w="100"/>
              <w:bottom w:type="dxa" w:w="60"/>
              <w:right w:type="dxa" w:w="100"/>
            </w:tcMar>
          </w:tcPr>
          <w:p>
            <w:hyperlink w:history="1" r:id="rIdlodsr-bwjbuhtghnle-vo">
              <w:r>
                <w:rPr>
                  <w:rStyle w:val="Hyperlink"/>
                  <w:color w:val="1a3a5c"/>
                  <w:u w:val="single"/>
                </w:rPr>
                <w:t xml:space="preserve">Cornell LII, 462 U.S. 725 (1983)</w:t>
              </w:r>
            </w:hyperlink>
          </w:p>
        </w:tc>
      </w:tr>
      <w:tr>
        <w:trPr>
          <w:cantSplit/>
        </w:trPr>
        <w:tc>
          <w:tcPr>
            <w:tcW w:type="dxa" w:w="900"/>
            <w:tcMar>
              <w:top w:type="dxa" w:w="60"/>
              <w:left w:type="dxa" w:w="100"/>
              <w:bottom w:type="dxa" w:w="60"/>
              <w:right w:type="dxa" w:w="100"/>
            </w:tcMar>
          </w:tcPr>
          <w:p>
            <w:r>
              <w:rPr>
                <w:sz w:val="18"/>
                <w:szCs w:val="18"/>
              </w:rPr>
              <w:t xml:space="preserve">S9</w:t>
            </w:r>
          </w:p>
        </w:tc>
        <w:tc>
          <w:tcPr>
            <w:tcW w:type="dxa" w:w="2400"/>
            <w:tcMar>
              <w:top w:type="dxa" w:w="60"/>
              <w:left w:type="dxa" w:w="100"/>
              <w:bottom w:type="dxa" w:w="60"/>
              <w:right w:type="dxa" w:w="100"/>
            </w:tcMar>
          </w:tcPr>
          <w:p>
            <w:r>
              <w:rPr>
                <w:sz w:val="18"/>
                <w:szCs w:val="18"/>
              </w:rPr>
              <w:t xml:space="preserve">Tennant v. Jefferson County Commission variance and holding</w:t>
            </w:r>
          </w:p>
        </w:tc>
        <w:tc>
          <w:tcPr>
            <w:tcW w:type="dxa" w:w="2600"/>
            <w:tcMar>
              <w:top w:type="dxa" w:w="60"/>
              <w:left w:type="dxa" w:w="100"/>
              <w:bottom w:type="dxa" w:w="60"/>
              <w:right w:type="dxa" w:w="100"/>
            </w:tcMar>
          </w:tcPr>
          <w:p>
            <w:r>
              <w:rPr>
                <w:sz w:val="18"/>
                <w:szCs w:val="18"/>
              </w:rPr>
              <w:t xml:space="preserve">4,871 people · 0.79% · upheld</w:t>
            </w:r>
          </w:p>
        </w:tc>
        <w:tc>
          <w:tcPr>
            <w:tcW w:type="dxa" w:w="3460"/>
            <w:tcMar>
              <w:top w:type="dxa" w:w="60"/>
              <w:left w:type="dxa" w:w="100"/>
              <w:bottom w:type="dxa" w:w="60"/>
              <w:right w:type="dxa" w:w="100"/>
            </w:tcMar>
          </w:tcPr>
          <w:p>
            <w:hyperlink w:history="1" r:id="rIdiduny_qbdsa5pe86pzjj8">
              <w:r>
                <w:rPr>
                  <w:rStyle w:val="Hyperlink"/>
                  <w:color w:val="1a3a5c"/>
                  <w:u w:val="single"/>
                </w:rPr>
                <w:t xml:space="preserve">Cornell LII, 567 U.S. 758 (2012)</w:t>
              </w:r>
            </w:hyperlink>
          </w:p>
        </w:tc>
      </w:tr>
    </w:tbl>
    <w:p>
      <w:pPr>
        <w:spacing w:after="100"/>
      </w:pPr>
      <w:r>
        <w:rPr>
          <w:b/>
          <w:bCs/>
        </w:rPr>
        <w:t xml:space="preserve">Derived, not sourced. </w:t>
      </w:r>
      <w:r>
        <w:t xml:space="preserve">The five-county core total, its shortfall, the Kennebec split shares, The Hancock Line’s district totals, every Appendix D row, every crossings count, every deviation percent, and both Appendix F counts are all computed in this case from the sources above — the arithmetic is yours to redo.</w:t>
      </w:r>
    </w:p>
    <w:p>
      <w:pPr>
        <w:spacing w:after="160"/>
      </w:pPr>
      <w:r>
        <w:rPr>
          <w:b/>
          <w:bCs/>
        </w:rPr>
        <w:t xml:space="preserve">A figure this case deliberately does not use. </w:t>
      </w:r>
      <w:r>
        <w:t xml:space="preserve">“Compactness” scores (Polsby–Popper, Reock) need district perimeters and areas that no public file publishes for a plan nobody drew. This case counts county-line crossings instead, which it can compute from Appendix B for any plan.</w:t>
      </w:r>
    </w:p>
    <w:p>
      <w:pPr>
        <w:pStyle w:val="Heading1"/>
        <w:spacing w:after="140" w:before="280"/>
      </w:pPr>
      <w:r>
        <w:rPr>
          <w:b/>
          <w:bCs/>
          <w:color w:val="1a3a5c"/>
          <w:sz w:val="30"/>
          <w:szCs w:val="30"/>
        </w:rPr>
        <w:t xml:space="preserve">Appendix H — Modeling Assumptions</w:t>
      </w:r>
    </w:p>
    <w:p>
      <w:pPr>
        <w:spacing w:after="160"/>
      </w:pPr>
      <w:r>
        <w:rPr>
          <w:i/>
          <w:iCs/>
        </w:rPr>
        <w:t xml:space="preserve">These are not sourced. They are stated choices made by this case, each with its basis named below. A Hero may challenge any of them in discussion — that is a legitimate move, and MA1 and MA2 in particular are where this case is most attackable.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460"/>
      </w:tblGrid>
      <w:tr>
        <w:trPr>
          <w:cantSplit/>
          <w:tblHeader/>
        </w:trPr>
        <w:tc>
          <w:tcPr>
            <w:tcW w:type="dxa" w:w="700"/>
            <w:shd w:fill="1a3a5c" w:val="clear"/>
            <w:tcMar>
              <w:top w:type="dxa" w:w="60"/>
              <w:left w:type="dxa" w:w="100"/>
              <w:bottom w:type="dxa" w:w="60"/>
              <w:right w:type="dxa" w:w="100"/>
            </w:tcMar>
            <w:vAlign w:val="center"/>
          </w:tcPr>
          <w:p>
            <w:pPr>
              <w:jc w:val="left"/>
            </w:pPr>
            <w:r>
              <w:rPr>
                <w:b/>
                <w:bCs/>
                <w:color w:val="FFFFFF"/>
                <w:sz w:val="18"/>
                <w:szCs w:val="18"/>
              </w:rPr>
              <w:t xml:space="preserve">#</w:t>
            </w:r>
          </w:p>
        </w:tc>
        <w:tc>
          <w:tcPr>
            <w:tcW w:type="dxa" w:w="2600"/>
            <w:shd w:fill="1a3a5c" w:val="clear"/>
            <w:tcMar>
              <w:top w:type="dxa" w:w="60"/>
              <w:left w:type="dxa" w:w="100"/>
              <w:bottom w:type="dxa" w:w="60"/>
              <w:right w:type="dxa" w:w="100"/>
            </w:tcMar>
            <w:vAlign w:val="center"/>
          </w:tcPr>
          <w:p>
            <w:pPr>
              <w:jc w:val="left"/>
            </w:pPr>
            <w:r>
              <w:rPr>
                <w:b/>
                <w:bCs/>
                <w:color w:val="FFFFFF"/>
                <w:sz w:val="18"/>
                <w:szCs w:val="18"/>
              </w:rPr>
              <w:t xml:space="preserve">Assumption</w:t>
            </w:r>
          </w:p>
        </w:tc>
        <w:tc>
          <w:tcPr>
            <w:tcW w:type="dxa" w:w="2600"/>
            <w:shd w:fill="1a3a5c" w:val="clear"/>
            <w:tcMar>
              <w:top w:type="dxa" w:w="60"/>
              <w:left w:type="dxa" w:w="100"/>
              <w:bottom w:type="dxa" w:w="60"/>
              <w:right w:type="dxa" w:w="100"/>
            </w:tcMar>
            <w:vAlign w:val="center"/>
          </w:tcPr>
          <w:p>
            <w:pPr>
              <w:jc w:val="left"/>
            </w:pPr>
            <w:r>
              <w:rPr>
                <w:b/>
                <w:bCs/>
                <w:color w:val="FFFFFF"/>
                <w:sz w:val="18"/>
                <w:szCs w:val="18"/>
              </w:rPr>
              <w:t xml:space="preserve">Value used</w:t>
            </w:r>
          </w:p>
        </w:tc>
        <w:tc>
          <w:tcPr>
            <w:tcW w:type="dxa" w:w="3460"/>
            <w:shd w:fill="1a3a5c" w:val="clear"/>
            <w:tcMar>
              <w:top w:type="dxa" w:w="60"/>
              <w:left w:type="dxa" w:w="100"/>
              <w:bottom w:type="dxa" w:w="60"/>
              <w:right w:type="dxa" w:w="100"/>
            </w:tcMar>
            <w:vAlign w:val="center"/>
          </w:tcPr>
          <w:p>
            <w:pPr>
              <w:jc w:val="left"/>
            </w:pPr>
            <w:r>
              <w:rPr>
                <w:b/>
                <w:bCs/>
                <w:color w:val="FFFFFF"/>
                <w:sz w:val="18"/>
                <w:szCs w:val="18"/>
              </w:rPr>
              <w:t xml:space="preserve">Basis</w:t>
            </w:r>
          </w:p>
        </w:tc>
      </w:tr>
      <w:tr>
        <w:trPr>
          <w:cantSplit/>
        </w:trPr>
        <w:tc>
          <w:tcPr>
            <w:tcW w:type="dxa" w:w="700"/>
            <w:tcMar>
              <w:top w:type="dxa" w:w="60"/>
              <w:left w:type="dxa" w:w="100"/>
              <w:bottom w:type="dxa" w:w="60"/>
              <w:right w:type="dxa" w:w="100"/>
            </w:tcMar>
            <w:vAlign w:val="center"/>
          </w:tcPr>
          <w:p>
            <w:pPr>
              <w:jc w:val="left"/>
            </w:pPr>
            <w:r>
              <w:rPr>
                <w:sz w:val="18"/>
                <w:szCs w:val="18"/>
              </w:rPr>
              <w:t xml:space="preserve">MA1</w:t>
            </w:r>
          </w:p>
        </w:tc>
        <w:tc>
          <w:tcPr>
            <w:tcW w:type="dxa" w:w="2600"/>
            <w:tcMar>
              <w:top w:type="dxa" w:w="60"/>
              <w:left w:type="dxa" w:w="100"/>
              <w:bottom w:type="dxa" w:w="60"/>
              <w:right w:type="dxa" w:w="100"/>
            </w:tcMar>
            <w:vAlign w:val="center"/>
          </w:tcPr>
          <w:p>
            <w:pPr>
              <w:jc w:val="left"/>
            </w:pPr>
            <w:r>
              <w:rPr>
                <w:sz w:val="18"/>
                <w:szCs w:val="18"/>
              </w:rPr>
              <w:t xml:space="preserve">Weight of a county the district line runs through, in county-line crossings</w:t>
            </w:r>
          </w:p>
        </w:tc>
        <w:tc>
          <w:tcPr>
            <w:tcW w:type="dxa" w:w="2600"/>
            <w:tcMar>
              <w:top w:type="dxa" w:w="60"/>
              <w:left w:type="dxa" w:w="100"/>
              <w:bottom w:type="dxa" w:w="60"/>
              <w:right w:type="dxa" w:w="100"/>
            </w:tcMar>
            <w:vAlign w:val="center"/>
          </w:tcPr>
          <w:p>
            <w:pPr>
              <w:jc w:val="left"/>
            </w:pPr>
            <w:r>
              <w:rPr>
                <w:sz w:val="18"/>
                <w:szCs w:val="18"/>
              </w:rPr>
              <w:t xml:space="preserve">1</w:t>
            </w:r>
          </w:p>
        </w:tc>
        <w:tc>
          <w:tcPr>
            <w:tcW w:type="dxa" w:w="3460"/>
            <w:tcMar>
              <w:top w:type="dxa" w:w="60"/>
              <w:left w:type="dxa" w:w="100"/>
              <w:bottom w:type="dxa" w:w="60"/>
              <w:right w:type="dxa" w:w="100"/>
            </w:tcMar>
            <w:vAlign w:val="center"/>
          </w:tcPr>
          <w:p>
            <w:pPr>
              <w:jc w:val="left"/>
            </w:pPr>
            <w:r>
              <w:rPr>
                <w:sz w:val="18"/>
                <w:szCs w:val="18"/>
              </w:rPr>
              <w:t xml:space="preserve">No published rubric assigns a number to “you cut a county in half.” Flex ±50% and check whether the ranking moves.</w:t>
            </w:r>
          </w:p>
        </w:tc>
      </w:tr>
      <w:tr>
        <w:trPr>
          <w:cantSplit/>
        </w:trPr>
        <w:tc>
          <w:tcPr>
            <w:tcW w:type="dxa" w:w="700"/>
            <w:shd w:fill="f7f9fb" w:val="clear"/>
            <w:tcMar>
              <w:top w:type="dxa" w:w="60"/>
              <w:left w:type="dxa" w:w="100"/>
              <w:bottom w:type="dxa" w:w="60"/>
              <w:right w:type="dxa" w:w="100"/>
            </w:tcMar>
            <w:vAlign w:val="center"/>
          </w:tcPr>
          <w:p>
            <w:pPr>
              <w:jc w:val="left"/>
            </w:pPr>
            <w:r>
              <w:rPr>
                <w:sz w:val="18"/>
                <w:szCs w:val="18"/>
              </w:rPr>
              <w:t xml:space="preserve">MA2</w:t>
            </w:r>
          </w:p>
        </w:tc>
        <w:tc>
          <w:tcPr>
            <w:tcW w:type="dxa" w:w="2600"/>
            <w:shd w:fill="f7f9fb" w:val="clear"/>
            <w:tcMar>
              <w:top w:type="dxa" w:w="60"/>
              <w:left w:type="dxa" w:w="100"/>
              <w:bottom w:type="dxa" w:w="60"/>
              <w:right w:type="dxa" w:w="100"/>
            </w:tcMar>
            <w:vAlign w:val="center"/>
          </w:tcPr>
          <w:p>
            <w:pPr>
              <w:jc w:val="left"/>
            </w:pPr>
            <w:r>
              <w:rPr>
                <w:sz w:val="18"/>
                <w:szCs w:val="18"/>
              </w:rPr>
              <w:t xml:space="preserve">For the border count, a divided county is assigned to whichever district holds more of its people</w:t>
            </w:r>
          </w:p>
        </w:tc>
        <w:tc>
          <w:tcPr>
            <w:tcW w:type="dxa" w:w="2600"/>
            <w:shd w:fill="f7f9fb" w:val="clear"/>
            <w:tcMar>
              <w:top w:type="dxa" w:w="60"/>
              <w:left w:type="dxa" w:w="100"/>
              <w:bottom w:type="dxa" w:w="60"/>
              <w:right w:type="dxa" w:w="100"/>
            </w:tcMar>
            <w:vAlign w:val="center"/>
          </w:tcPr>
          <w:p>
            <w:pPr>
              <w:jc w:val="left"/>
            </w:pPr>
            <w:r>
              <w:rPr>
                <w:sz w:val="18"/>
                <w:szCs w:val="18"/>
              </w:rPr>
              <w:t xml:space="preserve">Kennebec → northern district (70,047 &gt; 53,595)</w:t>
            </w:r>
          </w:p>
        </w:tc>
        <w:tc>
          <w:tcPr>
            <w:tcW w:type="dxa" w:w="3460"/>
            <w:shd w:fill="f7f9fb" w:val="clear"/>
            <w:tcMar>
              <w:top w:type="dxa" w:w="60"/>
              <w:left w:type="dxa" w:w="100"/>
              <w:bottom w:type="dxa" w:w="60"/>
              <w:right w:type="dxa" w:w="100"/>
            </w:tcMar>
            <w:vAlign w:val="center"/>
          </w:tcPr>
          <w:p>
            <w:pPr>
              <w:jc w:val="left"/>
            </w:pPr>
            <w:r>
              <w:rPr>
                <w:sz w:val="18"/>
                <w:szCs w:val="18"/>
              </w:rPr>
              <w:t xml:space="preserve">Load-bearing: it decides who wins. Compute the primary metric under both conventions before recommending.</w:t>
            </w:r>
          </w:p>
        </w:tc>
      </w:tr>
      <w:tr>
        <w:trPr>
          <w:cantSplit/>
        </w:trPr>
        <w:tc>
          <w:tcPr>
            <w:tcW w:type="dxa" w:w="700"/>
            <w:tcMar>
              <w:top w:type="dxa" w:w="60"/>
              <w:left w:type="dxa" w:w="100"/>
              <w:bottom w:type="dxa" w:w="60"/>
              <w:right w:type="dxa" w:w="100"/>
            </w:tcMar>
            <w:vAlign w:val="center"/>
          </w:tcPr>
          <w:p>
            <w:pPr>
              <w:jc w:val="left"/>
            </w:pPr>
            <w:r>
              <w:rPr>
                <w:sz w:val="18"/>
                <w:szCs w:val="18"/>
              </w:rPr>
              <w:t xml:space="preserve">MA3</w:t>
            </w:r>
          </w:p>
        </w:tc>
        <w:tc>
          <w:tcPr>
            <w:tcW w:type="dxa" w:w="2600"/>
            <w:tcMar>
              <w:top w:type="dxa" w:w="60"/>
              <w:left w:type="dxa" w:w="100"/>
              <w:bottom w:type="dxa" w:w="60"/>
              <w:right w:type="dxa" w:w="100"/>
            </w:tcMar>
            <w:vAlign w:val="center"/>
          </w:tcPr>
          <w:p>
            <w:pPr>
              <w:jc w:val="left"/>
            </w:pPr>
            <w:r>
              <w:rPr>
                <w:sz w:val="18"/>
                <w:szCs w:val="18"/>
              </w:rPr>
              <w:t xml:space="preserve">Staff shortlist rule: keep the five southern counties together, then add whichever option's two districts come closest to equal population</w:t>
            </w:r>
          </w:p>
        </w:tc>
        <w:tc>
          <w:tcPr>
            <w:tcW w:type="dxa" w:w="2600"/>
            <w:tcMar>
              <w:top w:type="dxa" w:w="60"/>
              <w:left w:type="dxa" w:w="100"/>
              <w:bottom w:type="dxa" w:w="60"/>
              <w:right w:type="dxa" w:w="100"/>
            </w:tcMar>
            <w:vAlign w:val="center"/>
          </w:tcPr>
          <w:p>
            <w:pPr>
              <w:jc w:val="left"/>
            </w:pPr>
            <w:r>
              <w:rPr>
                <w:sz w:val="18"/>
                <w:szCs w:val="18"/>
              </w:rPr>
              <w:t xml:space="preserve">applied to Appendix D to select Option B</w:t>
            </w:r>
          </w:p>
        </w:tc>
        <w:tc>
          <w:tcPr>
            <w:tcW w:type="dxa" w:w="3460"/>
            <w:tcMar>
              <w:top w:type="dxa" w:w="60"/>
              <w:left w:type="dxa" w:w="100"/>
              <w:bottom w:type="dxa" w:w="60"/>
              <w:right w:type="dxa" w:w="100"/>
            </w:tcMar>
            <w:vAlign w:val="center"/>
          </w:tcPr>
          <w:p>
            <w:pPr>
              <w:jc w:val="left"/>
            </w:pPr>
            <w:r>
              <w:rPr>
                <w:sz w:val="18"/>
                <w:szCs w:val="18"/>
              </w:rPr>
              <w:t xml:space="preserve">Staff practice, not statute — challenging it can put a different plan on the table entirely.</w:t>
            </w:r>
          </w:p>
        </w:tc>
      </w:tr>
      <w:tr>
        <w:trPr>
          <w:cantSplit/>
        </w:trPr>
        <w:tc>
          <w:tcPr>
            <w:tcW w:type="dxa" w:w="700"/>
            <w:shd w:fill="f7f9fb" w:val="clear"/>
            <w:tcMar>
              <w:top w:type="dxa" w:w="60"/>
              <w:left w:type="dxa" w:w="100"/>
              <w:bottom w:type="dxa" w:w="60"/>
              <w:right w:type="dxa" w:w="100"/>
            </w:tcMar>
            <w:vAlign w:val="center"/>
          </w:tcPr>
          <w:p>
            <w:pPr>
              <w:jc w:val="left"/>
            </w:pPr>
            <w:r>
              <w:rPr>
                <w:sz w:val="18"/>
                <w:szCs w:val="18"/>
              </w:rPr>
              <w:t xml:space="preserve">MA4</w:t>
            </w:r>
          </w:p>
        </w:tc>
        <w:tc>
          <w:tcPr>
            <w:tcW w:type="dxa" w:w="2600"/>
            <w:shd w:fill="f7f9fb" w:val="clear"/>
            <w:tcMar>
              <w:top w:type="dxa" w:w="60"/>
              <w:left w:type="dxa" w:w="100"/>
              <w:bottom w:type="dxa" w:w="60"/>
              <w:right w:type="dxa" w:w="100"/>
            </w:tcMar>
            <w:vAlign w:val="center"/>
          </w:tcPr>
          <w:p>
            <w:pPr>
              <w:jc w:val="left"/>
            </w:pPr>
            <w:r>
              <w:rPr>
                <w:sz w:val="18"/>
                <w:szCs w:val="18"/>
              </w:rPr>
              <w:t xml:space="preserve">The scenario</w:t>
            </w:r>
          </w:p>
        </w:tc>
        <w:tc>
          <w:tcPr>
            <w:tcW w:type="dxa" w:w="2600"/>
            <w:shd w:fill="f7f9fb" w:val="clear"/>
            <w:tcMar>
              <w:top w:type="dxa" w:w="60"/>
              <w:left w:type="dxa" w:w="100"/>
              <w:bottom w:type="dxa" w:w="60"/>
              <w:right w:type="dxa" w:w="100"/>
            </w:tcMar>
            <w:vAlign w:val="center"/>
          </w:tcPr>
          <w:p>
            <w:pPr>
              <w:jc w:val="left"/>
            </w:pPr>
            <w:r>
              <w:rPr>
                <w:sz w:val="18"/>
                <w:szCs w:val="18"/>
              </w:rPr>
              <w:t xml:space="preserve">Margo Thibodeau, the staff room, and the choice between exactly these two plans are invented</w:t>
            </w:r>
          </w:p>
        </w:tc>
        <w:tc>
          <w:tcPr>
            <w:tcW w:type="dxa" w:w="3460"/>
            <w:shd w:fill="f7f9fb" w:val="clear"/>
            <w:tcMar>
              <w:top w:type="dxa" w:w="60"/>
              <w:left w:type="dxa" w:w="100"/>
              <w:bottom w:type="dxa" w:w="60"/>
              <w:right w:type="dxa" w:w="100"/>
            </w:tcMar>
            <w:vAlign w:val="center"/>
          </w:tcPr>
          <w:p>
            <w:pPr>
              <w:jc w:val="left"/>
            </w:pPr>
            <w:r>
              <w:rPr>
                <w:sz w:val="18"/>
                <w:szCs w:val="18"/>
              </w:rPr>
              <w:t xml:space="preserve">Maine's commission, its report [S7], the enacted plan [S5], and every number above are real.</w:t>
            </w:r>
          </w:p>
        </w:tc>
      </w:tr>
      <w:tr>
        <w:trPr>
          <w:cantSplit/>
        </w:trPr>
        <w:tc>
          <w:tcPr>
            <w:tcW w:type="dxa" w:w="700"/>
            <w:tcMar>
              <w:top w:type="dxa" w:w="60"/>
              <w:left w:type="dxa" w:w="100"/>
              <w:bottom w:type="dxa" w:w="60"/>
              <w:right w:type="dxa" w:w="100"/>
            </w:tcMar>
            <w:vAlign w:val="center"/>
          </w:tcPr>
          <w:p>
            <w:pPr>
              <w:jc w:val="left"/>
            </w:pPr>
            <w:r>
              <w:rPr>
                <w:sz w:val="18"/>
                <w:szCs w:val="18"/>
              </w:rPr>
              <w:t xml:space="preserve">MA5</w:t>
            </w:r>
          </w:p>
        </w:tc>
        <w:tc>
          <w:tcPr>
            <w:tcW w:type="dxa" w:w="2600"/>
            <w:tcMar>
              <w:top w:type="dxa" w:w="60"/>
              <w:left w:type="dxa" w:w="100"/>
              <w:bottom w:type="dxa" w:w="60"/>
              <w:right w:type="dxa" w:w="100"/>
            </w:tcMar>
            <w:vAlign w:val="center"/>
          </w:tcPr>
          <w:p>
            <w:pPr>
              <w:jc w:val="left"/>
            </w:pPr>
            <w:r>
              <w:rPr>
                <w:sz w:val="18"/>
                <w:szCs w:val="18"/>
              </w:rPr>
              <w:t xml:space="preserve">A water boundary counts as a border, exactly like a land boundary</w:t>
            </w:r>
          </w:p>
        </w:tc>
        <w:tc>
          <w:tcPr>
            <w:tcW w:type="dxa" w:w="2600"/>
            <w:tcMar>
              <w:top w:type="dxa" w:w="60"/>
              <w:left w:type="dxa" w:w="100"/>
              <w:bottom w:type="dxa" w:w="60"/>
              <w:right w:type="dxa" w:w="100"/>
            </w:tcMar>
            <w:vAlign w:val="center"/>
          </w:tcPr>
          <w:p>
            <w:pPr>
              <w:jc w:val="left"/>
            </w:pPr>
            <w:r>
              <w:rPr>
                <w:sz w:val="18"/>
                <w:szCs w:val="18"/>
              </w:rPr>
              <w:t xml:space="preserve">all 34 Appendix B borders counted, including Hancock–Knox</w:t>
            </w:r>
          </w:p>
        </w:tc>
        <w:tc>
          <w:tcPr>
            <w:tcW w:type="dxa" w:w="3460"/>
            <w:tcMar>
              <w:top w:type="dxa" w:w="60"/>
              <w:left w:type="dxa" w:w="100"/>
              <w:bottom w:type="dxa" w:w="60"/>
              <w:right w:type="dxa" w:w="100"/>
            </w:tcMar>
            <w:vAlign w:val="center"/>
          </w:tcPr>
          <w:p>
            <w:pPr>
              <w:jc w:val="left"/>
            </w:pPr>
            <w:r>
              <w:rPr>
                <w:sz w:val="18"/>
                <w:szCs w:val="18"/>
              </w:rPr>
              <w:t xml:space="preserve">The Census file [S4] makes no distinction; matches the working professional GIS convention.</w:t>
            </w:r>
          </w:p>
        </w:tc>
      </w:tr>
    </w:tbl>
    <w:p>
      <w:pPr>
        <w:spacing w:after="160"/>
      </w:pPr>
      <w:r>
        <w:rPr>
          <w:b/>
          <w:bCs/>
        </w:rPr>
        <w:t xml:space="preserve">“As of” cutoff. </w:t>
      </w:r>
      <w:r>
        <w:t xml:space="preserve">Every population figure in this case is frozen at the 2020 Census; it does not drift. The case law in Appendix E is current as of the access date in Appendix G.</w:t>
      </w:r>
    </w:p>
    <w:p>
      <w:pPr>
        <w:pStyle w:val="Heading1"/>
        <w:spacing w:after="140" w:before="280"/>
      </w:pPr>
      <w:r>
        <w:rPr>
          <w:b/>
          <w:bCs/>
          <w:color w:val="1a3a5c"/>
          <w:sz w:val="30"/>
          <w:szCs w:val="30"/>
        </w:rPr>
        <w:t xml:space="preserve">Appendix I — “How To…” Math Questions To Research</w:t>
      </w:r>
    </w:p>
    <w:p>
      <w:pPr>
        <w:spacing w:after="100"/>
      </w:pPr>
      <w:r>
        <w:rPr>
          <w:b/>
          <w:bCs/>
        </w:rPr>
        <w:t xml:space="preserve">Vocabulary terms</w:t>
      </w:r>
    </w:p>
    <w:p>
      <w:pPr>
        <w:pStyle w:val="ListParagraph"/>
        <w:numPr>
          <w:ilvl w:val="0"/>
          <w:numId w:val="1"/>
        </w:numPr>
        <w:spacing w:after="60"/>
      </w:pPr>
      <w:r>
        <w:t xml:space="preserve">Fundamental Counting Principle</w:t>
      </w:r>
    </w:p>
    <w:p>
      <w:pPr>
        <w:pStyle w:val="ListParagraph"/>
        <w:numPr>
          <w:ilvl w:val="0"/>
          <w:numId w:val="1"/>
        </w:numPr>
        <w:spacing w:after="60"/>
      </w:pPr>
      <w:r>
        <w:t xml:space="preserve">Binomial Coefficient</w:t>
      </w:r>
    </w:p>
    <w:p>
      <w:pPr>
        <w:pStyle w:val="ListParagraph"/>
        <w:numPr>
          <w:ilvl w:val="0"/>
          <w:numId w:val="1"/>
        </w:numPr>
        <w:spacing w:after="60"/>
      </w:pPr>
      <w:r>
        <w:t xml:space="preserve">Pigeonhole Principle</w:t>
      </w:r>
    </w:p>
    <w:p>
      <w:pPr>
        <w:pStyle w:val="ListParagraph"/>
        <w:numPr>
          <w:ilvl w:val="0"/>
          <w:numId w:val="1"/>
        </w:numPr>
        <w:spacing w:after="60"/>
      </w:pPr>
      <w:r>
        <w:t xml:space="preserve">Recursive Formula</w:t>
      </w:r>
    </w:p>
    <w:p>
      <w:pPr>
        <w:pStyle w:val="ListParagraph"/>
        <w:numPr>
          <w:ilvl w:val="0"/>
          <w:numId w:val="1"/>
        </w:numPr>
        <w:spacing w:after="60"/>
      </w:pPr>
      <w:r>
        <w:t xml:space="preserve">Base Case</w:t>
      </w:r>
    </w:p>
    <w:p>
      <w:pPr>
        <w:pStyle w:val="ListParagraph"/>
        <w:numPr>
          <w:ilvl w:val="0"/>
          <w:numId w:val="1"/>
        </w:numPr>
        <w:spacing w:after="60"/>
      </w:pPr>
      <w:r>
        <w:t xml:space="preserve">Mathematical Induction</w:t>
      </w:r>
    </w:p>
    <w:p>
      <w:pPr>
        <w:pStyle w:val="ListParagraph"/>
        <w:numPr>
          <w:ilvl w:val="0"/>
          <w:numId w:val="1"/>
        </w:numPr>
        <w:spacing w:after="60"/>
      </w:pPr>
      <w:r>
        <w:t xml:space="preserve">Inductive Step</w:t>
      </w:r>
    </w:p>
    <w:p>
      <w:pPr>
        <w:pStyle w:val="ListParagraph"/>
        <w:numPr>
          <w:ilvl w:val="0"/>
          <w:numId w:val="1"/>
        </w:numPr>
        <w:spacing w:after="60"/>
      </w:pPr>
      <w:r>
        <w:t xml:space="preserve">Mean</w:t>
      </w:r>
    </w:p>
    <w:p>
      <w:pPr>
        <w:spacing w:after="100"/>
      </w:pPr>
      <w:r>
        <w:rPr>
          <w:b/>
          <w:bCs/>
        </w:rPr>
        <w:t xml:space="preserve">“How to…” questions</w:t>
      </w:r>
    </w:p>
    <w:p>
      <w:pPr>
        <w:pStyle w:val="ListParagraph"/>
        <w:numPr>
          <w:ilvl w:val="0"/>
          <w:numId w:val="1"/>
        </w:numPr>
        <w:spacing w:after="60"/>
      </w:pPr>
      <w:r>
        <w:t xml:space="preserve">How to apply the Fundamental Counting Principle to count outcomes</w:t>
      </w:r>
    </w:p>
    <w:p>
      <w:pPr>
        <w:pStyle w:val="ListParagraph"/>
        <w:numPr>
          <w:ilvl w:val="0"/>
          <w:numId w:val="1"/>
        </w:numPr>
        <w:spacing w:after="60"/>
      </w:pPr>
      <w:r>
        <w:t xml:space="preserve">How to compute a binomial coefficient</w:t>
      </w:r>
    </w:p>
    <w:p>
      <w:pPr>
        <w:pStyle w:val="ListParagraph"/>
        <w:numPr>
          <w:ilvl w:val="0"/>
          <w:numId w:val="1"/>
        </w:numPr>
        <w:spacing w:after="60"/>
      </w:pPr>
      <w:r>
        <w:t xml:space="preserve">How to write a recursive formula for a sequence</w:t>
      </w:r>
    </w:p>
    <w:p>
      <w:pPr>
        <w:pStyle w:val="ListParagraph"/>
        <w:numPr>
          <w:ilvl w:val="0"/>
          <w:numId w:val="1"/>
        </w:numPr>
        <w:spacing w:after="60"/>
      </w:pPr>
      <w:r>
        <w:t xml:space="preserve">How to convert a recursive formula to an explicit formula</w:t>
      </w:r>
    </w:p>
    <w:p>
      <w:pPr>
        <w:pStyle w:val="ListParagraph"/>
        <w:numPr>
          <w:ilvl w:val="0"/>
          <w:numId w:val="1"/>
        </w:numPr>
        <w:spacing w:after="60"/>
      </w:pPr>
      <w:r>
        <w:t xml:space="preserve">How to prove a statement using mathematical induction</w:t>
      </w:r>
    </w:p>
    <w:p>
      <w:pPr>
        <w:pStyle w:val="ListParagraph"/>
        <w:numPr>
          <w:ilvl w:val="0"/>
          <w:numId w:val="1"/>
        </w:numPr>
        <w:spacing w:after="60"/>
      </w:pPr>
      <w:r>
        <w:t xml:space="preserve">How to convert numbers to percents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4fg8ezs3j6w1pujuyevz" Type="http://schemas.openxmlformats.org/officeDocument/2006/relationships/hyperlink" Target="https://www2.census.gov/programs-surveys/decennial/2020/data/apportionment/apportionment-2020-table01.pdf" TargetMode="External"/><Relationship Id="rIdp_ryj0szetrfobpjyqush" Type="http://schemas.openxmlformats.org/officeDocument/2006/relationships/hyperlink" Target="https://www2.census.gov/programs-surveys/decennial/2020/data/01-Redistricting_File--PL_94-171/Maine/me2020.pl.zip" TargetMode="External"/><Relationship Id="rIdsvfyst_geicasb7c_c9i-" Type="http://schemas.openxmlformats.org/officeDocument/2006/relationships/hyperlink" Target="https://www2.census.gov/programs-surveys/decennial/2020/data/01-Redistricting_File--PL_94-171/Maine/me2020.pl.zip" TargetMode="External"/><Relationship Id="rId_h4xtddtfw39zw0a16rco" Type="http://schemas.openxmlformats.org/officeDocument/2006/relationships/hyperlink" Target="https://www2.census.gov/geo/docs/reference/county_adjacency/county_adjacency2025.txt" TargetMode="External"/><Relationship Id="rIdjgqoes2myt6yarujmmlab" Type="http://schemas.openxmlformats.org/officeDocument/2006/relationships/hyperlink" Target="https://legislature.maine.gov/statutes/21-a/title21-Asec1205-A.html" TargetMode="External"/><Relationship Id="rId3fz6zrtblbdpuxwmp8yi9" Type="http://schemas.openxmlformats.org/officeDocument/2006/relationships/hyperlink" Target="https://www.maine.gov/sos/elections-voting/2020-census-apportionment-overview" TargetMode="External"/><Relationship Id="rIdgnckz1ruja2dd0zq7u4dn" Type="http://schemas.openxmlformats.org/officeDocument/2006/relationships/hyperlink" Target="https://www.maine.gov/sos/elections-voting/2020-census-apportionment-details" TargetMode="External"/><Relationship Id="rIdlodsr-bwjbuhtghnle-vo" Type="http://schemas.openxmlformats.org/officeDocument/2006/relationships/hyperlink" Target="https://www.law.cornell.edu/supremecourt/text/462/725" TargetMode="External"/><Relationship Id="rIdiduny_qbdsa5pe86pzjj8" Type="http://schemas.openxmlformats.org/officeDocument/2006/relationships/hyperlink" Target="https://www.law.cornell.edu/supremecourt/text/11-1184"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2026-08-19T02:59:36.640Z</dcterms:created>
  <dcterms:modified xsi:type="dcterms:W3CDTF">2026-08-19T02:59:36.646Z</dcterms:modified>
</cp:coreProperties>
</file>

<file path=docProps/custom.xml><?xml version="1.0" encoding="utf-8"?>
<Properties xmlns="http://schemas.openxmlformats.org/officeDocument/2006/custom-properties" xmlns:vt="http://schemas.openxmlformats.org/officeDocument/2006/docPropsVTypes"/>
</file>