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B1E1E"/>
          <w:sz w:val="20"/>
          <w:szCs w:val="20"/>
        </w:rPr>
        <w:t xml:space="preserve">FACILITATOR GUIDE — DO NOT DISTRIBUTE TO STUDENTS</w:t>
      </w:r>
    </w:p>
    <w:p>
      <w:pPr>
        <w:spacing w:after="60"/>
        <w:jc w:val="center"/>
      </w:pPr>
      <w:r>
        <w:rPr>
          <w:b/>
          <w:bCs/>
          <w:color w:val="1F3A5F"/>
          <w:sz w:val="32"/>
          <w:szCs w:val="32"/>
        </w:rPr>
        <w:t xml:space="preserve">Redrawing Lines</w:t>
      </w:r>
    </w:p>
    <w:p>
      <w:pPr>
        <w:spacing w:after="320"/>
        <w:jc w:val="center"/>
      </w:pPr>
      <w:r>
        <w:rPr>
          <w:color w:val="555555"/>
          <w:sz w:val="22"/>
          <w:szCs w:val="22"/>
        </w:rPr>
        <w:t xml:space="preserve">MS | Math | Case Study | 2026 | Adventure</w:t>
      </w:r>
    </w:p>
    <w:p>
      <w:pPr>
        <w:pBdr>
          <w:left w:val="single" w:color="C9A227" w:sz="24" w:space="8"/>
        </w:pBdr>
        <w:shd w:fill="FFF6DD" w:color="auto" w:val="clear"/>
        <w:spacing w:after="200"/>
      </w:pPr>
      <w:r>
        <w:rPr>
          <w:b/>
          <w:bCs/>
        </w:rPr>
        <w:t xml:space="preserve">Facilitator note — sensitivity. </w:t>
      </w:r>
      <w:r>
        <w:t xml:space="preserve">Redistricting is politically charged in a way that has nothing to do with the math in this case. The case is built entirely on population counts, county borders and case law — no election results, no party registration — and neither option is a partisan position. If a learner steers the discussion toward parties or candidates, redirect to the two numbers on the table and note that both plans satisfy the same legal criteria. If a learner has family in a divided county and takes it personally, that is legitimate material for the discussion, not a derailment: ask them to put the harm in a unit the memo could carry.</w:t>
      </w:r>
    </w:p>
    <w:p>
      <w:pPr>
        <w:pStyle w:val="Heading1"/>
        <w:spacing w:after="160" w:before="320"/>
      </w:pPr>
      <w:r>
        <w:t xml:space="preserve">Case Snapshot</w:t>
      </w:r>
    </w:p>
    <w:p>
      <w:pPr>
        <w:spacing w:after="160"/>
      </w:pPr>
      <w:r>
        <w:t xml:space="preserve">Tier: T4 · Band: HS · Studio: Heroes Academy</w:t>
      </w:r>
    </w:p>
    <w:p>
      <w:pPr>
        <w:spacing w:after="160"/>
      </w:pPr>
      <w:r>
        <w:t xml:space="preserve">Standards: Discrete Mathematics / Combinatorics (the three remaining zero-coverage skills) + Discrete Mathematics / Proof And Recursion (all seven) — see case.json.standards[] for the exact ids.</w:t>
      </w:r>
    </w:p>
    <w:p>
      <w:pPr>
        <w:spacing w:after="160"/>
      </w:pPr>
      <w:r>
        <w:t xml:space="preserve">Researched and margin-resolved 2026-08-12. Current margin_pct = 10.0 on county-line crossings — The Kennebec Split 10, The Hancock Line 11 (sensitivity_model.py, case.json.derived). Re-checked for drift at every readiness run.</w:t>
      </w:r>
    </w:p>
    <w:p>
      <w:pPr>
        <w:pBdr>
          <w:left w:val="single" w:color="8B1E1E" w:sz="24" w:space="8"/>
        </w:pBdr>
        <w:shd w:fill="FBEAEA" w:color="auto" w:val="clear"/>
        <w:spacing w:after="200"/>
      </w:pPr>
      <w:r>
        <w:rPr>
          <w:b/>
          <w:bCs/>
        </w:rPr>
        <w:t xml:space="preserve">Read this before you run the room. </w:t>
      </w:r>
      <w:r>
        <w:t xml:space="preserve">The margin is 10.0 percent under two stated conventions and it is not convention-free under either. MA2: count Kennebec in the southern district instead of the northern one and The Kennebec Split scores 12 against The Hancock Line's 11 — B wins instead, by 9.1 percent. Both readings stay inside SPEC §2's cap, so the case is close either way, but the winner is a choice the case made, not a fact it found. MA5: drop the Hancock–Knox water boundary and The Kennebec Split falls to 9 while The Hancock Line stays at 11 — the margin widens to 22.2 percent, past the cap, in A's favour. Both are printed in the open in Appendix H. If a Hero attacks either, they are right to, and the correct response is "yes, and here is exactly what that does to the number," not a defence.</w:t>
      </w:r>
    </w:p>
    <w:p>
      <w:pPr>
        <w:pStyle w:val="Heading1"/>
        <w:spacing w:after="160" w:before="320"/>
      </w:pPr>
      <w:r>
        <w:t xml:space="preserve">Run of Show</w:t>
      </w:r>
    </w:p>
    <w:p>
      <w:pPr>
        <w:pStyle w:val="Heading2"/>
        <w:spacing w:after="120" w:before="240"/>
      </w:pPr>
      <w:r>
        <w:t xml:space="preserve">Intro</w:t>
      </w:r>
    </w:p>
    <w:p>
      <w:pPr>
        <w:spacing w:after="160"/>
      </w:pPr>
      <w:r>
        <w:t xml:space="preserve">Frame the format: this is a staff memo, not a worksheet. Name the opener — "You are the analyst. The commission votes Monday, your name is on the recommendation, and both plans are legal." Say out loud, once, that the case uses no election data and that neither plan is a party's plan. Say it early so nobody spends the discussion looking for the hidden partisan angle.</w:t>
      </w:r>
    </w:p>
    <w:p>
      <w:pPr>
        <w:pStyle w:val="Heading2"/>
        <w:spacing w:after="120" w:before="240"/>
      </w:pPr>
      <w:r>
        <w:t xml:space="preserve">Launch</w:t>
      </w:r>
    </w:p>
    <w:p>
      <w:pPr>
        <w:spacing w:after="160"/>
      </w:pPr>
      <w:r>
        <w:t xml:space="preserve">Show the two plans side by side with every number stripped off — two shapes and one county in the middle. Ask for a gut read: "Which one looks fairer to you, before you know anything about it?" Do not confirm or correct. The point is a commitment made on shape alone, so that the arithmetic later has something to overturn.</w:t>
      </w:r>
    </w:p>
    <w:p>
      <w:pPr>
        <w:pStyle w:val="Heading2"/>
        <w:spacing w:after="120" w:before="240"/>
      </w:pPr>
      <w:r>
        <w:t xml:space="preserve">Anchor 1 — Take a stand and vote</w:t>
      </w:r>
    </w:p>
    <w:p>
      <w:pPr>
        <w:spacing w:after="160"/>
      </w:pPr>
      <w:r>
        <w:rPr>
          <w:b/>
          <w:bCs/>
        </w:rPr>
        <w:t xml:space="preserve">TAKE A STAND AND VOTE. No reasoning yet, just commit.</w:t>
      </w:r>
    </w:p>
    <w:p>
      <w:pPr>
        <w:spacing w:after="160"/>
      </w:pPr>
      <w:r>
        <w:t xml:space="preserve">"Is anyone courageous enough to stand with the plan that cuts a county in half?" Show of hands, both options, no discussion. Record the count — Close will ask for it again.</w:t>
      </w:r>
    </w:p>
    <w:p>
      <w:pPr>
        <w:pStyle w:val="Heading2"/>
        <w:spacing w:after="120" w:before="240"/>
      </w:pPr>
      <w:r>
        <w:t xml:space="preserve">Anchor 2 — What is the problem we're solving?</w:t>
      </w:r>
    </w:p>
    <w:p>
      <w:pPr>
        <w:spacing w:after="160"/>
      </w:pPr>
      <w:r>
        <w:rPr>
          <w:i/>
          <w:iCs/>
        </w:rPr>
        <w:t xml:space="preserve">"Is this the right question?" · "What do you mean by 'fair'?"</w:t>
      </w:r>
    </w:p>
    <w:p>
      <w:pPr>
        <w:spacing w:after="160"/>
      </w:pPr>
      <w:r>
        <w:t xml:space="preserve">Let confusion grow here; it is deliberate. Heroes will reach for a single fairness number and there isn't one. There is a count of people out of place and a count of communities cut in half, and they point opposite ways. Push: "Margo isn't ranking one thing. She's ranking two, and one of them is measured in people and the other in county borders. Can those go in the same column?" If the room lands on "these are different units" without being told, the case is working.</w:t>
      </w:r>
    </w:p>
    <w:p>
      <w:pPr>
        <w:pStyle w:val="Heading2"/>
        <w:spacing w:after="120" w:before="240"/>
      </w:pPr>
      <w:r>
        <w:t xml:space="preserve">Anchor 3 — What is the process?</w:t>
      </w:r>
    </w:p>
    <w:p>
      <w:pPr>
        <w:spacing w:after="160"/>
      </w:pPr>
      <w:r>
        <w:rPr>
          <w:i/>
          <w:iCs/>
        </w:rPr>
        <w:t xml:space="preserve">"If we go through this process and find the data, how will we decide?"</w:t>
      </w:r>
    </w:p>
    <w:p>
      <w:pPr>
        <w:spacing w:after="160"/>
      </w:pPr>
      <w:r>
        <w:t xml:space="preserve">Make them name the steps before opening an appendix: count how many plans there could be (D1), write the counting down as a rule that builds each row from the one before (D2), prove the count is complete rather than merely large (D3), prove what is impossible before computing what is possible (D4), and only then score the two plans in front of you (D5). Re-ask: "Is our question still the right one now that we can see the steps?"</w:t>
      </w:r>
    </w:p>
    <w:p>
      <w:pPr>
        <w:pStyle w:val="Heading2"/>
        <w:spacing w:after="120" w:before="240"/>
      </w:pPr>
      <w:r>
        <w:t xml:space="preserve">Anchor 4 — What don't we know?</w:t>
      </w:r>
    </w:p>
    <w:p>
      <w:pPr>
        <w:spacing w:after="160"/>
      </w:pPr>
      <w:r>
        <w:rPr>
          <w:i/>
          <w:iCs/>
        </w:rPr>
        <w:t xml:space="preserve">"Do we need to make assumptions? Which ones are critical?"</w:t>
      </w:r>
    </w:p>
    <w:p>
      <w:pPr>
        <w:spacing w:after="160"/>
      </w:pPr>
      <w:r>
        <w:t xml:space="preserve">Appendix H has five, and they are not equally dangerous. MA1 (a severed county is worth 1 crossing) is the numeric dial and it is stable — flexed either way by half, the ranking does not move; the two plans tie only at a weight of 2. MA2 (a divided county is counted on the side holding more of its people) is the one that decides who wins, and it cannot be flexed because it is a convention, not a number. MA5 (a water boundary counts as a border) is the same kind of choice and pushes the margin to 22.2 percent. MA3 (the staff shortlist rule, now "closest to equal population") decides which plans are on the table at all, which is a bigger power than any of them. Ask directly: "Which of these five would you most want a source for, and why can't you have one?"</w:t>
      </w:r>
    </w:p>
    <w:p>
      <w:pPr>
        <w:pStyle w:val="Heading2"/>
        <w:spacing w:after="120" w:before="240"/>
      </w:pPr>
      <w:r>
        <w:t xml:space="preserve">Data Deep Dive</w:t>
      </w:r>
    </w:p>
    <w:p>
      <w:pPr>
        <w:spacing w:after="160"/>
      </w:pPr>
      <w:r>
        <w:t xml:space="preserve">Now, and only now, the numbers. 16 counties, each going to one of two districts, gives 65,536 by the Fundamental Counting Principle — 65,534 once you drop the two that empty a district. The size-breakdown row is C(16, j), and it reads 1, 16, 120, 560, 1820, 4368, 8008, 11440, 12870, 11440, 8008, 4368, 1820, 560, 120, 16, 1 — a palindrome that sums to 65,536, the same fact as Appendix F's two contiguity rows (1,734 assignments, 867 plans) counted two ways.</w:t>
      </w:r>
    </w:p>
    <w:p>
      <w:pPr>
        <w:spacing w:after="160"/>
      </w:pPr>
      <w:r>
        <w:t xml:space="preserve">The proof (D3) is the point of the case: Appendix F's first row is a claim about how many plans exist, not evidence that any of them were checked. What licenses "we examined every whole-county plan" is the induction — base case, then Pascal's rule inside the inductive step. A Hero who quotes 65,534 as a credential has not noticed the difference between a big number and a proof.</w:t>
      </w:r>
    </w:p>
    <w:p>
      <w:pPr>
        <w:spacing w:after="160"/>
      </w:pPr>
      <w:r>
        <w:t xml:space="preserve">Pigeonhole (D4): 1,362,359 is odd, so no two districts can hold equal shares — one must hold at least 681,180. Second claim: 16 counties into 2 districts forces at least 8 into one of them. Third: the four largest counties into two districts forces at least two into the same district — but pigeonhole proves a pair exists, not which pair. The guaranteed consequence is the smallest such pair, Penobscot and Kennebec, at least 275,841 people. The vivid instance, Cumberland and York at 515,041, is not guaranteed — a Hero who quotes it as the floor has over-read the principle, the same error as reading a count as an audit.</w:t>
      </w:r>
    </w:p>
    <w:p>
      <w:pPr>
        <w:spacing w:after="160"/>
      </w:pPr>
      <w:r>
        <w:t xml:space="preserve">Scorecard (D5): The Kennebec Split runs along 9 borders and through Kennebec, for 10. The Hancock Line runs along 11 and through nothing, for 11. On population: 681,179 vs. 681,180 is a maximum deviation of 1 (0.000147%); 683,062 vs. 679,297 is 3,765 (0.5527%). Karcher struck 0.6984%, Tennant upheld 0.79%, and The Hancock Line sits below both — B's legal position is genuinely comfortable and A's advantage, though enormous in ratio, is an advantage over a plan that is already lawful.</w:t>
      </w:r>
    </w:p>
    <w:p>
      <w:pPr>
        <w:pBdr>
          <w:left w:val="single" w:color="C9A227" w:sz="24" w:space="8"/>
        </w:pBdr>
        <w:shd w:fill="FFF6DD" w:color="auto" w:val="clear"/>
        <w:spacing w:after="200"/>
      </w:pPr>
      <w:r>
        <w:rPr>
          <w:b/>
          <w:bCs/>
        </w:rPr>
        <w:t xml:space="preserve">Watch the deviation basis. </w:t>
      </w:r>
      <w:r>
        <w:t xml:space="preserve">Appendix E's percentages are maximum deviation (larger district minus smaller, over the ideal). The other natural reading — one district's distance from the ideal — is exactly half. Half-size figures are not comparable to Karcher and Tennant, and the error is invisible on the two plans on the table (both readings clear both benchmarks) but decisive at the twist, where it turns Oxford's 1.2277% into 0.6139% and reverses the legal conclusion. Ask every pitch which of the two numbers it is quoting, before the twist lands.</w:t>
      </w:r>
    </w:p>
    <w:p>
      <w:pPr>
        <w:pStyle w:val="Heading1"/>
        <w:spacing w:after="160" w:before="320"/>
      </w:pPr>
      <w:r>
        <w:t xml:space="preserve">Twist — drop this at about 15 minutes into the discussion</w:t>
      </w:r>
    </w:p>
    <w:p>
      <w:pPr>
        <w:spacing w:after="160"/>
      </w:pPr>
      <w:r>
        <w:rPr>
          <w:i/>
          <w:iCs/>
        </w:rPr>
        <w:t xml:space="preserve">Deliver slowly, with pauses.</w:t>
      </w:r>
    </w:p>
    <w:p>
      <w:pPr>
        <w:spacing w:after="160"/>
      </w:pPr>
      <w:r>
        <w:t xml:space="preserve">"A commissioner has moved from the floor to strike the staff shortlist rule and swap Oxford County in for Hancock. Look at Appendix D again with that motion in front of you: the Oxford version splits the state 685,361 against 676,998."</w:t>
      </w:r>
    </w:p>
    <w:p>
      <w:pPr>
        <w:spacing w:after="160"/>
      </w:pPr>
      <w:r>
        <w:t xml:space="preserve">"Recompute what you just argued. That plan runs along 9 county borders and through none. It beats The Kennebec Split's 10 on Margo's own rubric — the whole-county side has just won the primary metric, by 11.11 percent."</w:t>
      </w:r>
    </w:p>
    <w:p>
      <w:pPr>
        <w:spacing w:after="160"/>
      </w:pPr>
      <w:r>
        <w:t xml:space="preserve">"And its maximum deviation is 8,363 people — 1.2277 percent, larger than Tennant's 0.79 and Karcher's 0.6984. The whole-county plan is now the best plan on Margo's rubric and the only plan on the table that might not survive a court. You have sixty seconds. Does that change your recommendation, or only your reason for it?"</w:t>
      </w:r>
    </w:p>
    <w:p>
      <w:pPr>
        <w:pBdr>
          <w:left w:val="single" w:color="8B1E1E" w:sz="24" w:space="8"/>
        </w:pBdr>
        <w:shd w:fill="FBEAEA" w:color="auto" w:val="clear"/>
        <w:spacing w:after="200"/>
      </w:pPr>
      <w:r>
        <w:rPr>
          <w:b/>
          <w:bCs/>
        </w:rPr>
        <w:t xml:space="preserve">Facilitator-only: what the numbers actually do. </w:t>
      </w:r>
      <w:r>
        <w:t xml:space="preserve">evaluate_twist() in sensitivity_model.py recomputes the pair as 10 against 9 — the winner flips from A to B on the primary metric, margin 11.11 percent the other way. Both popular positions break at once: "A wins the rubric too" dies for the A side, and "our plan is the legally comfortable one" dies for the B side. The strongest thing a Hero can say here is that the substitution proves the argument was never really about which county gets added — it was about MA3, the staff rule that ranked the shortlist on population and thereby kept the rubric's own best plan off the table. The rubric and the rule disagree, and no number resolves that.</w:t>
      </w:r>
    </w:p>
    <w:p>
      <w:pPr>
        <w:spacing w:after="160"/>
      </w:pPr>
      <w:r>
        <w:t xml:space="preserve">If the room has already overturned MA2: a room that adopted the minority convention was already scoring The Kennebec Split at 12, so the whole-county side was already ahead and the twist's metric flip is not a flip for them — it just widens the gap. The legal half still lands with full force, because Oxford is above both Appendix E benchmarks where Hancock was below both. Lead with the deviation, not the crossings, if that is where the discussion has gone.</w:t>
      </w:r>
    </w:p>
    <w:p>
      <w:pPr>
        <w:pStyle w:val="Heading1"/>
        <w:spacing w:after="160" w:before="320"/>
      </w:pPr>
      <w:r>
        <w:t xml:space="preserve">Immediate Recommit</w:t>
      </w:r>
    </w:p>
    <w:p>
      <w:pPr>
        <w:spacing w:after="160"/>
      </w:pPr>
      <w:r>
        <w:t xml:space="preserve">Re-vote immediately, by name. "Did the motion change your vote, or just your confidence?" That distinction is the transferable skill, not the vote.</w:t>
      </w:r>
    </w:p>
    <w:p>
      <w:pPr>
        <w:pStyle w:val="Heading1"/>
        <w:spacing w:after="160" w:before="320"/>
      </w:pPr>
      <w:r>
        <w:t xml:space="preserve">Deep Conflict — Three Threads</w:t>
      </w:r>
    </w:p>
    <w:p>
      <w:pPr>
        <w:pStyle w:val="ListParagraph"/>
        <w:numPr>
          <w:ilvl w:val="0"/>
          <w:numId w:val="2"/>
        </w:numPr>
        <w:spacing w:after="100"/>
      </w:pPr>
      <w:r>
        <w:t xml:space="preserve">Two units, one column. Crossings are borders; deviation is people. D5 asks for both and then asks for one recommendation. Is putting them in one ranking a judgement the analyst is entitled to make, or one she should hand up to the commission unresolved?</w:t>
      </w:r>
    </w:p>
    <w:p>
      <w:pPr>
        <w:pStyle w:val="ListParagraph"/>
        <w:numPr>
          <w:ilvl w:val="0"/>
          <w:numId w:val="2"/>
        </w:numPr>
        <w:spacing w:after="100"/>
      </w:pPr>
      <w:r>
        <w:t xml:space="preserve">A count is not an audit. Appendix F says 65,534. D3 says why anyone should believe the commission looked at them. Which of those two would you put in a court filing, and what does the other one actually buy you?</w:t>
      </w:r>
    </w:p>
    <w:p>
      <w:pPr>
        <w:pStyle w:val="ListParagraph"/>
        <w:numPr>
          <w:ilvl w:val="0"/>
          <w:numId w:val="2"/>
        </w:numPr>
        <w:spacing w:after="100"/>
      </w:pPr>
      <w:r>
        <w:t xml:space="preserve">The rule nobody wrote down. MA3 is staff practice. If a Hero goes looking outside it, there is a whole-county plan — Androscoggin, Cumberland, Oxford and York in the south — splitting the state 683,957 against 678,402 with only 5 crossings: a maximum deviation of 5,555, or 0.8155 percent, and far better than either plan on the table on the primary metric. It also moves 335,054 Mainers into a different district, which is the cost the staff rule exists to avoid, and its 0.8155 percent is above Tennant's 0.79. If somebody finds it, that is the best outcome of the night: reward it, then ask what the rule was protecting.</w:t>
      </w:r>
    </w:p>
    <w:p>
      <w:pPr>
        <w:pStyle w:val="Heading1"/>
        <w:spacing w:after="160" w:before="32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1F3A5F" w:color="auto" w:val="clear"/>
          </w:tcPr>
          <w:p>
            <w:r>
              <w:rPr>
                <w:b/>
                <w:bCs/>
                <w:color w:val="FFFFFF"/>
              </w:rPr>
              <w:t xml:space="preserve">Time</w:t>
            </w:r>
          </w:p>
        </w:tc>
        <w:tc>
          <w:tcPr>
            <w:tcW w:type="dxa" w:w="7200"/>
            <w:shd w:fill="1F3A5F" w:color="auto" w:val="clear"/>
          </w:tcPr>
          <w:p>
            <w:r>
              <w:rPr>
                <w:b/>
                <w:bCs/>
                <w:color w:val="FFFFFF"/>
              </w:rPr>
              <w:t xml:space="preserve">Move</w:t>
            </w:r>
          </w:p>
        </w:tc>
      </w:tr>
      <w:tr>
        <w:tc>
          <w:tcPr>
            <w:tcW w:type="dxa" w:w="2160"/>
            <w:shd w:fill="FFFFFF" w:color="auto" w:val="clear"/>
          </w:tcPr>
          <w:p>
            <w:r>
              <w:t xml:space="preserve">0:00–3:00</w:t>
            </w:r>
          </w:p>
        </w:tc>
        <w:tc>
          <w:tcPr>
            <w:tcW w:type="dxa" w:w="7200"/>
            <w:shd w:fill="FFFFFF" w:color="auto" w:val="clear"/>
          </w:tcPr>
          <w:p>
            <w:r>
              <w:t xml:space="preserve">Launch — two shapes, no numbers, cold-call for a gut read, stand/sit vote</w:t>
            </w:r>
          </w:p>
        </w:tc>
      </w:tr>
      <w:tr>
        <w:tc>
          <w:tcPr>
            <w:tcW w:type="dxa" w:w="2160"/>
            <w:shd w:fill="F2F4F7" w:color="auto" w:val="clear"/>
          </w:tcPr>
          <w:p>
            <w:r>
              <w:t xml:space="preserve">3:00–10:00</w:t>
            </w:r>
          </w:p>
        </w:tc>
        <w:tc>
          <w:tcPr>
            <w:tcW w:type="dxa" w:w="7200"/>
            <w:shd w:fill="F2F4F7" w:color="auto" w:val="clear"/>
          </w:tcPr>
          <w:p>
            <w:r>
              <w:t xml:space="preserve">Position defense — "Convince us it's better, not just more legal"</w:t>
            </w:r>
          </w:p>
        </w:tc>
      </w:tr>
      <w:tr>
        <w:tc>
          <w:tcPr>
            <w:tcW w:type="dxa" w:w="2160"/>
            <w:shd w:fill="FFFFFF" w:color="auto" w:val="clear"/>
          </w:tcPr>
          <w:p>
            <w:r>
              <w:t xml:space="preserve">10:00–15:00</w:t>
            </w:r>
          </w:p>
        </w:tc>
        <w:tc>
          <w:tcPr>
            <w:tcW w:type="dxa" w:w="7200"/>
            <w:shd w:fill="FFFFFF" w:color="auto" w:val="clear"/>
          </w:tcPr>
          <w:p>
            <w:r>
              <w:t xml:space="preserve">Pressure-test the models — "Whose number is resting on an assumption?"</w:t>
            </w:r>
          </w:p>
        </w:tc>
      </w:tr>
      <w:tr>
        <w:tc>
          <w:tcPr>
            <w:tcW w:type="dxa" w:w="2160"/>
            <w:shd w:fill="F2F4F7" w:color="auto" w:val="clear"/>
          </w:tcPr>
          <w:p>
            <w:r>
              <w:t xml:space="preserve">15:00</w:t>
            </w:r>
          </w:p>
        </w:tc>
        <w:tc>
          <w:tcPr>
            <w:tcW w:type="dxa" w:w="7200"/>
            <w:shd w:fill="F2F4F7" w:color="auto" w:val="clear"/>
          </w:tcPr>
          <w:p>
            <w:r>
              <w:t xml:space="preserve">DROP THE TWIST — the Oxford substitution, delivered slowly</w:t>
            </w:r>
          </w:p>
        </w:tc>
      </w:tr>
      <w:tr>
        <w:tc>
          <w:tcPr>
            <w:tcW w:type="dxa" w:w="2160"/>
            <w:shd w:fill="FFFFFF" w:color="auto" w:val="clear"/>
          </w:tcPr>
          <w:p>
            <w:r>
              <w:t xml:space="preserve">15:00–20:00</w:t>
            </w:r>
          </w:p>
        </w:tc>
        <w:tc>
          <w:tcPr>
            <w:tcW w:type="dxa" w:w="7200"/>
            <w:shd w:fill="FFFFFF" w:color="auto" w:val="clear"/>
          </w:tcPr>
          <w:p>
            <w:r>
              <w:t xml:space="preserve">Immediate recommit — who reverses, and why</w:t>
            </w:r>
          </w:p>
        </w:tc>
      </w:tr>
      <w:tr>
        <w:tc>
          <w:tcPr>
            <w:tcW w:type="dxa" w:w="2160"/>
            <w:shd w:fill="F2F4F7" w:color="auto" w:val="clear"/>
          </w:tcPr>
          <w:p>
            <w:r>
              <w:t xml:space="preserve">20:00–30:00</w:t>
            </w:r>
          </w:p>
        </w:tc>
        <w:tc>
          <w:tcPr>
            <w:tcW w:type="dxa" w:w="7200"/>
            <w:shd w:fill="F2F4F7" w:color="auto" w:val="clear"/>
          </w:tcPr>
          <w:p>
            <w:r>
              <w:t xml:space="preserve">Threaded deep conflict (two units; count vs. audit; the rule nobody wrote down)</w:t>
            </w:r>
          </w:p>
        </w:tc>
      </w:tr>
      <w:tr>
        <w:tc>
          <w:tcPr>
            <w:tcW w:type="dxa" w:w="2160"/>
            <w:shd w:fill="FFFFFF" w:color="auto" w:val="clear"/>
          </w:tcPr>
          <w:p>
            <w:r>
              <w:t xml:space="preserve">30:00–45:00</w:t>
            </w:r>
          </w:p>
        </w:tc>
        <w:tc>
          <w:tcPr>
            <w:tcW w:type="dxa" w:w="7200"/>
            <w:shd w:fill="FFFFFF" w:color="auto" w:val="clear"/>
          </w:tcPr>
          <w:p>
            <w:r>
              <w:t xml:space="preserve">Close, re-vote, reflection, lessons learned</w:t>
            </w:r>
          </w:p>
        </w:tc>
      </w:tr>
    </w:tbl>
    <w:p>
      <w:pPr>
        <w:pStyle w:val="Heading1"/>
        <w:spacing w:after="160" w:before="320"/>
      </w:pPr>
      <w:r>
        <w:t xml:space="preserve">The Trap</w:t>
      </w:r>
    </w:p>
    <w:p>
      <w:pPr>
        <w:pBdr>
          <w:left w:val="single" w:color="8B1E1E" w:sz="24" w:space="8"/>
        </w:pBdr>
        <w:shd w:fill="FBEAEA" w:color="auto" w:val="clear"/>
        <w:spacing w:after="200"/>
      </w:pPr>
      <w:r>
        <w:rPr>
          <w:b/>
          <w:bCs/>
        </w:rPr>
        <w:t xml:space="preserve">Primary trap — a count read as an audit. </w:t>
      </w:r>
      <w:r>
        <w:t xml:space="preserve">As of the 2026-08-18 revision, case.md's Appendix F no longer prints 65,534 — a Hero has to derive it (D1, the Fundamental Counting Principle over the Appendix A county list). That makes the trap stronger, not weaker: most Heroes will compute 65,536 (or 65,534 once the two empty-district assignments are dropped), feel the satisfaction of having done real work to get there, and write "the commission examined every plan" straight into the pitch anyway. Nothing in the packet examines anything: 65,534 is a count of how many plans exist, not evidence that any were checked — deriving it yourself doesn't change what it proves. The only thing that licenses the claim is the D3 induction proof, and a pitch that quotes the screening count as a credential while skipping the base case has made exactly the mistake the case was built to catch.</w:t>
      </w:r>
    </w:p>
    <w:p>
      <w:pPr>
        <w:pBdr>
          <w:left w:val="single" w:color="C9A227" w:sz="24" w:space="8"/>
        </w:pBdr>
        <w:shd w:fill="FFF6DD" w:color="auto" w:val="clear"/>
        <w:spacing w:after="200"/>
      </w:pPr>
      <w:r>
        <w:rPr>
          <w:b/>
          <w:bCs/>
        </w:rPr>
        <w:t xml:space="preserve">Second wrong path — the deviation basis. </w:t>
      </w:r>
      <w:r>
        <w:t xml:space="preserve">Most learners will quote one district's distance from the ideal — the half-size figure — against Karcher's and Tennant's maximum-deviation percentages, because "largest deviation from the ideal" is the phrase that sounds right. It is harmless on the two plans on the table and decisive at the twist, where it turns Oxford's 1.2277 percent into 0.6139 and reverses the legal conclusion. Appendix E states the basis explicitly and D5 asks for both figures, so a Hero who does this has skipped a line they were given — but they will still do it, and it will look like careful work.</w:t>
      </w:r>
    </w:p>
    <w:p>
      <w:pPr>
        <w:pStyle w:val="Heading1"/>
        <w:spacing w:after="160" w:before="320"/>
      </w:pPr>
      <w:r>
        <w:t xml:space="preserve">Socratic Questions</w:t>
      </w:r>
    </w:p>
    <w:p>
      <w:pPr>
        <w:pStyle w:val="ListParagraph"/>
        <w:numPr>
          <w:ilvl w:val="0"/>
          <w:numId w:val="3"/>
        </w:numPr>
        <w:spacing w:after="100"/>
      </w:pPr>
      <w:r>
        <w:t xml:space="preserve">The Kennebec Split is off by 1 person and The Hancock Line by 3,765 — but D4 proves no Maine plan can be exactly even. Does knowing that perfection was never available make the gap between 1 and 3,765 matter more, or less?</w:t>
      </w:r>
    </w:p>
    <w:p>
      <w:pPr>
        <w:pStyle w:val="ListParagraph"/>
        <w:numPr>
          <w:ilvl w:val="0"/>
          <w:numId w:val="3"/>
        </w:numPr>
        <w:spacing w:after="100"/>
      </w:pPr>
      <w:r>
        <w:t xml:space="preserve">Karcher struck 0.6984 percent and Tennant upheld 0.79 percent, and The Hancock Line is at 0.5527 percent — below both. If B is already lawful, what work is A's extra precision actually doing?</w:t>
      </w:r>
    </w:p>
    <w:p>
      <w:pPr>
        <w:pStyle w:val="ListParagraph"/>
        <w:numPr>
          <w:ilvl w:val="0"/>
          <w:numId w:val="3"/>
        </w:numPr>
        <w:spacing w:after="100"/>
      </w:pPr>
      <w:r>
        <w:t xml:space="preserve">Appendix H says a severed county is worth 1 crossing, and that number came from nowhere. The two plans tie at 2. At what weight would you change your recommendation — and does your answer mean the recommendation was ever really about crossings?</w:t>
      </w:r>
    </w:p>
    <w:p>
      <w:pPr>
        <w:pStyle w:val="ListParagraph"/>
        <w:numPr>
          <w:ilvl w:val="0"/>
          <w:numId w:val="3"/>
        </w:numPr>
        <w:spacing w:after="100"/>
      </w:pPr>
      <w:r>
        <w:t xml:space="preserve">Appendix F says 65,534 plans and D3 asks you to prove a row of numbers adds up. Which of those two would convince you the commission looked at every plan, and why isn't it the bigger number?</w:t>
      </w:r>
    </w:p>
    <w:p>
      <w:pPr>
        <w:pStyle w:val="ListParagraph"/>
        <w:numPr>
          <w:ilvl w:val="0"/>
          <w:numId w:val="3"/>
        </w:numPr>
        <w:spacing w:after="100"/>
      </w:pPr>
      <w:r>
        <w:t xml:space="preserve">Appendix D shows Oxford scores better on crossings than Hancock, and Hancock is on the table anyway because of a rule that is staff practice and not law. Who should be allowed to make that rule?</w:t>
      </w:r>
    </w:p>
    <w:p>
      <w:pPr>
        <w:pStyle w:val="ListParagraph"/>
        <w:numPr>
          <w:ilvl w:val="0"/>
          <w:numId w:val="3"/>
        </w:numPr>
        <w:spacing w:after="100"/>
      </w:pPr>
      <w:r>
        <w:t xml:space="preserve">MA2 decides who wins: one convention gives A by 10.0 percent, the opposite gives B by 9.1 percent. If a stated convention picks the winner, is the recommendation a finding or a choice — and should Margo's memo say which?</w:t>
      </w:r>
    </w:p>
    <w:p>
      <w:pPr>
        <w:pStyle w:val="Heading1"/>
        <w:spacing w:after="160" w:before="320"/>
      </w:pPr>
      <w:r>
        <w:t xml:space="preserve">Close</w:t>
      </w:r>
    </w:p>
    <w:p>
      <w:pPr>
        <w:spacing w:after="160"/>
      </w:pPr>
      <w:r>
        <w:rPr>
          <w:b/>
          <w:bCs/>
        </w:rPr>
        <w:t xml:space="preserve">VOTE AGAIN.</w:t>
      </w:r>
    </w:p>
    <w:p>
      <w:pPr>
        <w:spacing w:after="160"/>
      </w:pPr>
      <w:r>
        <w:t xml:space="preserve">"Did we ask the right question at the start?" "What math was new to you tonight, and how did you actually attack it?" Compare the closing count to Anchor 1's. A room that did not move after the twist is worth asking about directly: did the substitution not land, or did the room already have the right structure built in before it arrived?</w:t>
      </w:r>
    </w:p>
    <w:p>
      <w:pPr>
        <w:pStyle w:val="Heading1"/>
        <w:spacing w:after="160" w:before="320"/>
      </w:pPr>
      <w:r>
        <w:t xml:space="preserve">What a Strong Defense Sounds Like</w:t>
      </w:r>
    </w:p>
    <w:p>
      <w:pPr>
        <w:spacing w:after="160"/>
      </w:pPr>
      <w:r>
        <w:t xml:space="preserve">There is no single right answer here — the margin is a genuine 10.0%, and it flips under a stated alternate convention (MA2). A strong pitch, for either side, names the convention it used rather than treating its result as a plain fact; shows the D1–D5 arithmetic in full, including the induction proof in D3 and the guaranteed-minimum reasoning in D4(iii); and engages honestly with at least one Modeling Assumption — most naturally MA2 (which convention decided the winner) or MA5 (the water-boundary convention and its effect on the margin). A pitch that quotes Appendix F's screening count as evidence the commission "examined every plan," without the D3 proof behind it, has fallen into the trap regardless of which option it ultimately recommends. A pitch for The Kennebec Split that leans on near-exact population equality against Tennant's own reasoning, or a pitch for The Hancock Line that argues legal comfort under both Karcher and Tennant outweighs a marginal population gain, are both defensible — what matters is that the reasoning is shown and the convention is named, not which box gets checked.</w:t>
      </w:r>
    </w:p>
    <w:p>
      <w:pPr>
        <w:pStyle w:val="Heading1"/>
        <w:spacing w:after="160" w:before="320"/>
      </w:pPr>
      <w:r>
        <w:t xml:space="preserve">Skills Exercised</w:t>
      </w:r>
    </w:p>
    <w:p>
      <w:pPr>
        <w:pStyle w:val="ListParagraph"/>
        <w:numPr>
          <w:ilvl w:val="0"/>
          <w:numId w:val="4"/>
        </w:numPr>
        <w:spacing w:after="100"/>
      </w:pPr>
      <w:r>
        <w:t xml:space="preserve">Fundamental Counting Principle — the map-space count in D1</w:t>
      </w:r>
    </w:p>
    <w:p>
      <w:pPr>
        <w:pStyle w:val="ListParagraph"/>
        <w:numPr>
          <w:ilvl w:val="0"/>
          <w:numId w:val="4"/>
        </w:numPr>
        <w:spacing w:after="100"/>
      </w:pPr>
      <w:r>
        <w:t xml:space="preserve">How to apply the Fundamental Counting Principle to count outcomes</w:t>
      </w:r>
    </w:p>
    <w:p>
      <w:pPr>
        <w:pStyle w:val="ListParagraph"/>
        <w:numPr>
          <w:ilvl w:val="0"/>
          <w:numId w:val="4"/>
        </w:numPr>
        <w:spacing w:after="100"/>
      </w:pPr>
      <w:r>
        <w:t xml:space="preserve">Binomial Coefficient — the size-breakdown row</w:t>
      </w:r>
    </w:p>
    <w:p>
      <w:pPr>
        <w:pStyle w:val="ListParagraph"/>
        <w:numPr>
          <w:ilvl w:val="0"/>
          <w:numId w:val="4"/>
        </w:numPr>
        <w:spacing w:after="100"/>
      </w:pPr>
      <w:r>
        <w:t xml:space="preserve">How to compute a binomial coefficient — by-hand factorial arithmetic in D1</w:t>
      </w:r>
    </w:p>
    <w:p>
      <w:pPr>
        <w:pStyle w:val="ListParagraph"/>
        <w:numPr>
          <w:ilvl w:val="0"/>
          <w:numId w:val="4"/>
        </w:numPr>
        <w:spacing w:after="100"/>
      </w:pPr>
      <w:r>
        <w:t xml:space="preserve">Recursive Formula — D2's three-part recursion sheet</w:t>
      </w:r>
    </w:p>
    <w:p>
      <w:pPr>
        <w:pStyle w:val="ListParagraph"/>
        <w:numPr>
          <w:ilvl w:val="0"/>
          <w:numId w:val="4"/>
        </w:numPr>
        <w:spacing w:after="100"/>
      </w:pPr>
      <w:r>
        <w:t xml:space="preserve">Base Case — stated separately in D2 and D3</w:t>
      </w:r>
    </w:p>
    <w:p>
      <w:pPr>
        <w:pStyle w:val="ListParagraph"/>
        <w:numPr>
          <w:ilvl w:val="0"/>
          <w:numId w:val="4"/>
        </w:numPr>
        <w:spacing w:after="100"/>
      </w:pPr>
      <w:r>
        <w:t xml:space="preserve">How to write a recursive formula for a sequence</w:t>
      </w:r>
    </w:p>
    <w:p>
      <w:pPr>
        <w:pStyle w:val="ListParagraph"/>
        <w:numPr>
          <w:ilvl w:val="0"/>
          <w:numId w:val="4"/>
        </w:numPr>
        <w:spacing w:after="100"/>
      </w:pPr>
      <w:r>
        <w:t xml:space="preserve">How to convert a recursive formula to an explicit formula</w:t>
      </w:r>
    </w:p>
    <w:p>
      <w:pPr>
        <w:pStyle w:val="ListParagraph"/>
        <w:numPr>
          <w:ilvl w:val="0"/>
          <w:numId w:val="4"/>
        </w:numPr>
        <w:spacing w:after="100"/>
      </w:pPr>
      <w:r>
        <w:t xml:space="preserve">Mathematical Induction — the D3 exhaustiveness certificate</w:t>
      </w:r>
    </w:p>
    <w:p>
      <w:pPr>
        <w:pStyle w:val="ListParagraph"/>
        <w:numPr>
          <w:ilvl w:val="0"/>
          <w:numId w:val="4"/>
        </w:numPr>
        <w:spacing w:after="100"/>
      </w:pPr>
      <w:r>
        <w:t xml:space="preserve">Inductive Step — named against the exact line of the D2(b) recursion it uses</w:t>
      </w:r>
    </w:p>
    <w:p>
      <w:pPr>
        <w:pStyle w:val="ListParagraph"/>
        <w:numPr>
          <w:ilvl w:val="0"/>
          <w:numId w:val="4"/>
        </w:numPr>
        <w:spacing w:after="100"/>
      </w:pPr>
      <w:r>
        <w:t xml:space="preserve">How to prove a statement using mathematical induction</w:t>
      </w:r>
    </w:p>
    <w:p>
      <w:pPr>
        <w:pStyle w:val="ListParagraph"/>
        <w:numPr>
          <w:ilvl w:val="0"/>
          <w:numId w:val="4"/>
        </w:numPr>
        <w:spacing w:after="100"/>
      </w:pPr>
      <w:r>
        <w:t xml:space="preserve">Pigeonhole Principle — the three D4 claims</w:t>
      </w:r>
    </w:p>
    <w:p>
      <w:pPr>
        <w:pStyle w:val="ListParagraph"/>
        <w:numPr>
          <w:ilvl w:val="0"/>
          <w:numId w:val="4"/>
        </w:numPr>
        <w:spacing w:after="100"/>
      </w:pPr>
      <w:r>
        <w:t xml:space="preserve">Mean — the ideal district population as a mean</w:t>
      </w:r>
    </w:p>
    <w:p>
      <w:pPr>
        <w:pStyle w:val="ListParagraph"/>
        <w:numPr>
          <w:ilvl w:val="0"/>
          <w:numId w:val="4"/>
        </w:numPr>
        <w:spacing w:after="100"/>
      </w:pPr>
      <w:r>
        <w:t xml:space="preserve">How to convert numbers to percents — every deviation and crossings-margin figure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2026-08-19T03:04:02.442Z</dcterms:created>
  <dcterms:modified xsi:type="dcterms:W3CDTF">2026-08-19T03:04:02.447Z</dcterms:modified>
</cp:coreProperties>
</file>

<file path=docProps/custom.xml><?xml version="1.0" encoding="utf-8"?>
<Properties xmlns="http://schemas.openxmlformats.org/officeDocument/2006/custom-properties" xmlns:vt="http://schemas.openxmlformats.org/officeDocument/2006/docPropsVTypes"/>
</file>