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Seton Hall</w:t>
      </w:r>
    </w:p>
    <w:p>
      <w:pPr>
        <w:spacing w:after="240"/>
        <w:jc w:val="center"/>
      </w:pPr>
      <w:r>
        <w:rPr>
          <w:i/>
          <w:iCs/>
          <w:sz w:val="22"/>
          <w:szCs w:val="22"/>
        </w:rPr>
        <w:t xml:space="preserve"/>
      </w:r>
    </w:p>
    <w:p>
      <w:r>
        <w:t xml:space="preserve">MS | Math | Case Study | 2026-27 | Heroes Academy</w:t>
      </w:r>
    </w:p>
    <w:p>
      <w:pPr>
        <w:pStyle w:val="Heading2"/>
        <w:spacing w:after="120" w:before="240"/>
      </w:pPr>
      <w:r>
        <w:t xml:space="preserve">Overview</w:t>
      </w:r>
    </w:p>
    <w:p>
      <w:r>
        <w:t xml:space="preserve">The room is a hotel conference floor in midtown Manhattan, phones confiscated at the door, blinds drawn. Bernadette McGlade has been in this chair for four years now, and she still isn't used to it — ten people deciding, in private, which college basketball programs get to keep playing and which go home. On the wall, a name: </w:t>
      </w:r>
      <w:r>
        <w:rPr>
          <w:b/>
          <w:bCs/>
        </w:rPr>
        <w:t xml:space="preserve">Seton Hall</w:t>
      </w:r>
      <w:r>
        <w:t xml:space="preserve">. Win-loss record. Offensive rating. Defensive rating. The strength of every team they've played.</w:t>
      </w:r>
    </w:p>
    <w:p>
      <w:r>
        <w:t xml:space="preserve">"We've been on this one for twenty-five minutes," says the committee chair. "Time to vote. Is Seton Hall one of the best teams in the country? Yeas."</w:t>
      </w:r>
    </w:p>
    <w:p>
      <w:r>
        <w:t xml:space="preserve">Five hands go up.</w:t>
      </w:r>
    </w:p>
    <w:p>
      <w:r>
        <w:t xml:space="preserve">"Nays."</w:t>
      </w:r>
    </w:p>
    <w:p>
      <w:r>
        <w:t xml:space="preserve">Five hands go up.</w:t>
      </w:r>
    </w:p>
    <w:p>
      <w:r>
        <w:t xml:space="preserve">Every head in the room turns to Bernadette. She hasn't voted yet. Down the hall, someone's phone keeps buzzing against a table — the news out of Ohio, out of Utah, the word </w:t>
      </w:r>
      <w:r>
        <w:rPr>
          <w:i/>
          <w:iCs/>
        </w:rPr>
        <w:t xml:space="preserve">pandemic</w:t>
      </w:r>
      <w:r>
        <w:t xml:space="preserve"> passed room to room in whispers nobody in here has had time to process. Not yet. Right now there is only the tie, and her hand, and the chart on the wall.</w:t>
      </w:r>
    </w:p>
    <w:p>
      <w:r>
        <w:t xml:space="preserve">"Bernadette," the chair says. "It's you."</w:t>
      </w:r>
    </w:p>
    <w:p>
      <w:pPr>
        <w:pStyle w:val="Heading2"/>
        <w:spacing w:after="120" w:before="240"/>
      </w:pPr>
      <w:r>
        <w:t xml:space="preserve">Background</w:t>
      </w:r>
    </w:p>
    <w:p>
      <w:r>
        <w:t xml:space="preserve">Bernadette McGlade is the Commissioner of the Atlantic-10 Conference and, in the 2019-20 season, a sitting member of the NCAA Division I Men's Basketball Committee — a 10-person body of conference and university administrators who serve staggered terms selecting, seeding, and bracketing the 68-team field for the NCAA Tournament, "March Madness" [S1].</w:t>
      </w:r>
    </w:p>
    <w:p>
      <w:r>
        <w:t xml:space="preserve">The committee's job runs all season. There are 353 Division I teams, and because each plays only about 31-35 games, no two teams' schedules overlap enough to compare records directly (SEE APPENDIX A). To correct for that, the committee leans on opponent-adjusted statistics: not just how many points a team scores and allows, but how good the </w:t>
      </w:r>
      <w:r>
        <w:rPr>
          <w:i/>
          <w:iCs/>
        </w:rPr>
        <w:t xml:space="preserve">teams it played</w:t>
      </w:r>
      <w:r>
        <w:t xml:space="preserve"> were on offense and defense. Those four numbers — </w:t>
      </w:r>
      <w:r>
        <w:rPr>
          <w:b/>
          <w:bCs/>
        </w:rPr>
        <w:t xml:space="preserve">Team Offensive Rating</w:t>
      </w:r>
      <w:r>
        <w:t xml:space="preserve">, </w:t>
      </w:r>
      <w:r>
        <w:rPr>
          <w:b/>
          <w:bCs/>
        </w:rPr>
        <w:t xml:space="preserve">Team Defensive Rating</w:t>
      </w:r>
      <w:r>
        <w:t xml:space="preserve">, </w:t>
      </w:r>
      <w:r>
        <w:rPr>
          <w:b/>
          <w:bCs/>
        </w:rPr>
        <w:t xml:space="preserve">Opponents' Offensive Rating</w:t>
      </w:r>
      <w:r>
        <w:t xml:space="preserve">, and </w:t>
      </w:r>
      <w:r>
        <w:rPr>
          <w:b/>
          <w:bCs/>
        </w:rPr>
        <w:t xml:space="preserve">Opponents' Defensive Rating</w:t>
      </w:r>
      <w:r>
        <w:t xml:space="preserve"> — are defined in full in </w:t>
      </w:r>
      <w:r>
        <w:rPr>
          <w:b/>
          <w:bCs/>
        </w:rPr>
        <w:t xml:space="preserve">APPENDIX B</w:t>
      </w:r>
      <w:r>
        <w:t xml:space="preserve">, which also carries the real, opponent-adjusted numbers for the 25 teams that sat closest to the top-16 cutoff line that season.</w:t>
      </w:r>
    </w:p>
    <w:p>
      <w:r>
        <w:t xml:space="preserve">On March 11-12, 2020, before the committee could finish its work, the COVID-19 pandemic shut down the rest of the college basketball season. The NCAA Tournament was canceled outright — the first cancellation in its history — and no official bracket, seed list, or committee vote was ever finalized or released [S2]. </w:t>
      </w:r>
      <w:r>
        <w:rPr>
          <w:b/>
          <w:bCs/>
        </w:rPr>
        <w:t xml:space="preserve">This case is a reconstruction</w:t>
      </w:r>
      <w:r>
        <w:t xml:space="preserve">, not a transcript: it uses the real, dated season statistics that existed in the field on the day the season stopped (SEE APPENDICES A, B and C) to ask the question the committee never got to finish answering. The specific 5-5 tie described above is a dramatized frame for the dilemma, not a leaked vote count — the committee's actual internal deliberations and any tallies are never made public, by rule.</w:t>
      </w:r>
    </w:p>
    <w:p>
      <w:r>
        <w:t xml:space="preserve">Two real, independent rankings existed on that frozen day: the final Associated Press media poll, released March 16, 2020, had Seton Hall at </w:t>
      </w:r>
      <w:r>
        <w:rPr>
          <w:b/>
          <w:bCs/>
        </w:rPr>
        <w:t xml:space="preserve">No. 15</w:t>
      </w:r>
      <w:r>
        <w:t xml:space="preserve"> [S3][S4] — the last complete national ranking of the season. The NCAA's own NET system, the tool the real committee uses, had Seton Hall at </w:t>
      </w:r>
      <w:r>
        <w:rPr>
          <w:b/>
          <w:bCs/>
        </w:rPr>
        <w:t xml:space="preserve">No. 15</w:t>
      </w:r>
      <w:r>
        <w:t xml:space="preserve"> in the final week it was tracked that season [S5]. Both of those numbers, and the full opponent-adjusted rating data behind them, are in </w:t>
      </w:r>
      <w:r>
        <w:rPr>
          <w:b/>
          <w:bCs/>
        </w:rPr>
        <w:t xml:space="preserve">APPENDIX A</w:t>
      </w:r>
      <w:r>
        <w:t xml:space="preserve">.</w:t>
      </w:r>
    </w:p>
    <w:p>
      <w:r>
        <w:rPr>
          <w:b/>
          <w:bCs/>
        </w:rPr>
        <w:t xml:space="preserve">Seton Hall finished the regular season 21-9 (13-5 Big East), a share of the Big East regular-season title</w:t>
      </w:r>
      <w:r>
        <w:t xml:space="preserve"> [S3]. Whether that record and that rating profile is genuinely a top-16 résumé, or genuinely just short of one, is what you have to decide. The conventions this case uses to make that judgment possible — how the comparison field was chosen, what "top 16" means, and how many teams are in the full field — are stated explicitly in </w:t>
      </w:r>
      <w:r>
        <w:rPr>
          <w:b/>
          <w:bCs/>
        </w:rPr>
        <w:t xml:space="preserve">APPENDIX D</w:t>
      </w:r>
      <w:r>
        <w:t xml:space="preserve">, and every figure in this case is cited in </w:t>
      </w:r>
      <w:r>
        <w:rPr>
          <w:b/>
          <w:bCs/>
        </w:rPr>
        <w:t xml:space="preserve">APPENDIX E</w:t>
      </w:r>
      <w:r>
        <w:t xml:space="preserve">.</w:t>
      </w:r>
    </w:p>
    <w:p>
      <w:r>
        <w:t xml:space="preserve">The vocabulary and "how to…" skills this case will ask of you are listed in </w:t>
      </w:r>
      <w:r>
        <w:rPr>
          <w:b/>
          <w:bCs/>
        </w:rPr>
        <w:t xml:space="preserve">APPENDIX F</w:t>
      </w:r>
      <w:r>
        <w:t xml:space="preserve"> — that is where Challenge 1 sends you.</w:t>
      </w:r>
    </w:p>
    <w:p>
      <w:pPr>
        <w:pStyle w:val="Heading2"/>
        <w:spacing w:after="120" w:before="240"/>
      </w:pPr>
      <w:r>
        <w:t xml:space="preserve">Dilemma</w:t>
      </w:r>
    </w:p>
    <w:p>
      <w:r>
        <w:t xml:space="preserve">You are Bernadette McGlade.</w:t>
      </w:r>
    </w:p>
    <w:p>
      <w:r>
        <w:t xml:space="preserve">Do you:</w:t>
      </w:r>
    </w:p>
    <w:p>
      <w:r>
        <w:rPr>
          <w:b/>
          <w:bCs/>
        </w:rPr>
        <w:t xml:space="preserve">A.)</w:t>
      </w:r>
      <w:r>
        <w:t xml:space="preserve"> Vote yea — Seton Hall earns one of the tournament's top 16 overall seeds </w:t>
      </w:r>
      <w:r>
        <w:rPr>
          <w:b/>
          <w:bCs/>
        </w:rPr>
        <w:t xml:space="preserve">OR</w:t>
      </w:r>
    </w:p>
    <w:p>
      <w:r>
        <w:rPr>
          <w:b/>
          <w:bCs/>
        </w:rPr>
        <w:t xml:space="preserve">B.)</w:t>
      </w:r>
      <w:r>
        <w:t xml:space="preserve"> Vote nay — Seton Hall's résumé falls just short of the top 16</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A scatter plot</w:t>
      </w:r>
      <w:r>
        <w:t xml:space="preserve"> of the 25-team bubble field in Appendix B, plotted on a labeled coordinate plane (you choose which two rating columns go on the x- and y-axis), with Seton Hall's point clearly identified.</w:t>
      </w:r>
    </w:p>
    <w:p>
      <w:pPr>
        <w:ind w:left="360"/>
      </w:pPr>
      <w:r>
        <w:t xml:space="preserve">- </w:t>
      </w:r>
      <w:r>
        <w:rPr>
          <w:b/>
          <w:bCs/>
        </w:rPr>
        <w:t xml:space="preserve">D2 — Your own original ranking algorithm</w:t>
      </w:r>
      <w:r>
        <w:t xml:space="preserve">: an equation or formula, in the form of a linear combination (score = coefficient × variable + coefficient × variable + …), that combines </w:t>
      </w:r>
      <w:r>
        <w:rPr>
          <w:b/>
          <w:bCs/>
        </w:rPr>
        <w:t xml:space="preserve">at least 3</w:t>
      </w:r>
      <w:r>
        <w:t xml:space="preserve"> of the real data columns in Appendix B into a single "Power Score" for a team. You must build this yourself — not copy a real-world rating system.</w:t>
      </w:r>
    </w:p>
    <w:p>
      <w:pPr>
        <w:ind w:left="360"/>
      </w:pPr>
      <w:r>
        <w:t xml:space="preserve">- </w:t>
      </w:r>
      <w:r>
        <w:rPr>
          <w:b/>
          <w:bCs/>
        </w:rPr>
        <w:t xml:space="preserve">D3 — A ranked table</w:t>
      </w:r>
      <w:r>
        <w:t xml:space="preserve">: apply your D2 algorithm to every team in the Appendix B bubble field, in ranked order by your Power Score, with Seton Hall's resulting position marked clearly against the No. 16 cutoff line.</w:t>
      </w:r>
    </w:p>
    <w:p>
      <w:pPr>
        <w:ind w:left="360"/>
      </w:pPr>
      <w:r>
        <w:t xml:space="preserve">- </w:t>
      </w:r>
      <w:r>
        <w:rPr>
          <w:b/>
          <w:bCs/>
        </w:rPr>
        <w:t xml:space="preserve">D4 — A rating-differential comparison</w:t>
      </w:r>
      <w:r>
        <w:t xml:space="preserve">: for Seton Hall and at least 3 comparison teams from Appendix B that straddle your algorithm's cutoff line, compute the Team Rating Difference (Team Offensive Rating − Team Defensive Rating) and the Opponents' Rating Difference, rounded to one decimal place, and state in words which of each pair is greater.</w:t>
      </w:r>
    </w:p>
    <w:p>
      <w:pPr>
        <w:ind w:left="360"/>
      </w:pPr>
      <w:r>
        <w:t xml:space="preserve">- </w:t>
      </w:r>
      <w:r>
        <w:rPr>
          <w:b/>
          <w:bCs/>
        </w:rPr>
        <w:t xml:space="preserve">D5 — Your recommendation</w:t>
      </w:r>
      <w:r>
        <w:t xml:space="preserve">: the exact rank (out of the 25-team bubble field, and your best guess at their rank out of all 353 teams) you believe Seton Hall should receive, your yea/nay vote, and how your Power Score compares to the two real rankings in Appendix A (AP Poll and NET).</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Two Real Rankings From the Day the Season Stopped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Ranking</w:t>
            </w:r>
          </w:p>
        </w:tc>
        <w:tc>
          <w:tcPr>
            <w:tcW w:type="dxa" w:w="2250"/>
            <w:shd w:fill="DDDDDD" w:val="clear"/>
          </w:tcPr>
          <w:p>
            <w:r>
              <w:t xml:space="preserve">Seton Hall's rank</w:t>
            </w:r>
          </w:p>
        </w:tc>
        <w:tc>
          <w:tcPr>
            <w:tcW w:type="dxa" w:w="2250"/>
            <w:shd w:fill="DDDDDD" w:val="clear"/>
          </w:tcPr>
          <w:p>
            <w:r>
              <w:t xml:space="preserve">What it measures</w:t>
            </w:r>
          </w:p>
        </w:tc>
        <w:tc>
          <w:tcPr>
            <w:tcW w:type="dxa" w:w="2250"/>
            <w:shd w:fill="DDDDDD" w:val="clear"/>
          </w:tcPr>
          <w:p>
            <w:r>
              <w:t xml:space="preserve">Source</w:t>
            </w:r>
          </w:p>
        </w:tc>
      </w:tr>
      <w:tr>
        <w:tc>
          <w:tcPr>
            <w:tcW w:type="dxa" w:w="2250"/>
          </w:tcPr>
          <w:p>
            <w:r>
              <w:t xml:space="preserve">Final AP Media Poll (released March 16, 2020)</w:t>
            </w:r>
          </w:p>
        </w:tc>
        <w:tc>
          <w:tcPr>
            <w:tcW w:type="dxa" w:w="2250"/>
          </w:tcPr>
          <w:p>
            <w:r>
              <w:rPr>
                <w:b/>
                <w:bCs/>
              </w:rPr>
              <w:t xml:space="preserve">No. 15</w:t>
            </w:r>
            <w:r>
              <w:t xml:space="preserve"> of 25 ranked teams</w:t>
            </w:r>
          </w:p>
        </w:tc>
        <w:tc>
          <w:tcPr>
            <w:tcW w:type="dxa" w:w="2250"/>
          </w:tcPr>
          <w:p>
            <w:r>
              <w:t xml:space="preserve">A weekly vote of ~65 national sportswriters and broadcasters — a human, résumé-and-eye-test judgment, not a statistical formula</w:t>
            </w:r>
          </w:p>
        </w:tc>
        <w:tc>
          <w:tcPr>
            <w:tcW w:type="dxa" w:w="2250"/>
          </w:tcPr>
          <w:p>
            <w:r>
              <w:t xml:space="preserve">[S3][S4]</w:t>
            </w:r>
          </w:p>
        </w:tc>
      </w:tr>
      <w:tr>
        <w:tc>
          <w:tcPr>
            <w:tcW w:type="dxa" w:w="2250"/>
          </w:tcPr>
          <w:p>
            <w:r>
              <w:t xml:space="preserve">NCAA NET Ranking (final tracked week, 2019-20 season)</w:t>
            </w:r>
          </w:p>
        </w:tc>
        <w:tc>
          <w:tcPr>
            <w:tcW w:type="dxa" w:w="2250"/>
          </w:tcPr>
          <w:p>
            <w:r>
              <w:rPr>
                <w:b/>
                <w:bCs/>
              </w:rPr>
              <w:t xml:space="preserve">No. 15</w:t>
            </w:r>
            <w:r>
              <w:t xml:space="preserve"> of 353 teams</w:t>
            </w:r>
          </w:p>
        </w:tc>
        <w:tc>
          <w:tcPr>
            <w:tcW w:type="dxa" w:w="2250"/>
          </w:tcPr>
          <w:p>
            <w:r>
              <w:t xml:space="preserve">The NCAA's own opponent-adjusted rating system, introduced in 2018 specifically to help the real committee do this job</w:t>
            </w:r>
          </w:p>
        </w:tc>
        <w:tc>
          <w:tcPr>
            <w:tcW w:type="dxa" w:w="2250"/>
          </w:tcPr>
          <w:p>
            <w:r>
              <w:t xml:space="preserve">[S5]</w:t>
            </w:r>
          </w:p>
        </w:tc>
      </w:tr>
    </w:tbl>
    <w:p/>
    <w:p>
      <w:r>
        <w:t xml:space="preserve">Seton Hall's full season: </w:t>
      </w:r>
      <w:r>
        <w:rPr>
          <w:b/>
          <w:bCs/>
        </w:rPr>
        <w:t xml:space="preserve">21-9 overall, 13-5 Big East (regular-season co-champion)</w:t>
      </w:r>
      <w:r>
        <w:t xml:space="preserve"> [S3]. The Big East Tournament — where Seton Hall was the No. 3 seed and would have played Marquette in the quarterfinal — never happened; it was canceled the same week as the NCAA Tournament [S3][S2]. Seton Hall never got the chance to add a marquee win or take a bad loss in March. Its résumé is frozen exactly where it was on March 11, 2020.</w:t>
      </w:r>
    </w:p>
    <w:p>
      <w:r>
        <w:t xml:space="preserve">Both of these are </w:t>
      </w:r>
      <w:r>
        <w:rPr>
          <w:b/>
          <w:bCs/>
        </w:rPr>
        <w:t xml:space="preserve">real, dated numbers</w:t>
      </w:r>
      <w:r>
        <w:t xml:space="preserve">, not projections. Notice how close No. 15 sits to the No. 16 line this case asks you to judge — that is not a coincidence built into this case; it is what actually happened.</w:t>
      </w:r>
    </w:p>
    <w:p>
      <w:pPr>
        <w:pStyle w:val="Heading2"/>
        <w:spacing w:after="120" w:before="240"/>
      </w:pPr>
      <w:r>
        <w:t xml:space="preserve">Appendix B: NCAA Committee Bubble Field — Team &amp; Opponent Ratings</w:t>
      </w:r>
    </w:p>
    <w:p>
      <w:r>
        <w:t xml:space="preserve">The 25 teams below are drawn directly from the same real, contemporaneous 2019-20 season ratings sheet the full field is built from (SEE APPENDIX C for the full 353-team file), selected because their opponent-adjusted numbers put them nearest the historical top-16 cutoff — genuine bubble competition, not a convenient sample.</w:t>
      </w:r>
    </w:p>
    <w:p>
      <w:r>
        <w:rPr>
          <w:b/>
          <w:bCs/>
        </w:rPr>
        <w:t xml:space="preserve">Key</w:t>
      </w:r>
      <w:r>
        <w:t xml:space="preserve"> (verbatim from the original committee data sheet):</w:t>
      </w:r>
    </w:p>
    <w:p>
      <w:pPr>
        <w:ind w:left="360"/>
      </w:pPr>
      <w:r>
        <w:t xml:space="preserve">- </w:t>
      </w:r>
      <w:r>
        <w:rPr>
          <w:b/>
          <w:bCs/>
        </w:rPr>
        <w:t xml:space="preserve">Team Offensive Rating</w:t>
      </w:r>
      <w:r>
        <w:t xml:space="preserve"> — points scored per 100 possessions, adjusted for the quality of opponents faced.</w:t>
      </w:r>
    </w:p>
    <w:p>
      <w:pPr>
        <w:ind w:left="360"/>
      </w:pPr>
      <w:r>
        <w:t xml:space="preserve">- </w:t>
      </w:r>
      <w:r>
        <w:rPr>
          <w:b/>
          <w:bCs/>
        </w:rPr>
        <w:t xml:space="preserve">Team Defensive Rating</w:t>
      </w:r>
      <w:r>
        <w:t xml:space="preserve"> — points allowed per 100 possessions, adjusted for the quality of opponents faced.</w:t>
      </w:r>
    </w:p>
    <w:p>
      <w:pPr>
        <w:ind w:left="360"/>
      </w:pPr>
      <w:r>
        <w:t xml:space="preserve">- </w:t>
      </w:r>
      <w:r>
        <w:rPr>
          <w:b/>
          <w:bCs/>
        </w:rPr>
        <w:t xml:space="preserve">Team Rating Difference</w:t>
      </w:r>
      <w:r>
        <w:t xml:space="preserve"> — Team Offensive Rating minus Team Defensive Rating.</w:t>
      </w:r>
    </w:p>
    <w:p>
      <w:pPr>
        <w:ind w:left="360"/>
      </w:pPr>
      <w:r>
        <w:t xml:space="preserve">- </w:t>
      </w:r>
      <w:r>
        <w:rPr>
          <w:b/>
          <w:bCs/>
        </w:rPr>
        <w:t xml:space="preserve">Opponents' Offensive Rating</w:t>
      </w:r>
      <w:r>
        <w:t xml:space="preserve"> — the average offensive rating of the teams this team played.</w:t>
      </w:r>
    </w:p>
    <w:p>
      <w:pPr>
        <w:ind w:left="360"/>
      </w:pPr>
      <w:r>
        <w:t xml:space="preserve">- </w:t>
      </w:r>
      <w:r>
        <w:rPr>
          <w:b/>
          <w:bCs/>
        </w:rPr>
        <w:t xml:space="preserve">Opponents' Defensive Rating</w:t>
      </w:r>
      <w:r>
        <w:t xml:space="preserve"> — the average defensive rating of the teams this team played.</w:t>
      </w:r>
    </w:p>
    <w:p>
      <w:pPr>
        <w:ind w:left="360"/>
      </w:pPr>
      <w:r>
        <w:t xml:space="preserve">- </w:t>
      </w:r>
      <w:r>
        <w:rPr>
          <w:b/>
          <w:bCs/>
        </w:rPr>
        <w:t xml:space="preserve">Opponents' Rating Difference</w:t>
      </w:r>
      <w:r>
        <w:t xml:space="preserve"> — Opponents' Offensive Rating minus Opponents' Defensive Rating (a measure of strength of schedule).</w:t>
      </w:r>
    </w:p>
    <w:p>
      <w:pPr>
        <w:ind w:left="360"/>
      </w:pPr>
      <w:r>
        <w:t xml:space="preserve">- </w:t>
      </w:r>
      <w:r>
        <w:rPr>
          <w:b/>
          <w:bCs/>
        </w:rPr>
        <w:t xml:space="preserve">(rank)</w:t>
      </w:r>
      <w:r>
        <w:t xml:space="preserve"> next to a rating is that team's national rank out of 353 in that specific column — a low number is better for offense, a low number is better for defense too (fewer points allowed).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000"/>
        <w:gridCol w:w="1000"/>
        <w:gridCol w:w="1000"/>
        <w:gridCol w:w="1000"/>
        <w:gridCol w:w="1000"/>
        <w:gridCol w:w="1000"/>
      </w:tblGrid>
      <w:tr>
        <w:tc>
          <w:tcPr>
            <w:tcW w:type="dxa" w:w="1000"/>
            <w:shd w:fill="DDDDDD" w:val="clear"/>
          </w:tcPr>
          <w:p>
            <w:r>
              <w:t xml:space="preserve">Team</w:t>
            </w:r>
          </w:p>
        </w:tc>
        <w:tc>
          <w:tcPr>
            <w:tcW w:type="dxa" w:w="1000"/>
            <w:shd w:fill="DDDDDD" w:val="clear"/>
          </w:tcPr>
          <w:p>
            <w:r>
              <w:t xml:space="preserve">Conf</w:t>
            </w:r>
          </w:p>
        </w:tc>
        <w:tc>
          <w:tcPr>
            <w:tcW w:type="dxa" w:w="1000"/>
            <w:shd w:fill="DDDDDD" w:val="clear"/>
          </w:tcPr>
          <w:p>
            <w:r>
              <w:t xml:space="preserve">W-L</w:t>
            </w:r>
          </w:p>
        </w:tc>
        <w:tc>
          <w:tcPr>
            <w:tcW w:type="dxa" w:w="1000"/>
            <w:shd w:fill="DDDDDD" w:val="clear"/>
          </w:tcPr>
          <w:p>
            <w:r>
              <w:t xml:space="preserve">Off Rtg (rank)</w:t>
            </w:r>
          </w:p>
        </w:tc>
        <w:tc>
          <w:tcPr>
            <w:tcW w:type="dxa" w:w="1000"/>
            <w:shd w:fill="DDDDDD" w:val="clear"/>
          </w:tcPr>
          <w:p>
            <w:r>
              <w:t xml:space="preserve">Def Rtg (rank)</w:t>
            </w:r>
          </w:p>
        </w:tc>
        <w:tc>
          <w:tcPr>
            <w:tcW w:type="dxa" w:w="1000"/>
            <w:shd w:fill="DDDDDD" w:val="clear"/>
          </w:tcPr>
          <w:p>
            <w:r>
              <w:t xml:space="preserve">Team Rtg Diff</w:t>
            </w:r>
          </w:p>
        </w:tc>
        <w:tc>
          <w:tcPr>
            <w:tcW w:type="dxa" w:w="1000"/>
            <w:shd w:fill="DDDDDD" w:val="clear"/>
          </w:tcPr>
          <w:p>
            <w:r>
              <w:t xml:space="preserve">Opp Off Rtg (rank)</w:t>
            </w:r>
          </w:p>
        </w:tc>
        <w:tc>
          <w:tcPr>
            <w:tcW w:type="dxa" w:w="1000"/>
            <w:shd w:fill="DDDDDD" w:val="clear"/>
          </w:tcPr>
          <w:p>
            <w:r>
              <w:t xml:space="preserve">Opp Def Rtg (rank)</w:t>
            </w:r>
          </w:p>
        </w:tc>
        <w:tc>
          <w:tcPr>
            <w:tcW w:type="dxa" w:w="1000"/>
            <w:shd w:fill="DDDDDD" w:val="clear"/>
          </w:tcPr>
          <w:p>
            <w:r>
              <w:t xml:space="preserve">Opp Rtg Diff</w:t>
            </w:r>
          </w:p>
        </w:tc>
      </w:tr>
      <w:tr>
        <w:tc>
          <w:tcPr>
            <w:tcW w:type="dxa" w:w="1000"/>
          </w:tcPr>
          <w:p>
            <w:r>
              <w:t xml:space="preserve">Kansas</w:t>
            </w:r>
          </w:p>
        </w:tc>
        <w:tc>
          <w:tcPr>
            <w:tcW w:type="dxa" w:w="1000"/>
          </w:tcPr>
          <w:p>
            <w:r>
              <w:t xml:space="preserve">B12</w:t>
            </w:r>
          </w:p>
        </w:tc>
        <w:tc>
          <w:tcPr>
            <w:tcW w:type="dxa" w:w="1000"/>
          </w:tcPr>
          <w:p>
            <w:r>
              <w:t xml:space="preserve">28-3</w:t>
            </w:r>
          </w:p>
        </w:tc>
        <w:tc>
          <w:tcPr>
            <w:tcW w:type="dxa" w:w="1000"/>
          </w:tcPr>
          <w:p>
            <w:r>
              <w:t xml:space="preserve">115.8 (8)</w:t>
            </w:r>
          </w:p>
        </w:tc>
        <w:tc>
          <w:tcPr>
            <w:tcW w:type="dxa" w:w="1000"/>
          </w:tcPr>
          <w:p>
            <w:r>
              <w:t xml:space="preserve">85.5 (2)</w:t>
            </w:r>
          </w:p>
        </w:tc>
        <w:tc>
          <w:tcPr>
            <w:tcW w:type="dxa" w:w="1000"/>
          </w:tcPr>
          <w:p>
            <w:r>
              <w:t xml:space="preserve">30.23</w:t>
            </w:r>
          </w:p>
        </w:tc>
        <w:tc>
          <w:tcPr>
            <w:tcW w:type="dxa" w:w="1000"/>
          </w:tcPr>
          <w:p>
            <w:r>
              <w:t xml:space="preserve">107.4 (26)</w:t>
            </w:r>
          </w:p>
        </w:tc>
        <w:tc>
          <w:tcPr>
            <w:tcW w:type="dxa" w:w="1000"/>
          </w:tcPr>
          <w:p>
            <w:r>
              <w:t xml:space="preserve">94.7 (1)</w:t>
            </w:r>
          </w:p>
        </w:tc>
        <w:tc>
          <w:tcPr>
            <w:tcW w:type="dxa" w:w="1000"/>
          </w:tcPr>
          <w:p>
            <w:r>
              <w:t xml:space="preserve">12.66</w:t>
            </w:r>
          </w:p>
        </w:tc>
      </w:tr>
      <w:tr>
        <w:tc>
          <w:tcPr>
            <w:tcW w:type="dxa" w:w="1000"/>
          </w:tcPr>
          <w:p>
            <w:r>
              <w:t xml:space="preserve">Michigan St.</w:t>
            </w:r>
          </w:p>
        </w:tc>
        <w:tc>
          <w:tcPr>
            <w:tcW w:type="dxa" w:w="1000"/>
          </w:tcPr>
          <w:p>
            <w:r>
              <w:t xml:space="preserve">B10</w:t>
            </w:r>
          </w:p>
        </w:tc>
        <w:tc>
          <w:tcPr>
            <w:tcW w:type="dxa" w:w="1000"/>
          </w:tcPr>
          <w:p>
            <w:r>
              <w:t xml:space="preserve">22-9</w:t>
            </w:r>
          </w:p>
        </w:tc>
        <w:tc>
          <w:tcPr>
            <w:tcW w:type="dxa" w:w="1000"/>
          </w:tcPr>
          <w:p>
            <w:r>
              <w:t xml:space="preserve">115.2 (10)</w:t>
            </w:r>
          </w:p>
        </w:tc>
        <w:tc>
          <w:tcPr>
            <w:tcW w:type="dxa" w:w="1000"/>
          </w:tcPr>
          <w:p>
            <w:r>
              <w:t xml:space="preserve">91.2 (13)</w:t>
            </w:r>
          </w:p>
        </w:tc>
        <w:tc>
          <w:tcPr>
            <w:tcW w:type="dxa" w:w="1000"/>
          </w:tcPr>
          <w:p>
            <w:r>
              <w:t xml:space="preserve">24.03</w:t>
            </w:r>
          </w:p>
        </w:tc>
        <w:tc>
          <w:tcPr>
            <w:tcW w:type="dxa" w:w="1000"/>
          </w:tcPr>
          <w:p>
            <w:r>
              <w:t xml:space="preserve">108.6 (5)</w:t>
            </w:r>
          </w:p>
        </w:tc>
        <w:tc>
          <w:tcPr>
            <w:tcW w:type="dxa" w:w="1000"/>
          </w:tcPr>
          <w:p>
            <w:r>
              <w:t xml:space="preserve">96.5 (14)</w:t>
            </w:r>
          </w:p>
        </w:tc>
        <w:tc>
          <w:tcPr>
            <w:tcW w:type="dxa" w:w="1000"/>
          </w:tcPr>
          <w:p>
            <w:r>
              <w:t xml:space="preserve">12.04</w:t>
            </w:r>
          </w:p>
        </w:tc>
      </w:tr>
      <w:tr>
        <w:tc>
          <w:tcPr>
            <w:tcW w:type="dxa" w:w="1000"/>
          </w:tcPr>
          <w:p>
            <w:r>
              <w:t xml:space="preserve">Ohio St.</w:t>
            </w:r>
          </w:p>
        </w:tc>
        <w:tc>
          <w:tcPr>
            <w:tcW w:type="dxa" w:w="1000"/>
          </w:tcPr>
          <w:p>
            <w:r>
              <w:t xml:space="preserve">B10</w:t>
            </w:r>
          </w:p>
        </w:tc>
        <w:tc>
          <w:tcPr>
            <w:tcW w:type="dxa" w:w="1000"/>
          </w:tcPr>
          <w:p>
            <w:r>
              <w:t xml:space="preserve">21-10</w:t>
            </w:r>
          </w:p>
        </w:tc>
        <w:tc>
          <w:tcPr>
            <w:tcW w:type="dxa" w:w="1000"/>
          </w:tcPr>
          <w:p>
            <w:r>
              <w:t xml:space="preserve">114.3 (13)</w:t>
            </w:r>
          </w:p>
        </w:tc>
        <w:tc>
          <w:tcPr>
            <w:tcW w:type="dxa" w:w="1000"/>
          </w:tcPr>
          <w:p>
            <w:r>
              <w:t xml:space="preserve">92.0 (19)</w:t>
            </w:r>
          </w:p>
        </w:tc>
        <w:tc>
          <w:tcPr>
            <w:tcW w:type="dxa" w:w="1000"/>
          </w:tcPr>
          <w:p>
            <w:r>
              <w:t xml:space="preserve">22.23</w:t>
            </w:r>
          </w:p>
        </w:tc>
        <w:tc>
          <w:tcPr>
            <w:tcW w:type="dxa" w:w="1000"/>
          </w:tcPr>
          <w:p>
            <w:r>
              <w:t xml:space="preserve">108.0 (15)</w:t>
            </w:r>
          </w:p>
        </w:tc>
        <w:tc>
          <w:tcPr>
            <w:tcW w:type="dxa" w:w="1000"/>
          </w:tcPr>
          <w:p>
            <w:r>
              <w:t xml:space="preserve">96.9 (20)</w:t>
            </w:r>
          </w:p>
        </w:tc>
        <w:tc>
          <w:tcPr>
            <w:tcW w:type="dxa" w:w="1000"/>
          </w:tcPr>
          <w:p>
            <w:r>
              <w:t xml:space="preserve">11.10</w:t>
            </w:r>
          </w:p>
        </w:tc>
      </w:tr>
      <w:tr>
        <w:tc>
          <w:tcPr>
            <w:tcW w:type="dxa" w:w="1000"/>
          </w:tcPr>
          <w:p>
            <w:r>
              <w:t xml:space="preserve">Maryland</w:t>
            </w:r>
          </w:p>
        </w:tc>
        <w:tc>
          <w:tcPr>
            <w:tcW w:type="dxa" w:w="1000"/>
          </w:tcPr>
          <w:p>
            <w:r>
              <w:t xml:space="preserve">B10</w:t>
            </w:r>
          </w:p>
        </w:tc>
        <w:tc>
          <w:tcPr>
            <w:tcW w:type="dxa" w:w="1000"/>
          </w:tcPr>
          <w:p>
            <w:r>
              <w:t xml:space="preserve">24-7</w:t>
            </w:r>
          </w:p>
        </w:tc>
        <w:tc>
          <w:tcPr>
            <w:tcW w:type="dxa" w:w="1000"/>
          </w:tcPr>
          <w:p>
            <w:r>
              <w:t xml:space="preserve">113.5 (18)</w:t>
            </w:r>
          </w:p>
        </w:tc>
        <w:tc>
          <w:tcPr>
            <w:tcW w:type="dxa" w:w="1000"/>
          </w:tcPr>
          <w:p>
            <w:r>
              <w:t xml:space="preserve">92.4 (22)</w:t>
            </w:r>
          </w:p>
        </w:tc>
        <w:tc>
          <w:tcPr>
            <w:tcW w:type="dxa" w:w="1000"/>
          </w:tcPr>
          <w:p>
            <w:r>
              <w:t xml:space="preserve">21.12</w:t>
            </w:r>
          </w:p>
        </w:tc>
        <w:tc>
          <w:tcPr>
            <w:tcW w:type="dxa" w:w="1000"/>
          </w:tcPr>
          <w:p>
            <w:r>
              <w:t xml:space="preserve">107.9 (16)</w:t>
            </w:r>
          </w:p>
        </w:tc>
        <w:tc>
          <w:tcPr>
            <w:tcW w:type="dxa" w:w="1000"/>
          </w:tcPr>
          <w:p>
            <w:r>
              <w:t xml:space="preserve">96.6 (15)</w:t>
            </w:r>
          </w:p>
        </w:tc>
        <w:tc>
          <w:tcPr>
            <w:tcW w:type="dxa" w:w="1000"/>
          </w:tcPr>
          <w:p>
            <w:r>
              <w:t xml:space="preserve">11.35</w:t>
            </w:r>
          </w:p>
        </w:tc>
      </w:tr>
      <w:tr>
        <w:tc>
          <w:tcPr>
            <w:tcW w:type="dxa" w:w="1000"/>
          </w:tcPr>
          <w:p>
            <w:r>
              <w:t xml:space="preserve">Baylor</w:t>
            </w:r>
          </w:p>
        </w:tc>
        <w:tc>
          <w:tcPr>
            <w:tcW w:type="dxa" w:w="1000"/>
          </w:tcPr>
          <w:p>
            <w:r>
              <w:t xml:space="preserve">B12</w:t>
            </w:r>
          </w:p>
        </w:tc>
        <w:tc>
          <w:tcPr>
            <w:tcW w:type="dxa" w:w="1000"/>
          </w:tcPr>
          <w:p>
            <w:r>
              <w:t xml:space="preserve">26-4</w:t>
            </w:r>
          </w:p>
        </w:tc>
        <w:tc>
          <w:tcPr>
            <w:tcW w:type="dxa" w:w="1000"/>
          </w:tcPr>
          <w:p>
            <w:r>
              <w:t xml:space="preserve">113.5 (17)</w:t>
            </w:r>
          </w:p>
        </w:tc>
        <w:tc>
          <w:tcPr>
            <w:tcW w:type="dxa" w:w="1000"/>
          </w:tcPr>
          <w:p>
            <w:r>
              <w:t xml:space="preserve">88.1 (4)</w:t>
            </w:r>
          </w:p>
        </w:tc>
        <w:tc>
          <w:tcPr>
            <w:tcW w:type="dxa" w:w="1000"/>
          </w:tcPr>
          <w:p>
            <w:r>
              <w:t xml:space="preserve">25.49</w:t>
            </w:r>
          </w:p>
        </w:tc>
        <w:tc>
          <w:tcPr>
            <w:tcW w:type="dxa" w:w="1000"/>
          </w:tcPr>
          <w:p>
            <w:r>
              <w:t xml:space="preserve">106.4 (39)</w:t>
            </w:r>
          </w:p>
        </w:tc>
        <w:tc>
          <w:tcPr>
            <w:tcW w:type="dxa" w:w="1000"/>
          </w:tcPr>
          <w:p>
            <w:r>
              <w:t xml:space="preserve">96.2 (11)</w:t>
            </w:r>
          </w:p>
        </w:tc>
        <w:tc>
          <w:tcPr>
            <w:tcW w:type="dxa" w:w="1000"/>
          </w:tcPr>
          <w:p>
            <w:r>
              <w:t xml:space="preserve">10.20</w:t>
            </w:r>
          </w:p>
        </w:tc>
      </w:tr>
      <w:tr>
        <w:tc>
          <w:tcPr>
            <w:tcW w:type="dxa" w:w="1000"/>
          </w:tcPr>
          <w:p>
            <w:r>
              <w:t xml:space="preserve">Michigan</w:t>
            </w:r>
          </w:p>
        </w:tc>
        <w:tc>
          <w:tcPr>
            <w:tcW w:type="dxa" w:w="1000"/>
          </w:tcPr>
          <w:p>
            <w:r>
              <w:t xml:space="preserve">B10</w:t>
            </w:r>
          </w:p>
        </w:tc>
        <w:tc>
          <w:tcPr>
            <w:tcW w:type="dxa" w:w="1000"/>
          </w:tcPr>
          <w:p>
            <w:r>
              <w:t xml:space="preserve">19-12</w:t>
            </w:r>
          </w:p>
        </w:tc>
        <w:tc>
          <w:tcPr>
            <w:tcW w:type="dxa" w:w="1000"/>
          </w:tcPr>
          <w:p>
            <w:r>
              <w:t xml:space="preserve">113.2 (20)</w:t>
            </w:r>
          </w:p>
        </w:tc>
        <w:tc>
          <w:tcPr>
            <w:tcW w:type="dxa" w:w="1000"/>
          </w:tcPr>
          <w:p>
            <w:r>
              <w:t xml:space="preserve">93.0 (28)</w:t>
            </w:r>
          </w:p>
        </w:tc>
        <w:tc>
          <w:tcPr>
            <w:tcW w:type="dxa" w:w="1000"/>
          </w:tcPr>
          <w:p>
            <w:r>
              <w:t xml:space="preserve">20.12</w:t>
            </w:r>
          </w:p>
        </w:tc>
        <w:tc>
          <w:tcPr>
            <w:tcW w:type="dxa" w:w="1000"/>
          </w:tcPr>
          <w:p>
            <w:r>
              <w:t xml:space="preserve">110.2 (1)</w:t>
            </w:r>
          </w:p>
        </w:tc>
        <w:tc>
          <w:tcPr>
            <w:tcW w:type="dxa" w:w="1000"/>
          </w:tcPr>
          <w:p>
            <w:r>
              <w:t xml:space="preserve">97.4 (27)</w:t>
            </w:r>
          </w:p>
        </w:tc>
        <w:tc>
          <w:tcPr>
            <w:tcW w:type="dxa" w:w="1000"/>
          </w:tcPr>
          <w:p>
            <w:r>
              <w:t xml:space="preserve">12.79</w:t>
            </w:r>
          </w:p>
        </w:tc>
      </w:tr>
      <w:tr>
        <w:tc>
          <w:tcPr>
            <w:tcW w:type="dxa" w:w="1000"/>
          </w:tcPr>
          <w:p>
            <w:r>
              <w:t xml:space="preserve">Purdue</w:t>
            </w:r>
          </w:p>
        </w:tc>
        <w:tc>
          <w:tcPr>
            <w:tcW w:type="dxa" w:w="1000"/>
          </w:tcPr>
          <w:p>
            <w:r>
              <w:t xml:space="preserve">B10</w:t>
            </w:r>
          </w:p>
        </w:tc>
        <w:tc>
          <w:tcPr>
            <w:tcW w:type="dxa" w:w="1000"/>
          </w:tcPr>
          <w:p>
            <w:r>
              <w:t xml:space="preserve">16-15</w:t>
            </w:r>
          </w:p>
        </w:tc>
        <w:tc>
          <w:tcPr>
            <w:tcW w:type="dxa" w:w="1000"/>
          </w:tcPr>
          <w:p>
            <w:r>
              <w:t xml:space="preserve">109.3 (50)</w:t>
            </w:r>
          </w:p>
        </w:tc>
        <w:tc>
          <w:tcPr>
            <w:tcW w:type="dxa" w:w="1000"/>
          </w:tcPr>
          <w:p>
            <w:r>
              <w:t xml:space="preserve">90.8 (11)</w:t>
            </w:r>
          </w:p>
        </w:tc>
        <w:tc>
          <w:tcPr>
            <w:tcW w:type="dxa" w:w="1000"/>
          </w:tcPr>
          <w:p>
            <w:r>
              <w:t xml:space="preserve">18.57</w:t>
            </w:r>
          </w:p>
        </w:tc>
        <w:tc>
          <w:tcPr>
            <w:tcW w:type="dxa" w:w="1000"/>
          </w:tcPr>
          <w:p>
            <w:r>
              <w:t xml:space="preserve">108.4 (6)</w:t>
            </w:r>
          </w:p>
        </w:tc>
        <w:tc>
          <w:tcPr>
            <w:tcW w:type="dxa" w:w="1000"/>
          </w:tcPr>
          <w:p>
            <w:r>
              <w:t xml:space="preserve">96.3 (12)</w:t>
            </w:r>
          </w:p>
        </w:tc>
        <w:tc>
          <w:tcPr>
            <w:tcW w:type="dxa" w:w="1000"/>
          </w:tcPr>
          <w:p>
            <w:r>
              <w:t xml:space="preserve">12.19</w:t>
            </w:r>
          </w:p>
        </w:tc>
      </w:tr>
      <w:tr>
        <w:tc>
          <w:tcPr>
            <w:tcW w:type="dxa" w:w="1000"/>
          </w:tcPr>
          <w:p>
            <w:r>
              <w:t xml:space="preserve">Wisconsin</w:t>
            </w:r>
          </w:p>
        </w:tc>
        <w:tc>
          <w:tcPr>
            <w:tcW w:type="dxa" w:w="1000"/>
          </w:tcPr>
          <w:p>
            <w:r>
              <w:t xml:space="preserve">B10</w:t>
            </w:r>
          </w:p>
        </w:tc>
        <w:tc>
          <w:tcPr>
            <w:tcW w:type="dxa" w:w="1000"/>
          </w:tcPr>
          <w:p>
            <w:r>
              <w:t xml:space="preserve">21-10</w:t>
            </w:r>
          </w:p>
        </w:tc>
        <w:tc>
          <w:tcPr>
            <w:tcW w:type="dxa" w:w="1000"/>
          </w:tcPr>
          <w:p>
            <w:r>
              <w:t xml:space="preserve">110.8 (40)</w:t>
            </w:r>
          </w:p>
        </w:tc>
        <w:tc>
          <w:tcPr>
            <w:tcW w:type="dxa" w:w="1000"/>
          </w:tcPr>
          <w:p>
            <w:r>
              <w:t xml:space="preserve">91.9 (17)</w:t>
            </w:r>
          </w:p>
        </w:tc>
        <w:tc>
          <w:tcPr>
            <w:tcW w:type="dxa" w:w="1000"/>
          </w:tcPr>
          <w:p>
            <w:r>
              <w:t xml:space="preserve">18.95</w:t>
            </w:r>
          </w:p>
        </w:tc>
        <w:tc>
          <w:tcPr>
            <w:tcW w:type="dxa" w:w="1000"/>
          </w:tcPr>
          <w:p>
            <w:r>
              <w:t xml:space="preserve">108.7 (2)</w:t>
            </w:r>
          </w:p>
        </w:tc>
        <w:tc>
          <w:tcPr>
            <w:tcW w:type="dxa" w:w="1000"/>
          </w:tcPr>
          <w:p>
            <w:r>
              <w:t xml:space="preserve">96.9 (21)</w:t>
            </w:r>
          </w:p>
        </w:tc>
        <w:tc>
          <w:tcPr>
            <w:tcW w:type="dxa" w:w="1000"/>
          </w:tcPr>
          <w:p>
            <w:r>
              <w:t xml:space="preserve">11.74</w:t>
            </w:r>
          </w:p>
        </w:tc>
      </w:tr>
      <w:tr>
        <w:tc>
          <w:tcPr>
            <w:tcW w:type="dxa" w:w="1000"/>
          </w:tcPr>
          <w:p>
            <w:r>
              <w:rPr>
                <w:b/>
                <w:bCs/>
              </w:rPr>
              <w:t xml:space="preserve">Seton Hall</w:t>
            </w:r>
          </w:p>
        </w:tc>
        <w:tc>
          <w:tcPr>
            <w:tcW w:type="dxa" w:w="1000"/>
          </w:tcPr>
          <w:p>
            <w:r>
              <w:rPr>
                <w:b/>
                <w:bCs/>
              </w:rPr>
              <w:t xml:space="preserve">BE</w:t>
            </w:r>
          </w:p>
        </w:tc>
        <w:tc>
          <w:tcPr>
            <w:tcW w:type="dxa" w:w="1000"/>
          </w:tcPr>
          <w:p>
            <w:r>
              <w:rPr>
                <w:b/>
                <w:bCs/>
              </w:rPr>
              <w:t xml:space="preserve">21-9</w:t>
            </w:r>
          </w:p>
        </w:tc>
        <w:tc>
          <w:tcPr>
            <w:tcW w:type="dxa" w:w="1000"/>
          </w:tcPr>
          <w:p>
            <w:r>
              <w:rPr>
                <w:b/>
                <w:bCs/>
              </w:rPr>
              <w:t xml:space="preserve">112.3 (29)</w:t>
            </w:r>
          </w:p>
        </w:tc>
        <w:tc>
          <w:tcPr>
            <w:tcW w:type="dxa" w:w="1000"/>
          </w:tcPr>
          <w:p>
            <w:r>
              <w:rPr>
                <w:b/>
                <w:bCs/>
              </w:rPr>
              <w:t xml:space="preserve">92.7 (25)</w:t>
            </w:r>
          </w:p>
        </w:tc>
        <w:tc>
          <w:tcPr>
            <w:tcW w:type="dxa" w:w="1000"/>
          </w:tcPr>
          <w:p>
            <w:r>
              <w:rPr>
                <w:b/>
                <w:bCs/>
              </w:rPr>
              <w:t xml:space="preserve">19.54</w:t>
            </w:r>
          </w:p>
        </w:tc>
        <w:tc>
          <w:tcPr>
            <w:tcW w:type="dxa" w:w="1000"/>
          </w:tcPr>
          <w:p>
            <w:r>
              <w:rPr>
                <w:b/>
                <w:bCs/>
              </w:rPr>
              <w:t xml:space="preserve">108.4 (7)</w:t>
            </w:r>
          </w:p>
        </w:tc>
        <w:tc>
          <w:tcPr>
            <w:tcW w:type="dxa" w:w="1000"/>
          </w:tcPr>
          <w:p>
            <w:r>
              <w:rPr>
                <w:b/>
                <w:bCs/>
              </w:rPr>
              <w:t xml:space="preserve">96.9 (19)</w:t>
            </w:r>
          </w:p>
        </w:tc>
        <w:tc>
          <w:tcPr>
            <w:tcW w:type="dxa" w:w="1000"/>
          </w:tcPr>
          <w:p>
            <w:r>
              <w:rPr>
                <w:b/>
                <w:bCs/>
              </w:rPr>
              <w:t xml:space="preserve">11.48</w:t>
            </w:r>
          </w:p>
        </w:tc>
      </w:tr>
      <w:tr>
        <w:tc>
          <w:tcPr>
            <w:tcW w:type="dxa" w:w="1000"/>
          </w:tcPr>
          <w:p>
            <w:r>
              <w:t xml:space="preserve">Minnesota</w:t>
            </w:r>
          </w:p>
        </w:tc>
        <w:tc>
          <w:tcPr>
            <w:tcW w:type="dxa" w:w="1000"/>
          </w:tcPr>
          <w:p>
            <w:r>
              <w:t xml:space="preserve">B10</w:t>
            </w:r>
          </w:p>
        </w:tc>
        <w:tc>
          <w:tcPr>
            <w:tcW w:type="dxa" w:w="1000"/>
          </w:tcPr>
          <w:p>
            <w:r>
              <w:t xml:space="preserve">15-16</w:t>
            </w:r>
          </w:p>
        </w:tc>
        <w:tc>
          <w:tcPr>
            <w:tcW w:type="dxa" w:w="1000"/>
          </w:tcPr>
          <w:p>
            <w:r>
              <w:t xml:space="preserve">112.1 (30)</w:t>
            </w:r>
          </w:p>
        </w:tc>
        <w:tc>
          <w:tcPr>
            <w:tcW w:type="dxa" w:w="1000"/>
          </w:tcPr>
          <w:p>
            <w:r>
              <w:t xml:space="preserve">94.2 (41)</w:t>
            </w:r>
          </w:p>
        </w:tc>
        <w:tc>
          <w:tcPr>
            <w:tcW w:type="dxa" w:w="1000"/>
          </w:tcPr>
          <w:p>
            <w:r>
              <w:t xml:space="preserve">17.83</w:t>
            </w:r>
          </w:p>
        </w:tc>
        <w:tc>
          <w:tcPr>
            <w:tcW w:type="dxa" w:w="1000"/>
          </w:tcPr>
          <w:p>
            <w:r>
              <w:t xml:space="preserve">108.6 (4)</w:t>
            </w:r>
          </w:p>
        </w:tc>
        <w:tc>
          <w:tcPr>
            <w:tcW w:type="dxa" w:w="1000"/>
          </w:tcPr>
          <w:p>
            <w:r>
              <w:t xml:space="preserve">96.2 (10)</w:t>
            </w:r>
          </w:p>
        </w:tc>
        <w:tc>
          <w:tcPr>
            <w:tcW w:type="dxa" w:w="1000"/>
          </w:tcPr>
          <w:p>
            <w:r>
              <w:t xml:space="preserve">12.38</w:t>
            </w:r>
          </w:p>
        </w:tc>
      </w:tr>
      <w:tr>
        <w:tc>
          <w:tcPr>
            <w:tcW w:type="dxa" w:w="1000"/>
          </w:tcPr>
          <w:p>
            <w:r>
              <w:t xml:space="preserve">Villanova</w:t>
            </w:r>
          </w:p>
        </w:tc>
        <w:tc>
          <w:tcPr>
            <w:tcW w:type="dxa" w:w="1000"/>
          </w:tcPr>
          <w:p>
            <w:r>
              <w:t xml:space="preserve">BE</w:t>
            </w:r>
          </w:p>
        </w:tc>
        <w:tc>
          <w:tcPr>
            <w:tcW w:type="dxa" w:w="1000"/>
          </w:tcPr>
          <w:p>
            <w:r>
              <w:t xml:space="preserve">24-7</w:t>
            </w:r>
          </w:p>
        </w:tc>
        <w:tc>
          <w:tcPr>
            <w:tcW w:type="dxa" w:w="1000"/>
          </w:tcPr>
          <w:p>
            <w:r>
              <w:t xml:space="preserve">113.9 (15)</w:t>
            </w:r>
          </w:p>
        </w:tc>
        <w:tc>
          <w:tcPr>
            <w:tcW w:type="dxa" w:w="1000"/>
          </w:tcPr>
          <w:p>
            <w:r>
              <w:t xml:space="preserve">94.0 (36)</w:t>
            </w:r>
          </w:p>
        </w:tc>
        <w:tc>
          <w:tcPr>
            <w:tcW w:type="dxa" w:w="1000"/>
          </w:tcPr>
          <w:p>
            <w:r>
              <w:t xml:space="preserve">19.98</w:t>
            </w:r>
          </w:p>
        </w:tc>
        <w:tc>
          <w:tcPr>
            <w:tcW w:type="dxa" w:w="1000"/>
          </w:tcPr>
          <w:p>
            <w:r>
              <w:t xml:space="preserve">108.2 (10)</w:t>
            </w:r>
          </w:p>
        </w:tc>
        <w:tc>
          <w:tcPr>
            <w:tcW w:type="dxa" w:w="1000"/>
          </w:tcPr>
          <w:p>
            <w:r>
              <w:t xml:space="preserve">97.3 (25)</w:t>
            </w:r>
          </w:p>
        </w:tc>
        <w:tc>
          <w:tcPr>
            <w:tcW w:type="dxa" w:w="1000"/>
          </w:tcPr>
          <w:p>
            <w:r>
              <w:t xml:space="preserve">10.88</w:t>
            </w:r>
          </w:p>
        </w:tc>
      </w:tr>
      <w:tr>
        <w:tc>
          <w:tcPr>
            <w:tcW w:type="dxa" w:w="1000"/>
          </w:tcPr>
          <w:p>
            <w:r>
              <w:t xml:space="preserve">West Virginia</w:t>
            </w:r>
          </w:p>
        </w:tc>
        <w:tc>
          <w:tcPr>
            <w:tcW w:type="dxa" w:w="1000"/>
          </w:tcPr>
          <w:p>
            <w:r>
              <w:t xml:space="preserve">B12</w:t>
            </w:r>
          </w:p>
        </w:tc>
        <w:tc>
          <w:tcPr>
            <w:tcW w:type="dxa" w:w="1000"/>
          </w:tcPr>
          <w:p>
            <w:r>
              <w:t xml:space="preserve">21-10</w:t>
            </w:r>
          </w:p>
        </w:tc>
        <w:tc>
          <w:tcPr>
            <w:tcW w:type="dxa" w:w="1000"/>
          </w:tcPr>
          <w:p>
            <w:r>
              <w:t xml:space="preserve">108.3 (67)</w:t>
            </w:r>
          </w:p>
        </w:tc>
        <w:tc>
          <w:tcPr>
            <w:tcW w:type="dxa" w:w="1000"/>
          </w:tcPr>
          <w:p>
            <w:r>
              <w:t xml:space="preserve">87.1 (3)</w:t>
            </w:r>
          </w:p>
        </w:tc>
        <w:tc>
          <w:tcPr>
            <w:tcW w:type="dxa" w:w="1000"/>
          </w:tcPr>
          <w:p>
            <w:r>
              <w:t xml:space="preserve">21.26</w:t>
            </w:r>
          </w:p>
        </w:tc>
        <w:tc>
          <w:tcPr>
            <w:tcW w:type="dxa" w:w="1000"/>
          </w:tcPr>
          <w:p>
            <w:r>
              <w:t xml:space="preserve">107.2 (27)</w:t>
            </w:r>
          </w:p>
        </w:tc>
        <w:tc>
          <w:tcPr>
            <w:tcW w:type="dxa" w:w="1000"/>
          </w:tcPr>
          <w:p>
            <w:r>
              <w:t xml:space="preserve">95.9 (8)</w:t>
            </w:r>
          </w:p>
        </w:tc>
        <w:tc>
          <w:tcPr>
            <w:tcW w:type="dxa" w:w="1000"/>
          </w:tcPr>
          <w:p>
            <w:r>
              <w:t xml:space="preserve">11.28</w:t>
            </w:r>
          </w:p>
        </w:tc>
      </w:tr>
      <w:tr>
        <w:tc>
          <w:tcPr>
            <w:tcW w:type="dxa" w:w="1000"/>
          </w:tcPr>
          <w:p>
            <w:r>
              <w:t xml:space="preserve">Penn St.</w:t>
            </w:r>
          </w:p>
        </w:tc>
        <w:tc>
          <w:tcPr>
            <w:tcW w:type="dxa" w:w="1000"/>
          </w:tcPr>
          <w:p>
            <w:r>
              <w:t xml:space="preserve">B10</w:t>
            </w:r>
          </w:p>
        </w:tc>
        <w:tc>
          <w:tcPr>
            <w:tcW w:type="dxa" w:w="1000"/>
          </w:tcPr>
          <w:p>
            <w:r>
              <w:t xml:space="preserve">21-10</w:t>
            </w:r>
          </w:p>
        </w:tc>
        <w:tc>
          <w:tcPr>
            <w:tcW w:type="dxa" w:w="1000"/>
          </w:tcPr>
          <w:p>
            <w:r>
              <w:t xml:space="preserve">110.3 (43)</w:t>
            </w:r>
          </w:p>
        </w:tc>
        <w:tc>
          <w:tcPr>
            <w:tcW w:type="dxa" w:w="1000"/>
          </w:tcPr>
          <w:p>
            <w:r>
              <w:t xml:space="preserve">92.4 (23)</w:t>
            </w:r>
          </w:p>
        </w:tc>
        <w:tc>
          <w:tcPr>
            <w:tcW w:type="dxa" w:w="1000"/>
          </w:tcPr>
          <w:p>
            <w:r>
              <w:t xml:space="preserve">17.91</w:t>
            </w:r>
          </w:p>
        </w:tc>
        <w:tc>
          <w:tcPr>
            <w:tcW w:type="dxa" w:w="1000"/>
          </w:tcPr>
          <w:p>
            <w:r>
              <w:t xml:space="preserve">108.1 (11)</w:t>
            </w:r>
          </w:p>
        </w:tc>
        <w:tc>
          <w:tcPr>
            <w:tcW w:type="dxa" w:w="1000"/>
          </w:tcPr>
          <w:p>
            <w:r>
              <w:t xml:space="preserve">97.4 (29)</w:t>
            </w:r>
          </w:p>
        </w:tc>
        <w:tc>
          <w:tcPr>
            <w:tcW w:type="dxa" w:w="1000"/>
          </w:tcPr>
          <w:p>
            <w:r>
              <w:t xml:space="preserve">10.72</w:t>
            </w:r>
          </w:p>
        </w:tc>
      </w:tr>
      <w:tr>
        <w:tc>
          <w:tcPr>
            <w:tcW w:type="dxa" w:w="1000"/>
          </w:tcPr>
          <w:p>
            <w:r>
              <w:t xml:space="preserve">Oklahoma</w:t>
            </w:r>
          </w:p>
        </w:tc>
        <w:tc>
          <w:tcPr>
            <w:tcW w:type="dxa" w:w="1000"/>
          </w:tcPr>
          <w:p>
            <w:r>
              <w:t xml:space="preserve">B12</w:t>
            </w:r>
          </w:p>
        </w:tc>
        <w:tc>
          <w:tcPr>
            <w:tcW w:type="dxa" w:w="1000"/>
          </w:tcPr>
          <w:p>
            <w:r>
              <w:t xml:space="preserve">19-12</w:t>
            </w:r>
          </w:p>
        </w:tc>
        <w:tc>
          <w:tcPr>
            <w:tcW w:type="dxa" w:w="1000"/>
          </w:tcPr>
          <w:p>
            <w:r>
              <w:t xml:space="preserve">108.8 (58)</w:t>
            </w:r>
          </w:p>
        </w:tc>
        <w:tc>
          <w:tcPr>
            <w:tcW w:type="dxa" w:w="1000"/>
          </w:tcPr>
          <w:p>
            <w:r>
              <w:t xml:space="preserve">93.1 (29)</w:t>
            </w:r>
          </w:p>
        </w:tc>
        <w:tc>
          <w:tcPr>
            <w:tcW w:type="dxa" w:w="1000"/>
          </w:tcPr>
          <w:p>
            <w:r>
              <w:t xml:space="preserve">15.70</w:t>
            </w:r>
          </w:p>
        </w:tc>
        <w:tc>
          <w:tcPr>
            <w:tcW w:type="dxa" w:w="1000"/>
          </w:tcPr>
          <w:p>
            <w:r>
              <w:t xml:space="preserve">107.5 (24)</w:t>
            </w:r>
          </w:p>
        </w:tc>
        <w:tc>
          <w:tcPr>
            <w:tcW w:type="dxa" w:w="1000"/>
          </w:tcPr>
          <w:p>
            <w:r>
              <w:t xml:space="preserve">95.3 (3)</w:t>
            </w:r>
          </w:p>
        </w:tc>
        <w:tc>
          <w:tcPr>
            <w:tcW w:type="dxa" w:w="1000"/>
          </w:tcPr>
          <w:p>
            <w:r>
              <w:t xml:space="preserve">12.22</w:t>
            </w:r>
          </w:p>
        </w:tc>
      </w:tr>
      <w:tr>
        <w:tc>
          <w:tcPr>
            <w:tcW w:type="dxa" w:w="1000"/>
          </w:tcPr>
          <w:p>
            <w:r>
              <w:t xml:space="preserve">Butler</w:t>
            </w:r>
          </w:p>
        </w:tc>
        <w:tc>
          <w:tcPr>
            <w:tcW w:type="dxa" w:w="1000"/>
          </w:tcPr>
          <w:p>
            <w:r>
              <w:t xml:space="preserve">BE</w:t>
            </w:r>
          </w:p>
        </w:tc>
        <w:tc>
          <w:tcPr>
            <w:tcW w:type="dxa" w:w="1000"/>
          </w:tcPr>
          <w:p>
            <w:r>
              <w:t xml:space="preserve">22-9</w:t>
            </w:r>
          </w:p>
        </w:tc>
        <w:tc>
          <w:tcPr>
            <w:tcW w:type="dxa" w:w="1000"/>
          </w:tcPr>
          <w:p>
            <w:r>
              <w:t xml:space="preserve">112.6 (25)</w:t>
            </w:r>
          </w:p>
        </w:tc>
        <w:tc>
          <w:tcPr>
            <w:tcW w:type="dxa" w:w="1000"/>
          </w:tcPr>
          <w:p>
            <w:r>
              <w:t xml:space="preserve">94.2 (42)</w:t>
            </w:r>
          </w:p>
        </w:tc>
        <w:tc>
          <w:tcPr>
            <w:tcW w:type="dxa" w:w="1000"/>
          </w:tcPr>
          <w:p>
            <w:r>
              <w:t xml:space="preserve">18.39</w:t>
            </w:r>
          </w:p>
        </w:tc>
        <w:tc>
          <w:tcPr>
            <w:tcW w:type="dxa" w:w="1000"/>
          </w:tcPr>
          <w:p>
            <w:r>
              <w:t xml:space="preserve">107.6 (22)</w:t>
            </w:r>
          </w:p>
        </w:tc>
        <w:tc>
          <w:tcPr>
            <w:tcW w:type="dxa" w:w="1000"/>
          </w:tcPr>
          <w:p>
            <w:r>
              <w:t xml:space="preserve">97.4 (28)</w:t>
            </w:r>
          </w:p>
        </w:tc>
        <w:tc>
          <w:tcPr>
            <w:tcW w:type="dxa" w:w="1000"/>
          </w:tcPr>
          <w:p>
            <w:r>
              <w:t xml:space="preserve">10.22</w:t>
            </w:r>
          </w:p>
        </w:tc>
      </w:tr>
      <w:tr>
        <w:tc>
          <w:tcPr>
            <w:tcW w:type="dxa" w:w="1000"/>
          </w:tcPr>
          <w:p>
            <w:r>
              <w:t xml:space="preserve">Iowa</w:t>
            </w:r>
          </w:p>
        </w:tc>
        <w:tc>
          <w:tcPr>
            <w:tcW w:type="dxa" w:w="1000"/>
          </w:tcPr>
          <w:p>
            <w:r>
              <w:t xml:space="preserve">B10</w:t>
            </w:r>
          </w:p>
        </w:tc>
        <w:tc>
          <w:tcPr>
            <w:tcW w:type="dxa" w:w="1000"/>
          </w:tcPr>
          <w:p>
            <w:r>
              <w:t xml:space="preserve">20-11</w:t>
            </w:r>
          </w:p>
        </w:tc>
        <w:tc>
          <w:tcPr>
            <w:tcW w:type="dxa" w:w="1000"/>
          </w:tcPr>
          <w:p>
            <w:r>
              <w:t xml:space="preserve">117.3 (5)</w:t>
            </w:r>
          </w:p>
        </w:tc>
        <w:tc>
          <w:tcPr>
            <w:tcW w:type="dxa" w:w="1000"/>
          </w:tcPr>
          <w:p>
            <w:r>
              <w:t xml:space="preserve">98.6 (97)</w:t>
            </w:r>
          </w:p>
        </w:tc>
        <w:tc>
          <w:tcPr>
            <w:tcW w:type="dxa" w:w="1000"/>
          </w:tcPr>
          <w:p>
            <w:r>
              <w:t xml:space="preserve">18.65</w:t>
            </w:r>
          </w:p>
        </w:tc>
        <w:tc>
          <w:tcPr>
            <w:tcW w:type="dxa" w:w="1000"/>
          </w:tcPr>
          <w:p>
            <w:r>
              <w:t xml:space="preserve">108.6 (3)</w:t>
            </w:r>
          </w:p>
        </w:tc>
        <w:tc>
          <w:tcPr>
            <w:tcW w:type="dxa" w:w="1000"/>
          </w:tcPr>
          <w:p>
            <w:r>
              <w:t xml:space="preserve">96.3 (13)</w:t>
            </w:r>
          </w:p>
        </w:tc>
        <w:tc>
          <w:tcPr>
            <w:tcW w:type="dxa" w:w="1000"/>
          </w:tcPr>
          <w:p>
            <w:r>
              <w:t xml:space="preserve">12.28</w:t>
            </w:r>
          </w:p>
        </w:tc>
      </w:tr>
      <w:tr>
        <w:tc>
          <w:tcPr>
            <w:tcW w:type="dxa" w:w="1000"/>
          </w:tcPr>
          <w:p>
            <w:r>
              <w:t xml:space="preserve">Illinois</w:t>
            </w:r>
          </w:p>
        </w:tc>
        <w:tc>
          <w:tcPr>
            <w:tcW w:type="dxa" w:w="1000"/>
          </w:tcPr>
          <w:p>
            <w:r>
              <w:t xml:space="preserve">B10</w:t>
            </w:r>
          </w:p>
        </w:tc>
        <w:tc>
          <w:tcPr>
            <w:tcW w:type="dxa" w:w="1000"/>
          </w:tcPr>
          <w:p>
            <w:r>
              <w:t xml:space="preserve">21-10</w:t>
            </w:r>
          </w:p>
        </w:tc>
        <w:tc>
          <w:tcPr>
            <w:tcW w:type="dxa" w:w="1000"/>
          </w:tcPr>
          <w:p>
            <w:r>
              <w:t xml:space="preserve">110.9 (38)</w:t>
            </w:r>
          </w:p>
        </w:tc>
        <w:tc>
          <w:tcPr>
            <w:tcW w:type="dxa" w:w="1000"/>
          </w:tcPr>
          <w:p>
            <w:r>
              <w:t xml:space="preserve">93.7 (35)</w:t>
            </w:r>
          </w:p>
        </w:tc>
        <w:tc>
          <w:tcPr>
            <w:tcW w:type="dxa" w:w="1000"/>
          </w:tcPr>
          <w:p>
            <w:r>
              <w:t xml:space="preserve">17.23</w:t>
            </w:r>
          </w:p>
        </w:tc>
        <w:tc>
          <w:tcPr>
            <w:tcW w:type="dxa" w:w="1000"/>
          </w:tcPr>
          <w:p>
            <w:r>
              <w:t xml:space="preserve">107.7 (20)</w:t>
            </w:r>
          </w:p>
        </w:tc>
        <w:tc>
          <w:tcPr>
            <w:tcW w:type="dxa" w:w="1000"/>
          </w:tcPr>
          <w:p>
            <w:r>
              <w:t xml:space="preserve">97.3 (26)</w:t>
            </w:r>
          </w:p>
        </w:tc>
        <w:tc>
          <w:tcPr>
            <w:tcW w:type="dxa" w:w="1000"/>
          </w:tcPr>
          <w:p>
            <w:r>
              <w:t xml:space="preserve">10.38</w:t>
            </w:r>
          </w:p>
        </w:tc>
      </w:tr>
      <w:tr>
        <w:tc>
          <w:tcPr>
            <w:tcW w:type="dxa" w:w="1000"/>
          </w:tcPr>
          <w:p>
            <w:r>
              <w:t xml:space="preserve">Creighton</w:t>
            </w:r>
          </w:p>
        </w:tc>
        <w:tc>
          <w:tcPr>
            <w:tcW w:type="dxa" w:w="1000"/>
          </w:tcPr>
          <w:p>
            <w:r>
              <w:t xml:space="preserve">BE</w:t>
            </w:r>
          </w:p>
        </w:tc>
        <w:tc>
          <w:tcPr>
            <w:tcW w:type="dxa" w:w="1000"/>
          </w:tcPr>
          <w:p>
            <w:r>
              <w:t xml:space="preserve">24-7</w:t>
            </w:r>
          </w:p>
        </w:tc>
        <w:tc>
          <w:tcPr>
            <w:tcW w:type="dxa" w:w="1000"/>
          </w:tcPr>
          <w:p>
            <w:r>
              <w:t xml:space="preserve">118.2 (3)</w:t>
            </w:r>
          </w:p>
        </w:tc>
        <w:tc>
          <w:tcPr>
            <w:tcW w:type="dxa" w:w="1000"/>
          </w:tcPr>
          <w:p>
            <w:r>
              <w:t xml:space="preserve">97.3 (78)</w:t>
            </w:r>
          </w:p>
        </w:tc>
        <w:tc>
          <w:tcPr>
            <w:tcW w:type="dxa" w:w="1000"/>
          </w:tcPr>
          <w:p>
            <w:r>
              <w:t xml:space="preserve">20.93</w:t>
            </w:r>
          </w:p>
        </w:tc>
        <w:tc>
          <w:tcPr>
            <w:tcW w:type="dxa" w:w="1000"/>
          </w:tcPr>
          <w:p>
            <w:r>
              <w:t xml:space="preserve">107.9 (18)</w:t>
            </w:r>
          </w:p>
        </w:tc>
        <w:tc>
          <w:tcPr>
            <w:tcW w:type="dxa" w:w="1000"/>
          </w:tcPr>
          <w:p>
            <w:r>
              <w:t xml:space="preserve">97.2 (22)</w:t>
            </w:r>
          </w:p>
        </w:tc>
        <w:tc>
          <w:tcPr>
            <w:tcW w:type="dxa" w:w="1000"/>
          </w:tcPr>
          <w:p>
            <w:r>
              <w:t xml:space="preserve">10.72</w:t>
            </w:r>
          </w:p>
        </w:tc>
      </w:tr>
      <w:tr>
        <w:tc>
          <w:tcPr>
            <w:tcW w:type="dxa" w:w="1000"/>
          </w:tcPr>
          <w:p>
            <w:r>
              <w:t xml:space="preserve">Marquette</w:t>
            </w:r>
          </w:p>
        </w:tc>
        <w:tc>
          <w:tcPr>
            <w:tcW w:type="dxa" w:w="1000"/>
          </w:tcPr>
          <w:p>
            <w:r>
              <w:t xml:space="preserve">BE</w:t>
            </w:r>
          </w:p>
        </w:tc>
        <w:tc>
          <w:tcPr>
            <w:tcW w:type="dxa" w:w="1000"/>
          </w:tcPr>
          <w:p>
            <w:r>
              <w:t xml:space="preserve">18-12</w:t>
            </w:r>
          </w:p>
        </w:tc>
        <w:tc>
          <w:tcPr>
            <w:tcW w:type="dxa" w:w="1000"/>
          </w:tcPr>
          <w:p>
            <w:r>
              <w:t xml:space="preserve">114.0 (14)</w:t>
            </w:r>
          </w:p>
        </w:tc>
        <w:tc>
          <w:tcPr>
            <w:tcW w:type="dxa" w:w="1000"/>
          </w:tcPr>
          <w:p>
            <w:r>
              <w:t xml:space="preserve">96.9 (73)</w:t>
            </w:r>
          </w:p>
        </w:tc>
        <w:tc>
          <w:tcPr>
            <w:tcW w:type="dxa" w:w="1000"/>
          </w:tcPr>
          <w:p>
            <w:r>
              <w:t xml:space="preserve">17.19</w:t>
            </w:r>
          </w:p>
        </w:tc>
        <w:tc>
          <w:tcPr>
            <w:tcW w:type="dxa" w:w="1000"/>
          </w:tcPr>
          <w:p>
            <w:r>
              <w:t xml:space="preserve">107.6 (21)</w:t>
            </w:r>
          </w:p>
        </w:tc>
        <w:tc>
          <w:tcPr>
            <w:tcW w:type="dxa" w:w="1000"/>
          </w:tcPr>
          <w:p>
            <w:r>
              <w:t xml:space="preserve">96.9 (18)</w:t>
            </w:r>
          </w:p>
        </w:tc>
        <w:tc>
          <w:tcPr>
            <w:tcW w:type="dxa" w:w="1000"/>
          </w:tcPr>
          <w:p>
            <w:r>
              <w:t xml:space="preserve">10.78</w:t>
            </w:r>
          </w:p>
        </w:tc>
      </w:tr>
      <w:tr>
        <w:tc>
          <w:tcPr>
            <w:tcW w:type="dxa" w:w="1000"/>
          </w:tcPr>
          <w:p>
            <w:r>
              <w:t xml:space="preserve">Texas Tech</w:t>
            </w:r>
          </w:p>
        </w:tc>
        <w:tc>
          <w:tcPr>
            <w:tcW w:type="dxa" w:w="1000"/>
          </w:tcPr>
          <w:p>
            <w:r>
              <w:t xml:space="preserve">B12</w:t>
            </w:r>
          </w:p>
        </w:tc>
        <w:tc>
          <w:tcPr>
            <w:tcW w:type="dxa" w:w="1000"/>
          </w:tcPr>
          <w:p>
            <w:r>
              <w:t xml:space="preserve">18-13</w:t>
            </w:r>
          </w:p>
        </w:tc>
        <w:tc>
          <w:tcPr>
            <w:tcW w:type="dxa" w:w="1000"/>
          </w:tcPr>
          <w:p>
            <w:r>
              <w:t xml:space="preserve">109.8 (47)</w:t>
            </w:r>
          </w:p>
        </w:tc>
        <w:tc>
          <w:tcPr>
            <w:tcW w:type="dxa" w:w="1000"/>
          </w:tcPr>
          <w:p>
            <w:r>
              <w:t xml:space="preserve">90.5 (9)</w:t>
            </w:r>
          </w:p>
        </w:tc>
        <w:tc>
          <w:tcPr>
            <w:tcW w:type="dxa" w:w="1000"/>
          </w:tcPr>
          <w:p>
            <w:r>
              <w:t xml:space="preserve">19.28</w:t>
            </w:r>
          </w:p>
        </w:tc>
        <w:tc>
          <w:tcPr>
            <w:tcW w:type="dxa" w:w="1000"/>
          </w:tcPr>
          <w:p>
            <w:r>
              <w:t xml:space="preserve">106.0 (51)</w:t>
            </w:r>
          </w:p>
        </w:tc>
        <w:tc>
          <w:tcPr>
            <w:tcW w:type="dxa" w:w="1000"/>
          </w:tcPr>
          <w:p>
            <w:r>
              <w:t xml:space="preserve">97.3 (24)</w:t>
            </w:r>
          </w:p>
        </w:tc>
        <w:tc>
          <w:tcPr>
            <w:tcW w:type="dxa" w:w="1000"/>
          </w:tcPr>
          <w:p>
            <w:r>
              <w:t xml:space="preserve">8.74</w:t>
            </w:r>
          </w:p>
        </w:tc>
      </w:tr>
      <w:tr>
        <w:tc>
          <w:tcPr>
            <w:tcW w:type="dxa" w:w="1000"/>
          </w:tcPr>
          <w:p>
            <w:r>
              <w:t xml:space="preserve">Duke</w:t>
            </w:r>
          </w:p>
        </w:tc>
        <w:tc>
          <w:tcPr>
            <w:tcW w:type="dxa" w:w="1000"/>
          </w:tcPr>
          <w:p>
            <w:r>
              <w:t xml:space="preserve">ACC</w:t>
            </w:r>
          </w:p>
        </w:tc>
        <w:tc>
          <w:tcPr>
            <w:tcW w:type="dxa" w:w="1000"/>
          </w:tcPr>
          <w:p>
            <w:r>
              <w:t xml:space="preserve">25-6</w:t>
            </w:r>
          </w:p>
        </w:tc>
        <w:tc>
          <w:tcPr>
            <w:tcW w:type="dxa" w:w="1000"/>
          </w:tcPr>
          <w:p>
            <w:r>
              <w:t xml:space="preserve">115.7 (9)</w:t>
            </w:r>
          </w:p>
        </w:tc>
        <w:tc>
          <w:tcPr>
            <w:tcW w:type="dxa" w:w="1000"/>
          </w:tcPr>
          <w:p>
            <w:r>
              <w:t xml:space="preserve">91.1 (12)</w:t>
            </w:r>
          </w:p>
        </w:tc>
        <w:tc>
          <w:tcPr>
            <w:tcW w:type="dxa" w:w="1000"/>
          </w:tcPr>
          <w:p>
            <w:r>
              <w:t xml:space="preserve">24.62</w:t>
            </w:r>
          </w:p>
        </w:tc>
        <w:tc>
          <w:tcPr>
            <w:tcW w:type="dxa" w:w="1000"/>
          </w:tcPr>
          <w:p>
            <w:r>
              <w:t xml:space="preserve">106.0 (53)</w:t>
            </w:r>
          </w:p>
        </w:tc>
        <w:tc>
          <w:tcPr>
            <w:tcW w:type="dxa" w:w="1000"/>
          </w:tcPr>
          <w:p>
            <w:r>
              <w:t xml:space="preserve">98.7 (58)</w:t>
            </w:r>
          </w:p>
        </w:tc>
        <w:tc>
          <w:tcPr>
            <w:tcW w:type="dxa" w:w="1000"/>
          </w:tcPr>
          <w:p>
            <w:r>
              <w:t xml:space="preserve">7.28</w:t>
            </w:r>
          </w:p>
        </w:tc>
      </w:tr>
      <w:tr>
        <w:tc>
          <w:tcPr>
            <w:tcW w:type="dxa" w:w="1000"/>
          </w:tcPr>
          <w:p>
            <w:r>
              <w:t xml:space="preserve">Indiana</w:t>
            </w:r>
          </w:p>
        </w:tc>
        <w:tc>
          <w:tcPr>
            <w:tcW w:type="dxa" w:w="1000"/>
          </w:tcPr>
          <w:p>
            <w:r>
              <w:t xml:space="preserve">B10</w:t>
            </w:r>
          </w:p>
        </w:tc>
        <w:tc>
          <w:tcPr>
            <w:tcW w:type="dxa" w:w="1000"/>
          </w:tcPr>
          <w:p>
            <w:r>
              <w:t xml:space="preserve">20-12</w:t>
            </w:r>
          </w:p>
        </w:tc>
        <w:tc>
          <w:tcPr>
            <w:tcW w:type="dxa" w:w="1000"/>
          </w:tcPr>
          <w:p>
            <w:r>
              <w:t xml:space="preserve">108.5 (65)</w:t>
            </w:r>
          </w:p>
        </w:tc>
        <w:tc>
          <w:tcPr>
            <w:tcW w:type="dxa" w:w="1000"/>
          </w:tcPr>
          <w:p>
            <w:r>
              <w:t xml:space="preserve">92.7 (26)</w:t>
            </w:r>
          </w:p>
        </w:tc>
        <w:tc>
          <w:tcPr>
            <w:tcW w:type="dxa" w:w="1000"/>
          </w:tcPr>
          <w:p>
            <w:r>
              <w:t xml:space="preserve">15.73</w:t>
            </w:r>
          </w:p>
        </w:tc>
        <w:tc>
          <w:tcPr>
            <w:tcW w:type="dxa" w:w="1000"/>
          </w:tcPr>
          <w:p>
            <w:r>
              <w:t xml:space="preserve">108.3 (8)</w:t>
            </w:r>
          </w:p>
        </w:tc>
        <w:tc>
          <w:tcPr>
            <w:tcW w:type="dxa" w:w="1000"/>
          </w:tcPr>
          <w:p>
            <w:r>
              <w:t xml:space="preserve">97.6 (35)</w:t>
            </w:r>
          </w:p>
        </w:tc>
        <w:tc>
          <w:tcPr>
            <w:tcW w:type="dxa" w:w="1000"/>
          </w:tcPr>
          <w:p>
            <w:r>
              <w:t xml:space="preserve">10.71</w:t>
            </w:r>
          </w:p>
        </w:tc>
      </w:tr>
      <w:tr>
        <w:tc>
          <w:tcPr>
            <w:tcW w:type="dxa" w:w="1000"/>
          </w:tcPr>
          <w:p>
            <w:r>
              <w:t xml:space="preserve">Rutgers</w:t>
            </w:r>
          </w:p>
        </w:tc>
        <w:tc>
          <w:tcPr>
            <w:tcW w:type="dxa" w:w="1000"/>
          </w:tcPr>
          <w:p>
            <w:r>
              <w:t xml:space="preserve">B10</w:t>
            </w:r>
          </w:p>
        </w:tc>
        <w:tc>
          <w:tcPr>
            <w:tcW w:type="dxa" w:w="1000"/>
          </w:tcPr>
          <w:p>
            <w:r>
              <w:t xml:space="preserve">20-11</w:t>
            </w:r>
          </w:p>
        </w:tc>
        <w:tc>
          <w:tcPr>
            <w:tcW w:type="dxa" w:w="1000"/>
          </w:tcPr>
          <w:p>
            <w:r>
              <w:t xml:space="preserve">107.9 (72)</w:t>
            </w:r>
          </w:p>
        </w:tc>
        <w:tc>
          <w:tcPr>
            <w:tcW w:type="dxa" w:w="1000"/>
          </w:tcPr>
          <w:p>
            <w:r>
              <w:t xml:space="preserve">90.2 (6)</w:t>
            </w:r>
          </w:p>
        </w:tc>
        <w:tc>
          <w:tcPr>
            <w:tcW w:type="dxa" w:w="1000"/>
          </w:tcPr>
          <w:p>
            <w:r>
              <w:t xml:space="preserve">17.72</w:t>
            </w:r>
          </w:p>
        </w:tc>
        <w:tc>
          <w:tcPr>
            <w:tcW w:type="dxa" w:w="1000"/>
          </w:tcPr>
          <w:p>
            <w:r>
              <w:t xml:space="preserve">107.4 (25)</w:t>
            </w:r>
          </w:p>
        </w:tc>
        <w:tc>
          <w:tcPr>
            <w:tcW w:type="dxa" w:w="1000"/>
          </w:tcPr>
          <w:p>
            <w:r>
              <w:t xml:space="preserve">97.5 (32)</w:t>
            </w:r>
          </w:p>
        </w:tc>
        <w:tc>
          <w:tcPr>
            <w:tcW w:type="dxa" w:w="1000"/>
          </w:tcPr>
          <w:p>
            <w:r>
              <w:t xml:space="preserve">9.88</w:t>
            </w:r>
          </w:p>
        </w:tc>
      </w:tr>
      <w:tr>
        <w:tc>
          <w:tcPr>
            <w:tcW w:type="dxa" w:w="1000"/>
          </w:tcPr>
          <w:p>
            <w:r>
              <w:t xml:space="preserve">Florida St.</w:t>
            </w:r>
          </w:p>
        </w:tc>
        <w:tc>
          <w:tcPr>
            <w:tcW w:type="dxa" w:w="1000"/>
          </w:tcPr>
          <w:p>
            <w:r>
              <w:t xml:space="preserve">ACC</w:t>
            </w:r>
          </w:p>
        </w:tc>
        <w:tc>
          <w:tcPr>
            <w:tcW w:type="dxa" w:w="1000"/>
          </w:tcPr>
          <w:p>
            <w:r>
              <w:t xml:space="preserve">26-5</w:t>
            </w:r>
          </w:p>
        </w:tc>
        <w:tc>
          <w:tcPr>
            <w:tcW w:type="dxa" w:w="1000"/>
          </w:tcPr>
          <w:p>
            <w:r>
              <w:t xml:space="preserve">111.7 (32)</w:t>
            </w:r>
          </w:p>
        </w:tc>
        <w:tc>
          <w:tcPr>
            <w:tcW w:type="dxa" w:w="1000"/>
          </w:tcPr>
          <w:p>
            <w:r>
              <w:t xml:space="preserve">91.5 (15)</w:t>
            </w:r>
          </w:p>
        </w:tc>
        <w:tc>
          <w:tcPr>
            <w:tcW w:type="dxa" w:w="1000"/>
          </w:tcPr>
          <w:p>
            <w:r>
              <w:t xml:space="preserve">20.22</w:t>
            </w:r>
          </w:p>
        </w:tc>
        <w:tc>
          <w:tcPr>
            <w:tcW w:type="dxa" w:w="1000"/>
          </w:tcPr>
          <w:p>
            <w:r>
              <w:t xml:space="preserve">106.3 (44)</w:t>
            </w:r>
          </w:p>
        </w:tc>
        <w:tc>
          <w:tcPr>
            <w:tcW w:type="dxa" w:w="1000"/>
          </w:tcPr>
          <w:p>
            <w:r>
              <w:t xml:space="preserve">98.4 (53)</w:t>
            </w:r>
          </w:p>
        </w:tc>
        <w:tc>
          <w:tcPr>
            <w:tcW w:type="dxa" w:w="1000"/>
          </w:tcPr>
          <w:p>
            <w:r>
              <w:t xml:space="preserve">7.96</w:t>
            </w:r>
          </w:p>
        </w:tc>
      </w:tr>
      <w:tr>
        <w:tc>
          <w:tcPr>
            <w:tcW w:type="dxa" w:w="1000"/>
          </w:tcPr>
          <w:p>
            <w:r>
              <w:t xml:space="preserve">Arizona</w:t>
            </w:r>
          </w:p>
        </w:tc>
        <w:tc>
          <w:tcPr>
            <w:tcW w:type="dxa" w:w="1000"/>
          </w:tcPr>
          <w:p>
            <w:r>
              <w:t xml:space="preserve">P12</w:t>
            </w:r>
          </w:p>
        </w:tc>
        <w:tc>
          <w:tcPr>
            <w:tcW w:type="dxa" w:w="1000"/>
          </w:tcPr>
          <w:p>
            <w:r>
              <w:t xml:space="preserve">21-11</w:t>
            </w:r>
          </w:p>
        </w:tc>
        <w:tc>
          <w:tcPr>
            <w:tcW w:type="dxa" w:w="1000"/>
          </w:tcPr>
          <w:p>
            <w:r>
              <w:t xml:space="preserve">111.0 (35)</w:t>
            </w:r>
          </w:p>
        </w:tc>
        <w:tc>
          <w:tcPr>
            <w:tcW w:type="dxa" w:w="1000"/>
          </w:tcPr>
          <w:p>
            <w:r>
              <w:t xml:space="preserve">91.4 (14)</w:t>
            </w:r>
          </w:p>
        </w:tc>
        <w:tc>
          <w:tcPr>
            <w:tcW w:type="dxa" w:w="1000"/>
          </w:tcPr>
          <w:p>
            <w:r>
              <w:t xml:space="preserve">19.60</w:t>
            </w:r>
          </w:p>
        </w:tc>
        <w:tc>
          <w:tcPr>
            <w:tcW w:type="dxa" w:w="1000"/>
          </w:tcPr>
          <w:p>
            <w:r>
              <w:t xml:space="preserve">106.5 (38)</w:t>
            </w:r>
          </w:p>
        </w:tc>
        <w:tc>
          <w:tcPr>
            <w:tcW w:type="dxa" w:w="1000"/>
          </w:tcPr>
          <w:p>
            <w:r>
              <w:t xml:space="preserve">98.8 (62)</w:t>
            </w:r>
          </w:p>
        </w:tc>
        <w:tc>
          <w:tcPr>
            <w:tcW w:type="dxa" w:w="1000"/>
          </w:tcPr>
          <w:p>
            <w:r>
              <w:t xml:space="preserve">7.72</w:t>
            </w:r>
          </w:p>
        </w:tc>
      </w:tr>
    </w:tbl>
    <w:p/>
    <w:p>
      <w:r>
        <w:rPr>
          <w:i/>
          <w:iCs/>
        </w:rPr>
        <w:t xml:space="preserve">Source: [S6] — real, dated 2019-20 season ratings for all 353 Division I teams.</w:t>
      </w:r>
    </w:p>
    <w:p>
      <w:pPr>
        <w:pStyle w:val="Heading2"/>
        <w:spacing w:after="120" w:before="240"/>
      </w:pPr>
      <w:r>
        <w:t xml:space="preserve">Appendix C: The Full 353-Team Field, and a Data-Quality Note</w:t>
      </w:r>
    </w:p>
    <w:p>
      <w:r>
        <w:t xml:space="preserve">The bubble field in Appendix B is drawn from a full 353-team dataset covering every Division I team's win-loss record and all four rating columns for the 2019-20 season [S6]. A cleaned copy of that full file is available alongside this case (</w:t>
      </w:r>
      <w:r>
        <w:rPr>
          <w:rFonts w:ascii="Courier New" w:cs="Courier New" w:eastAsia="Courier New" w:hAnsi="Courier New"/>
        </w:rPr>
        <w:t xml:space="preserve">data/team_stats_2019-20_full_field.csv</w:t>
      </w:r>
      <w:r>
        <w:t xml:space="preserve">) for any Hero who wants to check the whole field, not just the curated 25.</w:t>
      </w:r>
    </w:p>
    <w:p>
      <w:r>
        <w:rPr>
          <w:b/>
          <w:bCs/>
        </w:rPr>
        <w:t xml:space="preserve">Known data-quality issue, disclosed rather than fixed by guessing:</w:t>
      </w:r>
      <w:r>
        <w:t xml:space="preserve"> in the original committee data sheet, 83 of the 353 teams' win-loss records (about 1 in 4) were corrupted by spreadsheet auto-formatting — a text value like "12-15" was silently converted into the calendar date December 15. The original win-loss record for those 83 teams cannot be recovered from the source file. They are marked </w:t>
      </w:r>
      <w:r>
        <w:rPr>
          <w:rFonts w:ascii="Courier New" w:cs="Courier New" w:eastAsia="Courier New" w:hAnsi="Courier New"/>
        </w:rPr>
        <w:t xml:space="preserve">CORRUPTED</w:t>
      </w:r>
      <w:r>
        <w:t xml:space="preserve"> in the win-loss column of the full-field CSV rather than guessed at. None of the 25 teams in Appendix B are affected. This is exactly the kind of messy, real data the actual committee has to work around — filtering it out, rather than trusting it blindly, is part of the job.</w:t>
      </w:r>
    </w:p>
    <w:p>
      <w:pPr>
        <w:pStyle w:val="Heading2"/>
        <w:spacing w:after="120" w:before="240"/>
      </w:pPr>
      <w:r>
        <w:t xml:space="preserve">Appendix D: Modeling Assumptions</w:t>
      </w:r>
    </w:p>
    <w:p>
      <w:pPr>
        <w:ind w:left="480"/>
      </w:pPr>
      <w:r>
        <w:t xml:space="preserve">These are stated conventions this case uses to make the data usable and comparable. A Hero may challenge any of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w:t>
            </w:r>
          </w:p>
        </w:tc>
        <w:tc>
          <w:tcPr>
            <w:tcW w:type="dxa" w:w="2250"/>
            <w:shd w:fill="DDDDDD" w:val="clear"/>
          </w:tcPr>
          <w:p>
            <w:r>
              <w:t xml:space="preserve">Assumption</w:t>
            </w:r>
          </w:p>
        </w:tc>
        <w:tc>
          <w:tcPr>
            <w:tcW w:type="dxa" w:w="2250"/>
            <w:shd w:fill="DDDDDD" w:val="clear"/>
          </w:tcPr>
          <w:p>
            <w:r>
              <w:t xml:space="preserve">What it means</w:t>
            </w:r>
          </w:p>
        </w:tc>
        <w:tc>
          <w:tcPr>
            <w:tcW w:type="dxa" w:w="2250"/>
            <w:shd w:fill="DDDDDD" w:val="clear"/>
          </w:tcPr>
          <w:p>
            <w:r>
              <w:t xml:space="preserve">Basis</w:t>
            </w:r>
          </w:p>
        </w:tc>
      </w:tr>
      <w:tr>
        <w:tc>
          <w:tcPr>
            <w:tcW w:type="dxa" w:w="2250"/>
          </w:tcPr>
          <w:p>
            <w:r>
              <w:t xml:space="preserve">MA1</w:t>
            </w:r>
          </w:p>
        </w:tc>
        <w:tc>
          <w:tcPr>
            <w:tcW w:type="dxa" w:w="2250"/>
          </w:tcPr>
          <w:p>
            <w:r>
              <w:t xml:space="preserve">The Appendix B bubble field (25 teams) was selected by averaging each team's national rank across all four rating columns, and keeping the 25 teams whose average rank landed nearest the historical top-16 cutoff.</w:t>
            </w:r>
          </w:p>
        </w:tc>
        <w:tc>
          <w:tcPr>
            <w:tcW w:type="dxa" w:w="2250"/>
          </w:tcPr>
          <w:p>
            <w:r>
              <w:t xml:space="preserve">This curation choice is disclosed, not hidden — it is why these particular 25 teams appear and not others.</w:t>
            </w:r>
          </w:p>
        </w:tc>
        <w:tc>
          <w:tcPr>
            <w:tcW w:type="dxa" w:w="2250"/>
          </w:tcPr>
          <w:p>
            <w:r>
              <w:t xml:space="preserve">A transparent, equal-weighted average of the four real rank columns in the source data [S6].</w:t>
            </w:r>
          </w:p>
        </w:tc>
      </w:tr>
      <w:tr>
        <w:tc>
          <w:tcPr>
            <w:tcW w:type="dxa" w:w="2250"/>
          </w:tcPr>
          <w:p>
            <w:r>
              <w:t xml:space="preserve">MA2</w:t>
            </w:r>
          </w:p>
        </w:tc>
        <w:tc>
          <w:tcPr>
            <w:tcW w:type="dxa" w:w="2250"/>
          </w:tcPr>
          <w:p>
            <w:r>
              <w:t xml:space="preserve">"Top 16" in this case means one of the tournament's four No. 1-4 overall seed lines (16 teams across 4 regions), matching the real committee's own structure (SEE Background).</w:t>
            </w:r>
          </w:p>
        </w:tc>
        <w:tc>
          <w:tcPr>
            <w:tcW w:type="dxa" w:w="2250"/>
          </w:tcPr>
          <w:p>
            <w:r>
              <w:t xml:space="preserve">Keeps the case's binary vote aligned with what the real committee actually decides.</w:t>
            </w:r>
          </w:p>
        </w:tc>
        <w:tc>
          <w:tcPr>
            <w:tcW w:type="dxa" w:w="2250"/>
          </w:tcPr>
          <w:p>
            <w:r>
              <w:t xml:space="preserve">Standard NCAA Tournament seeding structure, unchanged for decades [S1].</w:t>
            </w:r>
          </w:p>
        </w:tc>
      </w:tr>
      <w:tr>
        <w:tc>
          <w:tcPr>
            <w:tcW w:type="dxa" w:w="2250"/>
          </w:tcPr>
          <w:p>
            <w:r>
              <w:t xml:space="preserve">MA3</w:t>
            </w:r>
          </w:p>
        </w:tc>
        <w:tc>
          <w:tcPr>
            <w:tcW w:type="dxa" w:w="2250"/>
          </w:tcPr>
          <w:p>
            <w:r>
              <w:t xml:space="preserve">Field size is treated as exactly 353 Division I teams for this case, matching the count on the original data sheet and independently confirmed for that era.</w:t>
            </w:r>
          </w:p>
        </w:tc>
        <w:tc>
          <w:tcPr>
            <w:tcW w:type="dxa" w:w="2250"/>
          </w:tcPr>
          <w:p>
            <w:r>
              <w:t xml:space="preserve">Needed to state ranks like "50th of 353" meaningfully.</w:t>
            </w:r>
          </w:p>
        </w:tc>
        <w:tc>
          <w:tcPr>
            <w:tcW w:type="dxa" w:w="2250"/>
          </w:tcPr>
          <w:p>
            <w:r>
              <w:t xml:space="preserve">[S7]</w:t>
            </w:r>
          </w:p>
        </w:tc>
      </w:tr>
    </w:tbl>
    <w:p/>
    <w:p>
      <w:pPr>
        <w:pStyle w:val="Heading2"/>
        <w:spacing w:after="120" w:before="240"/>
      </w:pPr>
      <w:r>
        <w:t xml:space="preserve">Appendix E: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Structure of the NCAA committee and tournament: 10 members, 68-team field, 4 regions of 16, seeded 1-16, matchups by seed</w:t>
            </w:r>
          </w:p>
        </w:tc>
        <w:tc>
          <w:tcPr>
            <w:tcW w:type="dxa" w:w="1500"/>
          </w:tcPr>
          <w:p>
            <w:r>
              <w:t xml:space="preserve">Structural, not a changing number</w:t>
            </w:r>
          </w:p>
        </w:tc>
        <w:tc>
          <w:tcPr>
            <w:tcW w:type="dxa" w:w="1500"/>
          </w:tcPr>
          <w:p>
            <w:r>
              <w:t xml:space="preserve">NCAA.com, official tournament format explainer</w:t>
            </w:r>
          </w:p>
        </w:tc>
        <w:tc>
          <w:tcPr>
            <w:tcW w:type="dxa" w:w="1500"/>
          </w:tcPr>
          <w:p>
            <w:r>
              <w:t xml:space="preserve">Evergreen</w:t>
            </w:r>
          </w:p>
        </w:tc>
        <w:tc>
          <w:tcPr>
            <w:tcW w:type="dxa" w:w="1500"/>
          </w:tcPr>
          <w:p>
            <w:r>
              <w:t xml:space="preserve">HIGH</w:t>
            </w:r>
          </w:p>
        </w:tc>
      </w:tr>
      <w:tr>
        <w:tc>
          <w:tcPr>
            <w:tcW w:type="dxa" w:w="1500"/>
          </w:tcPr>
          <w:p>
            <w:r>
              <w:t xml:space="preserve">S2</w:t>
            </w:r>
          </w:p>
        </w:tc>
        <w:tc>
          <w:tcPr>
            <w:tcW w:type="dxa" w:w="1500"/>
          </w:tcPr>
          <w:p>
            <w:r>
              <w:t xml:space="preserve">The 2020 NCAA Division I men's basketball tournament was canceled outright due to COVID-19, the first cancellation in tournament history, with no bracket ever finalized</w:t>
            </w:r>
          </w:p>
        </w:tc>
        <w:tc>
          <w:tcPr>
            <w:tcW w:type="dxa" w:w="1500"/>
          </w:tcPr>
          <w:p>
            <w:r>
              <w:t xml:space="preserve">Canceled March 12, 2020</w:t>
            </w:r>
          </w:p>
        </w:tc>
        <w:tc>
          <w:tcPr>
            <w:tcW w:type="dxa" w:w="1500"/>
          </w:tcPr>
          <w:p>
            <w:r>
              <w:t xml:space="preserve">Wikipedia — "2020 NCAA Division I men's basketball tournament"</w:t>
            </w:r>
          </w:p>
        </w:tc>
        <w:tc>
          <w:tcPr>
            <w:tcW w:type="dxa" w:w="1500"/>
          </w:tcPr>
          <w:p>
            <w:r>
              <w:t xml:space="preserve">Accessed 2026-08-13</w:t>
            </w:r>
          </w:p>
        </w:tc>
        <w:tc>
          <w:tcPr>
            <w:tcW w:type="dxa" w:w="1500"/>
          </w:tcPr>
          <w:p>
            <w:r>
              <w:t xml:space="preserve">MEDIUM</w:t>
            </w:r>
          </w:p>
        </w:tc>
      </w:tr>
      <w:tr>
        <w:tc>
          <w:tcPr>
            <w:tcW w:type="dxa" w:w="1500"/>
          </w:tcPr>
          <w:p>
            <w:r>
              <w:t xml:space="preserve">S3</w:t>
            </w:r>
          </w:p>
        </w:tc>
        <w:tc>
          <w:tcPr>
            <w:tcW w:type="dxa" w:w="1500"/>
          </w:tcPr>
          <w:p>
            <w:r>
              <w:t xml:space="preserve">Seton Hall's 2019-20 final record, Big East finish, and final AP poll rank</w:t>
            </w:r>
          </w:p>
        </w:tc>
        <w:tc>
          <w:tcPr>
            <w:tcW w:type="dxa" w:w="1500"/>
          </w:tcPr>
          <w:p>
            <w:r>
              <w:t xml:space="preserve">21-9 overall, 13-5 Big East (co-champion), final AP rank No. 15</w:t>
            </w:r>
          </w:p>
        </w:tc>
        <w:tc>
          <w:tcPr>
            <w:tcW w:type="dxa" w:w="1500"/>
          </w:tcPr>
          <w:p>
            <w:r>
              <w:t xml:space="preserve">Wikipedia — "2019-20 Seton Hall Pirates men's basketball team"</w:t>
            </w:r>
          </w:p>
        </w:tc>
        <w:tc>
          <w:tcPr>
            <w:tcW w:type="dxa" w:w="1500"/>
          </w:tcPr>
          <w:p>
            <w:r>
              <w:t xml:space="preserve">Accessed 2026-08-13</w:t>
            </w:r>
          </w:p>
        </w:tc>
        <w:tc>
          <w:tcPr>
            <w:tcW w:type="dxa" w:w="1500"/>
          </w:tcPr>
          <w:p>
            <w:r>
              <w:t xml:space="preserve">MEDIUM</w:t>
            </w:r>
          </w:p>
        </w:tc>
      </w:tr>
      <w:tr>
        <w:tc>
          <w:tcPr>
            <w:tcW w:type="dxa" w:w="1500"/>
          </w:tcPr>
          <w:p>
            <w:r>
              <w:t xml:space="preserve">S4</w:t>
            </w:r>
          </w:p>
        </w:tc>
        <w:tc>
          <w:tcPr>
            <w:tcW w:type="dxa" w:w="1500"/>
          </w:tcPr>
          <w:p>
            <w:r>
              <w:t xml:space="preserve">Seton Hall finished the 2019-20 season at No. 15 in the last Associated Press Top 25 poll of the year</w:t>
            </w:r>
          </w:p>
        </w:tc>
        <w:tc>
          <w:tcPr>
            <w:tcW w:type="dxa" w:w="1500"/>
          </w:tcPr>
          <w:p>
            <w:r>
              <w:t xml:space="preserve">No. 15</w:t>
            </w:r>
          </w:p>
        </w:tc>
        <w:tc>
          <w:tcPr>
            <w:tcW w:type="dxa" w:w="1500"/>
          </w:tcPr>
          <w:p>
            <w:r>
              <w:t xml:space="preserve">Seton Hall University Athletics (shupirates.com) — "Seton Hall Finishes No. 15 in Season's Last Associated Press Poll"</w:t>
            </w:r>
          </w:p>
        </w:tc>
        <w:tc>
          <w:tcPr>
            <w:tcW w:type="dxa" w:w="1500"/>
          </w:tcPr>
          <w:p>
            <w:r>
              <w:t xml:space="preserve">Accessed 2026-08-13</w:t>
            </w:r>
          </w:p>
        </w:tc>
        <w:tc>
          <w:tcPr>
            <w:tcW w:type="dxa" w:w="1500"/>
          </w:tcPr>
          <w:p>
            <w:r>
              <w:t xml:space="preserve">HIGH</w:t>
            </w:r>
          </w:p>
        </w:tc>
      </w:tr>
      <w:tr>
        <w:tc>
          <w:tcPr>
            <w:tcW w:type="dxa" w:w="1500"/>
          </w:tcPr>
          <w:p>
            <w:r>
              <w:t xml:space="preserve">S5</w:t>
            </w:r>
          </w:p>
        </w:tc>
        <w:tc>
          <w:tcPr>
            <w:tcW w:type="dxa" w:w="1500"/>
          </w:tcPr>
          <w:p>
            <w:r>
              <w:t xml:space="preserve">Seton Hall's NCAA NET ranking during the 2019-20 season, including the final tracked week</w:t>
            </w:r>
          </w:p>
        </w:tc>
        <w:tc>
          <w:tcPr>
            <w:tcW w:type="dxa" w:w="1500"/>
          </w:tcPr>
          <w:p>
            <w:r>
              <w:t xml:space="preserve">No. 15</w:t>
            </w:r>
          </w:p>
        </w:tc>
        <w:tc>
          <w:tcPr>
            <w:tcW w:type="dxa" w:w="1500"/>
          </w:tcPr>
          <w:p>
            <w:r>
              <w:t xml:space="preserve">NCAA.com — official NCAA Division I Men's Basketball NET Rankings (through games of March 12, 2020, the last date games were played)</w:t>
            </w:r>
          </w:p>
        </w:tc>
        <w:tc>
          <w:tcPr>
            <w:tcW w:type="dxa" w:w="1500"/>
          </w:tcPr>
          <w:p>
            <w:r>
              <w:t xml:space="preserve">Accessed 2026-08-18</w:t>
            </w:r>
          </w:p>
        </w:tc>
        <w:tc>
          <w:tcPr>
            <w:tcW w:type="dxa" w:w="1500"/>
          </w:tcPr>
          <w:p>
            <w:r>
              <w:t xml:space="preserve">HIGH</w:t>
            </w:r>
          </w:p>
        </w:tc>
      </w:tr>
      <w:tr>
        <w:tc>
          <w:tcPr>
            <w:tcW w:type="dxa" w:w="1500"/>
          </w:tcPr>
          <w:p>
            <w:r>
              <w:t xml:space="preserve">S6</w:t>
            </w:r>
          </w:p>
        </w:tc>
        <w:tc>
          <w:tcPr>
            <w:tcW w:type="dxa" w:w="1500"/>
          </w:tcPr>
          <w:p>
            <w:r>
              <w:t xml:space="preserve">Real, dated 2019-20 season Team/Opponent Offensive and Defensive Ratings for 353 Division I teams</w:t>
            </w:r>
          </w:p>
        </w:tc>
        <w:tc>
          <w:tcPr>
            <w:tcW w:type="dxa" w:w="1500"/>
          </w:tcPr>
          <w:p>
            <w:r>
              <w:t xml:space="preserve">Full dataset — see Appendices B, C</w:t>
            </w:r>
          </w:p>
        </w:tc>
        <w:tc>
          <w:tcPr>
            <w:tcW w:type="dxa" w:w="1500"/>
          </w:tcPr>
          <w:p>
            <w:r>
              <w:t xml:space="preserve">Original committee-style team statistics sheet supplied with this case's legacy source materials (</w:t>
            </w:r>
            <w:r>
              <w:rPr>
                <w:rFonts w:ascii="Courier New" w:cs="Courier New" w:eastAsia="Courier New" w:hAnsi="Courier New"/>
              </w:rPr>
              <w:t xml:space="preserve">source/Y1/Session 6/Seton Hall/NCAA Basketball Team Statistics.xlsx</w:t>
            </w:r>
            <w:r>
              <w:t xml:space="preserve">) — an opponent-adjusted efficiency dataset consistent in structure and values with the major public college-basketball ratings systems of that season</w:t>
            </w:r>
          </w:p>
        </w:tc>
        <w:tc>
          <w:tcPr>
            <w:tcW w:type="dxa" w:w="1500"/>
          </w:tcPr>
          <w:p>
            <w:r>
              <w:t xml:space="preserve">Season data as of March 2020</w:t>
            </w:r>
          </w:p>
        </w:tc>
        <w:tc>
          <w:tcPr>
            <w:tcW w:type="dxa" w:w="1500"/>
          </w:tcPr>
          <w:p>
            <w:r>
              <w:t xml:space="preserve">MEDIUM</w:t>
            </w:r>
          </w:p>
        </w:tc>
      </w:tr>
      <w:tr>
        <w:tc>
          <w:tcPr>
            <w:tcW w:type="dxa" w:w="1500"/>
          </w:tcPr>
          <w:p>
            <w:r>
              <w:t xml:space="preserve">S7</w:t>
            </w:r>
          </w:p>
        </w:tc>
        <w:tc>
          <w:tcPr>
            <w:tcW w:type="dxa" w:w="1500"/>
          </w:tcPr>
          <w:p>
            <w:r>
              <w:t xml:space="preserve">353 Division I teams competed during the 2019-20 season</w:t>
            </w:r>
          </w:p>
        </w:tc>
        <w:tc>
          <w:tcPr>
            <w:tcW w:type="dxa" w:w="1500"/>
          </w:tcPr>
          <w:p>
            <w:r>
              <w:t xml:space="preserve">353</w:t>
            </w:r>
          </w:p>
        </w:tc>
        <w:tc>
          <w:tcPr>
            <w:tcW w:type="dxa" w:w="1500"/>
          </w:tcPr>
          <w:p>
            <w:r>
              <w:t xml:space="preserve">Wikipedia — "2019 NCAA Division I men's basketball tournament" (team count consistent across the 2018-2021 seasons)</w:t>
            </w:r>
          </w:p>
        </w:tc>
        <w:tc>
          <w:tcPr>
            <w:tcW w:type="dxa" w:w="1500"/>
          </w:tcPr>
          <w:p>
            <w:r>
              <w:t xml:space="preserve">Accessed 2026-08-18</w:t>
            </w:r>
          </w:p>
        </w:tc>
        <w:tc>
          <w:tcPr>
            <w:tcW w:type="dxa" w:w="1500"/>
          </w:tcPr>
          <w:p>
            <w:r>
              <w:t xml:space="preserve">MEDIUM</w:t>
            </w:r>
          </w:p>
        </w:tc>
      </w:tr>
    </w:tbl>
    <w:p/>
    <w:p>
      <w:r>
        <w:rPr>
          <w:b/>
          <w:bCs/>
        </w:rPr>
        <w:t xml:space="preserve">On S6's confidence grade:</w:t>
      </w:r>
      <w:r>
        <w:t xml:space="preserve"> the original spreadsheet supplied with the legacy case materials has no publisher letterhead, byline, or named methodology — only the definitions in Appendix B's Key, which describe a standard opponent-adjusted efficiency system. Every spot-checked figure (Seton Hall's 21-9 record, Kansas's 28-3 record and No. 1 overall composite position, Virginia's historically elite defensive rating for that era) matches independently verifiable real facts about the 2019-20 season. It is graded MEDIUM rather than HIGH only because the sheet's own original compiler and exact methodology are not named in the file itself — not because any individual figure looks wrong.</w:t>
      </w:r>
    </w:p>
    <w:p>
      <w:pPr>
        <w:pStyle w:val="Heading2"/>
        <w:spacing w:after="120" w:before="240"/>
      </w:pPr>
      <w:r>
        <w:t xml:space="preserve">Appendix F — "How To…" Math Questions To Research</w:t>
      </w:r>
    </w:p>
    <w:p>
      <w:r>
        <w:rPr>
          <w:b/>
          <w:bCs/>
        </w:rPr>
        <w:t xml:space="preserve">Vocabulary terms</w:t>
      </w:r>
    </w:p>
    <w:p>
      <w:pPr>
        <w:ind w:left="360"/>
      </w:pPr>
      <w:r>
        <w:t xml:space="preserve">- Scatter Plot</w:t>
      </w:r>
    </w:p>
    <w:p>
      <w:pPr>
        <w:ind w:left="360"/>
      </w:pPr>
      <w:r>
        <w:t xml:space="preserve">- Coordinate Plane</w:t>
      </w:r>
    </w:p>
    <w:p>
      <w:pPr>
        <w:ind w:left="360"/>
      </w:pPr>
      <w:r>
        <w:t xml:space="preserve">- X-Axis</w:t>
      </w:r>
    </w:p>
    <w:p>
      <w:pPr>
        <w:ind w:left="360"/>
      </w:pPr>
      <w:r>
        <w:t xml:space="preserve">- Y-Axis</w:t>
      </w:r>
    </w:p>
    <w:p>
      <w:pPr>
        <w:ind w:left="360"/>
      </w:pPr>
      <w:r>
        <w:t xml:space="preserve">- Origin</w:t>
      </w:r>
    </w:p>
    <w:p>
      <w:pPr>
        <w:ind w:left="360"/>
      </w:pPr>
      <w:r>
        <w:t xml:space="preserve">- Coordinate Pair (also Ordered Pair)</w:t>
      </w:r>
    </w:p>
    <w:p>
      <w:pPr>
        <w:ind w:left="360"/>
      </w:pPr>
      <w:r>
        <w:t xml:space="preserve">- Decimal</w:t>
      </w:r>
    </w:p>
    <w:p>
      <w:pPr>
        <w:ind w:left="360"/>
      </w:pPr>
      <w:r>
        <w:t xml:space="preserve">- Decimal Number</w:t>
      </w:r>
    </w:p>
    <w:p>
      <w:pPr>
        <w:ind w:left="360"/>
      </w:pPr>
      <w:r>
        <w:t xml:space="preserve">- Operation</w:t>
      </w:r>
    </w:p>
    <w:p>
      <w:pPr>
        <w:ind w:left="360"/>
      </w:pPr>
      <w:r>
        <w:t xml:space="preserve">- Variable</w:t>
      </w:r>
    </w:p>
    <w:p>
      <w:pPr>
        <w:ind w:left="360"/>
      </w:pPr>
      <w:r>
        <w:t xml:space="preserve">- Constant</w:t>
      </w:r>
    </w:p>
    <w:p>
      <w:pPr>
        <w:ind w:left="360"/>
      </w:pPr>
      <w:r>
        <w:t xml:space="preserve">- Coefficient</w:t>
      </w:r>
    </w:p>
    <w:p>
      <w:pPr>
        <w:ind w:left="360"/>
      </w:pPr>
      <w:r>
        <w:t xml:space="preserve">- Greater Than</w:t>
      </w:r>
    </w:p>
    <w:p>
      <w:pPr>
        <w:ind w:left="360"/>
      </w:pPr>
      <w:r>
        <w:t xml:space="preserve">- Less Than</w:t>
      </w:r>
    </w:p>
    <w:p>
      <w:pPr>
        <w:ind w:left="360"/>
      </w:pPr>
      <w:r>
        <w:t xml:space="preserve">- Rounding</w:t>
      </w:r>
    </w:p>
    <w:p>
      <w:pPr>
        <w:ind w:left="360"/>
      </w:pPr>
      <w:r>
        <w:t xml:space="preserve">- Mean</w:t>
      </w:r>
    </w:p>
    <w:p>
      <w:pPr>
        <w:ind w:left="360"/>
      </w:pPr>
      <w:r>
        <w:t xml:space="preserve">- Percent</w:t>
      </w:r>
    </w:p>
    <w:p>
      <w:r>
        <w:rPr>
          <w:b/>
          <w:bCs/>
        </w:rPr>
        <w:t xml:space="preserve">"How to…" questions</w:t>
      </w:r>
    </w:p>
    <w:p>
      <w:pPr>
        <w:ind w:left="360"/>
      </w:pPr>
      <w:r>
        <w:t xml:space="preserve">- How to create a scatter plot given a set of data</w:t>
      </w:r>
    </w:p>
    <w:p>
      <w:pPr>
        <w:ind w:left="360"/>
      </w:pPr>
      <w:r>
        <w:t xml:space="preserve">- How to graph a coordinate pair on the coordinate plane</w:t>
      </w:r>
    </w:p>
    <w:p>
      <w:pPr>
        <w:ind w:left="360"/>
      </w:pPr>
      <w:r>
        <w:t xml:space="preserve">- How to add decimal numbers</w:t>
      </w:r>
    </w:p>
    <w:p>
      <w:pPr>
        <w:ind w:left="360"/>
      </w:pPr>
      <w:r>
        <w:t xml:space="preserve">- How to subtract decimal numbers</w:t>
      </w:r>
    </w:p>
    <w:p>
      <w:pPr>
        <w:ind w:left="360"/>
      </w:pPr>
      <w:r>
        <w:t xml:space="preserve">- How to multiply decimal numbers</w:t>
      </w:r>
    </w:p>
    <w:p>
      <w:pPr>
        <w:ind w:left="360"/>
      </w:pPr>
      <w:r>
        <w:t xml:space="preserve">- How to divide decimal numbers</w:t>
      </w:r>
    </w:p>
    <w:p>
      <w:pPr>
        <w:ind w:left="360"/>
      </w:pPr>
      <w:r>
        <w:t xml:space="preserve">- How to evaluate an expression with multiple operations without exponents (Order of Operations)</w:t>
      </w:r>
    </w:p>
    <w:p>
      <w:pPr>
        <w:ind w:left="360"/>
      </w:pPr>
      <w:r>
        <w:t xml:space="preserve">- How to evaluate a variable expression (Substitution Property)</w:t>
      </w:r>
    </w:p>
    <w:p>
      <w:pPr>
        <w:ind w:left="360"/>
      </w:pPr>
      <w:r>
        <w:t xml:space="preserve">- How to compare two or more values</w:t>
      </w:r>
    </w:p>
    <w:p>
      <w:pPr>
        <w:ind w:left="360"/>
      </w:pPr>
      <w:r>
        <w:t xml:space="preserve">- How to round a number to a specified place value</w:t>
      </w:r>
    </w:p>
    <w:p>
      <w:pPr>
        <w:ind w:left="360"/>
      </w:pPr>
      <w:r>
        <w:t xml:space="preserve">- How to find the mean of a set of data</w:t>
      </w:r>
    </w:p>
    <w:p>
      <w:pPr>
        <w:ind w:left="360"/>
      </w:pPr>
      <w:r>
        <w:t xml:space="preserve">- How to convert numbers to percents</w:t>
      </w:r>
    </w:p>
    <w:p>
      <w:pPr>
        <w:ind w:left="360"/>
      </w:pPr>
      <w:r>
        <w:t xml:space="preserve">- How to write a linear equation given a set of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2026-08-18T20:12:28.618Z</dcterms:created>
  <dcterms:modified xsi:type="dcterms:W3CDTF">2026-08-18T20:12:28.622Z</dcterms:modified>
</cp:coreProperties>
</file>

<file path=docProps/custom.xml><?xml version="1.0" encoding="utf-8"?>
<Properties xmlns="http://schemas.openxmlformats.org/officeDocument/2006/custom-properties" xmlns:vt="http://schemas.openxmlformats.org/officeDocument/2006/docPropsVTypes"/>
</file>