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Case Study: Wildfire</w:t>
      </w:r>
    </w:p>
    <w:p>
      <w:pPr>
        <w:spacing w:after="300"/>
      </w:pPr>
      <w:r>
        <w:rPr>
          <w:color w:val="5b6472"/>
          <w:sz w:val="20"/>
          <w:szCs w:val="20"/>
        </w:rPr>
        <w:t xml:space="preserve">MS | Math | Case Study | 2026-27 | Heroes Academy</w:t>
      </w:r>
    </w:p>
    <w:p>
      <w:pPr>
        <w:pStyle w:val="Heading1"/>
        <w:spacing w:after="160" w:before="300"/>
      </w:pPr>
      <w:r>
        <w:t xml:space="preserve">Overview</w:t>
      </w:r>
    </w:p>
    <w:p>
      <w:pPr>
        <w:spacing w:after="140"/>
      </w:pPr>
      <w:r>
        <w:t xml:space="preserve">The wall-sized video board in the National Interagency Fire Center's command operations room is a wall of red. Satellite thermal overlays crawl across it, on top of a live news feed showing a hillside glowing orange against a pre-dawn sky. Response Commander Rex Dobson hasn't sat down in six hours.</w:t>
      </w:r>
    </w:p>
    <w:p>
      <w:pPr>
        <w:spacing w:after="140"/>
      </w:pPr>
      <w:r>
        <w:t xml:space="preserve">“Sir, the governor is ready to deploy the National Guard — he's on line two.” A voice cuts across the room. Dobson doesn't look up from the map table, where two grease-pencil arrows are still drying: one pointed at San Fernando, one at Santa Clarita.</w:t>
      </w:r>
    </w:p>
    <w:p>
      <w:pPr>
        <w:spacing w:after="140"/>
      </w:pPr>
      <w:r>
        <w:t xml:space="preserve">Overnight reports just confirmed the fire tore through the town of Agua Dulce faster than anyone on shift expected. The smokejumper teams radioed in fresh spread numbers off both flanks twenty minutes ago. Somewhere in this room is the answer to where the rapid response force should go — and Dobson has line two waiting.</w:t>
      </w:r>
    </w:p>
    <w:p>
      <w:pPr>
        <w:spacing w:after="140"/>
      </w:pPr>
      <w:r>
        <w:t xml:space="preserve">“I'll take it in my office,” he says, and starts walking.</w:t>
      </w:r>
    </w:p>
    <w:p>
      <w:pPr>
        <w:pStyle w:val="Heading1"/>
        <w:spacing w:after="160" w:before="300"/>
      </w:pPr>
      <w:r>
        <w:t xml:space="preserve">Background</w:t>
      </w:r>
    </w:p>
    <w:p>
      <w:pPr>
        <w:spacing w:after="140"/>
      </w:pPr>
      <w:r>
        <w:t xml:space="preserve">Fueled by record-high temperatures and a dry winter, it has been a brutal fire season across California and the wider western United States.</w:t>
      </w:r>
    </w:p>
    <w:p>
      <w:pPr>
        <w:spacing w:after="140"/>
      </w:pPr>
      <w:r>
        <w:t xml:space="preserve">The Soledad Canyon Fire began three days ago from an unknown cause. Initially 55% contained, it exploded in size, speed, and intensity yesterday when Santa Ana winds off the northwest Sierra Pelona combined with high heat and low humidity. Local authorities in Santa Clarita, San Fernando, and the smaller mountain communities between them, working with Cal Fire, have ordered evacuations across the fire's path (SEE APPENDIX B AND APPENDIX C).</w:t>
      </w:r>
    </w:p>
    <w:p>
      <w:pPr>
        <w:spacing w:after="140"/>
      </w:pPr>
      <w:r>
        <w:t xml:space="preserve">The California National Guard is preparing a force of 2,500 troops, but only a rapid response force of 235 troops is ready to deploy today, and it can only go to one place. Its job on arrival is to cut a fire line along the edge of an urban area, to keep the fire from reaching homes and businesses there.</w:t>
      </w:r>
    </w:p>
    <w:p>
      <w:pPr>
        <w:spacing w:after="140"/>
      </w:pPr>
      <w:r>
        <w:t xml:space="preserve">At 05:00 this morning, two field teams radioed in independent spread reports (SEE APPENDIX D for how these numbers are used):</w:t>
      </w:r>
    </w:p>
    <w:p>
      <w:pPr>
        <w:pStyle w:val="ListParagraph"/>
        <w:numPr>
          <w:ilvl w:val="0"/>
          <w:numId w:val="2"/>
        </w:numPr>
        <w:spacing w:after="80"/>
      </w:pPr>
      <w:r>
        <w:t xml:space="preserve">A smokejumper team on the fire's southern head reported a Rate of Spread (ROS) of 35 chains per hour, on a 9% slope, with a 10 mph wind.</w:t>
      </w:r>
    </w:p>
    <w:p>
      <w:pPr>
        <w:pStyle w:val="ListParagraph"/>
        <w:numPr>
          <w:ilvl w:val="0"/>
          <w:numId w:val="2"/>
        </w:numPr>
        <w:spacing w:after="80"/>
      </w:pPr>
      <w:r>
        <w:t xml:space="preserve">A firefighter team on the fire's southwestern flank, on the highway just east of Solemint, reported an ROS of 27 chains per hour, on a 4% slope, with an 8 mph wind.</w:t>
      </w:r>
    </w:p>
    <w:p>
      <w:pPr>
        <w:spacing w:after="140"/>
      </w:pPr>
      <w:r>
        <w:t xml:space="preserve">The National Weather Service's forecast for today (SEE APPENDIX A) shows temperature, wind, and humidity all shifting through the day — the two 05:00 field reports are the most current numbers Commander Dobson has, but they are not the only numbers on the table.</w:t>
      </w:r>
    </w:p>
    <w:p>
      <w:pPr>
        <w:spacing w:after="140"/>
      </w:pPr>
      <w:r>
        <w:t xml:space="preserve">Real population and structure data for the two candidate towns, and for Agua Dulce (already hit), are in APPENDIX C. Real distances from the fire's current position near Agua Dulce to each town are in APPENDIX C as well. Every figure in Appendices A through D is cited in APPENDIX E, and further fire/terrain reference material for your pitch is in APPENDIX F. The vocabulary and “how to…” skills this case draws on are listed in Appendix G — that is where Challenge 1 sends you.</w:t>
      </w:r>
    </w:p>
    <w:p>
      <w:pPr>
        <w:pStyle w:val="Heading1"/>
        <w:spacing w:after="160" w:before="300"/>
      </w:pPr>
      <w:r>
        <w:t xml:space="preserve">Dilemma</w:t>
      </w:r>
    </w:p>
    <w:p>
      <w:pPr>
        <w:spacing w:after="140"/>
      </w:pPr>
      <w:r>
        <w:t xml:space="preserve">You are Response Commander Rex Dobson.</w:t>
      </w:r>
    </w:p>
    <w:p>
      <w:pPr>
        <w:spacing w:after="140"/>
      </w:pPr>
      <w:r>
        <w:t xml:space="preserve">Do you:</w:t>
      </w:r>
    </w:p>
    <w:p>
      <w:pPr>
        <w:spacing w:after="140"/>
      </w:pPr>
      <w:r>
        <w:rPr>
          <w:b/>
          <w:bCs/>
        </w:rPr>
        <w:t xml:space="preserve">A.) </w:t>
      </w:r>
      <w:r>
        <w:t xml:space="preserve">Recommend the National Guard rapid response force be deployed to San Fernando </w:t>
      </w:r>
      <w:r>
        <w:rPr>
          <w:b/>
          <w:bCs/>
        </w:rPr>
        <w:t xml:space="preserve">OR</w:t>
      </w:r>
    </w:p>
    <w:p>
      <w:pPr>
        <w:spacing w:after="140"/>
      </w:pPr>
      <w:r>
        <w:rPr>
          <w:b/>
          <w:bCs/>
        </w:rPr>
        <w:t xml:space="preserve">B.) </w:t>
      </w:r>
      <w:r>
        <w:t xml:space="preserve">Recommend the National Guard rapid response force be deployed to Santa Clarita</w:t>
      </w:r>
    </w:p>
    <w:p>
      <w:pPr>
        <w:pStyle w:val="Heading1"/>
        <w:spacing w:after="160" w:before="300"/>
      </w:pPr>
      <w:r>
        <w:t xml:space="preserve">Challenges</w:t>
      </w:r>
    </w:p>
    <w:p>
      <w:pPr>
        <w:spacing w:after="140"/>
      </w:pPr>
      <w:r>
        <w:t xml:space="preserve">1.) </w:t>
      </w:r>
      <w:r>
        <w:t xml:space="preserve">Research and find an online resource that answers one of the “how to…” questions from the case study launch. Post a link to the resource as your submission.</w:t>
      </w:r>
    </w:p>
    <w:p>
      <w:pPr>
        <w:spacing w:after="140"/>
      </w:pPr>
      <w:r>
        <w:t xml:space="preserve">2.) </w:t>
      </w:r>
      <w:r>
        <w:t xml:space="preserve">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40"/>
      </w:pPr>
      <w:r>
        <w:t xml:space="preserve">3.) </w:t>
      </w:r>
      <w:r>
        <w:t xml:space="preserve">Include the following:</w:t>
      </w:r>
    </w:p>
    <w:p>
      <w:pPr>
        <w:pStyle w:val="ListParagraph"/>
        <w:numPr>
          <w:ilvl w:val="0"/>
          <w:numId w:val="2"/>
        </w:numPr>
        <w:spacing w:after="80"/>
      </w:pPr>
      <w:r>
        <w:rPr>
          <w:b w:val="false"/>
          <w:bCs w:val="false"/>
        </w:rPr>
        <w:t xml:space="preserve">D1 — Acres NIFC should anticipate burning between 05:00 and 23:59 tonight, using the higher of the two reported spread rates (Appendix D, Modeling Assumption MA1) and the real chains-to-acres conversion.</w:t>
      </w:r>
    </w:p>
    <w:p>
      <w:pPr>
        <w:pStyle w:val="ListParagraph"/>
        <w:numPr>
          <w:ilvl w:val="0"/>
          <w:numId w:val="2"/>
        </w:numPr>
        <w:spacing w:after="80"/>
      </w:pPr>
      <w:r>
        <w:t xml:space="preserve">D2 — How many people NIFC should expect to lose their homes today, from now until 23:59 tonight, using D1's acreage and the real structure-density figures in Appendix C (Modeling Assumption MA2).</w:t>
      </w:r>
    </w:p>
    <w:p>
      <w:pPr>
        <w:pStyle w:val="ListParagraph"/>
        <w:numPr>
          <w:ilvl w:val="0"/>
          <w:numId w:val="2"/>
        </w:numPr>
        <w:spacing w:after="80"/>
      </w:pPr>
      <w:r>
        <w:t xml:space="preserve">D3 — If Option A: how long, at the current reported rate, would it take the fire to reach San Fernando, and what location at San Fernando's edge should the rapid response team be deployed to defend?</w:t>
      </w:r>
    </w:p>
    <w:p>
      <w:pPr>
        <w:pStyle w:val="ListParagraph"/>
        <w:numPr>
          <w:ilvl w:val="0"/>
          <w:numId w:val="2"/>
        </w:numPr>
        <w:spacing w:after="80"/>
      </w:pPr>
      <w:r>
        <w:t xml:space="preserve">D4 — If Option B: how long, at the current reported rate, would it take the fire to reach Santa Clarita, and what location at Santa Clarita's edge should the rapid response team be deployed to defend?</w:t>
      </w:r>
    </w:p>
    <w:p>
      <w:pPr>
        <w:pStyle w:val="ListParagraph"/>
        <w:numPr>
          <w:ilvl w:val="0"/>
          <w:numId w:val="2"/>
        </w:numPr>
        <w:spacing w:after="80"/>
      </w:pPr>
      <w:r>
        <w:t xml:space="preserve">D5 — A recommendation for Commander Dobson, weighing the lead time computed in D3/D4 against the populations at stake in Appendix C.</w:t>
      </w:r>
    </w:p>
    <w:p>
      <w:pPr>
        <w:spacing w:after="140"/>
      </w:pPr>
      <w:r>
        <w:t xml:space="preserve">4.) </w:t>
      </w:r>
      <w:r>
        <w:t xml:space="preserve">An appendix showing evidence of your original thinking, work, calculations and processes you used to complete the challenges (pictures, screenshots, notes, etc.). Your work in the appendix does not count toward your word count.</w:t>
      </w:r>
    </w:p>
    <w:p>
      <w:pPr>
        <w:spacing w:after="140"/>
      </w:pPr>
      <w:r>
        <w:t xml:space="preserve">5.) </w:t>
      </w:r>
      <w:r>
        <w:t xml:space="preserve">Participate twice or more in the Case Study discussion. If you are absent the day of a discussion post 500 “excellent” words on the questions above.</w:t>
      </w:r>
    </w:p>
    <w:p>
      <w:pPr>
        <w:pStyle w:val="Heading1"/>
        <w:spacing w:after="160" w:before="300"/>
      </w:pPr>
      <w:r>
        <w:t xml:space="preserve">Appendix A — October 17 Weather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0"/>
      </w:tblGrid>
      <w:tr>
        <w:tc>
          <w:tcPr>
            <w:tcW w:type="dxa" w:w="3200"/>
            <w:shd w:fill="1a3a5c" w:color="auto" w:val="clear"/>
          </w:tcPr>
          <w:p>
            <w:r>
              <w:rPr>
                <w:b/>
                <w:bCs/>
                <w:color w:val="FFFFFF"/>
                <w:sz w:val="19"/>
                <w:szCs w:val="19"/>
              </w:rPr>
              <w:t xml:space="preserve">Time Of Day</w:t>
            </w:r>
          </w:p>
        </w:tc>
        <w:tc>
          <w:tcPr>
            <w:tcW w:type="dxa" w:w="2100"/>
            <w:shd w:fill="1a3a5c" w:color="auto" w:val="clear"/>
          </w:tcPr>
          <w:p>
            <w:r>
              <w:rPr>
                <w:b/>
                <w:bCs/>
                <w:color w:val="FFFFFF"/>
                <w:sz w:val="19"/>
                <w:szCs w:val="19"/>
              </w:rPr>
              <w:t xml:space="preserve">05:00–11:00</w:t>
            </w:r>
          </w:p>
        </w:tc>
        <w:tc>
          <w:tcPr>
            <w:tcW w:type="dxa" w:w="2100"/>
            <w:shd w:fill="1a3a5c" w:color="auto" w:val="clear"/>
          </w:tcPr>
          <w:p>
            <w:r>
              <w:rPr>
                <w:b/>
                <w:bCs/>
                <w:color w:val="FFFFFF"/>
                <w:sz w:val="19"/>
                <w:szCs w:val="19"/>
              </w:rPr>
              <w:t xml:space="preserve">11:00–21:00</w:t>
            </w:r>
          </w:p>
        </w:tc>
        <w:tc>
          <w:tcPr>
            <w:tcW w:type="dxa" w:w="2100"/>
            <w:shd w:fill="1a3a5c" w:color="auto" w:val="clear"/>
          </w:tcPr>
          <w:p>
            <w:r>
              <w:rPr>
                <w:b/>
                <w:bCs/>
                <w:color w:val="FFFFFF"/>
                <w:sz w:val="19"/>
                <w:szCs w:val="19"/>
              </w:rPr>
              <w:t xml:space="preserve">21:00–24:00</w:t>
            </w:r>
          </w:p>
        </w:tc>
      </w:tr>
      <w:tr>
        <w:tc>
          <w:tcPr>
            <w:tcW w:type="dxa" w:w="3200"/>
          </w:tcPr>
          <w:p>
            <w:r>
              <w:rPr>
                <w:b w:val="false"/>
                <w:bCs w:val="false"/>
                <w:sz w:val="19"/>
                <w:szCs w:val="19"/>
              </w:rPr>
              <w:t xml:space="preserve">Dry Bulb Temp (Low–High, Mean)</w:t>
            </w:r>
          </w:p>
        </w:tc>
        <w:tc>
          <w:tcPr>
            <w:tcW w:type="dxa" w:w="2100"/>
          </w:tcPr>
          <w:p>
            <w:r>
              <w:rPr>
                <w:b w:val="false"/>
                <w:bCs w:val="false"/>
                <w:sz w:val="19"/>
                <w:szCs w:val="19"/>
              </w:rPr>
              <w:t xml:space="preserve">74°–79°, 76°</w:t>
            </w:r>
          </w:p>
        </w:tc>
        <w:tc>
          <w:tcPr>
            <w:tcW w:type="dxa" w:w="2100"/>
          </w:tcPr>
          <w:p>
            <w:r>
              <w:rPr>
                <w:b w:val="false"/>
                <w:bCs w:val="false"/>
                <w:sz w:val="19"/>
                <w:szCs w:val="19"/>
              </w:rPr>
              <w:t xml:space="preserve">79°–93°, 89°</w:t>
            </w:r>
          </w:p>
        </w:tc>
        <w:tc>
          <w:tcPr>
            <w:tcW w:type="dxa" w:w="2100"/>
          </w:tcPr>
          <w:p>
            <w:r>
              <w:rPr>
                <w:b w:val="false"/>
                <w:bCs w:val="false"/>
                <w:sz w:val="19"/>
                <w:szCs w:val="19"/>
              </w:rPr>
              <w:t xml:space="preserve">71°–86°, 81°</w:t>
            </w:r>
          </w:p>
        </w:tc>
      </w:tr>
      <w:tr>
        <w:tc>
          <w:tcPr>
            <w:tcW w:type="dxa" w:w="3200"/>
          </w:tcPr>
          <w:p>
            <w:r>
              <w:rPr>
                <w:b w:val="false"/>
                <w:bCs w:val="false"/>
                <w:sz w:val="19"/>
                <w:szCs w:val="19"/>
              </w:rPr>
              <w:t xml:space="preserve">Wet Bulb Temp (Low–High, Mean)</w:t>
            </w:r>
          </w:p>
        </w:tc>
        <w:tc>
          <w:tcPr>
            <w:tcW w:type="dxa" w:w="2100"/>
          </w:tcPr>
          <w:p>
            <w:r>
              <w:rPr>
                <w:b w:val="false"/>
                <w:bCs w:val="false"/>
                <w:sz w:val="19"/>
                <w:szCs w:val="19"/>
              </w:rPr>
              <w:t xml:space="preserve">54°–59°, 56°</w:t>
            </w:r>
          </w:p>
        </w:tc>
        <w:tc>
          <w:tcPr>
            <w:tcW w:type="dxa" w:w="2100"/>
          </w:tcPr>
          <w:p>
            <w:r>
              <w:rPr>
                <w:b w:val="false"/>
                <w:bCs w:val="false"/>
                <w:sz w:val="19"/>
                <w:szCs w:val="19"/>
              </w:rPr>
              <w:t xml:space="preserve">59°–65°, 63°</w:t>
            </w:r>
          </w:p>
        </w:tc>
        <w:tc>
          <w:tcPr>
            <w:tcW w:type="dxa" w:w="2100"/>
          </w:tcPr>
          <w:p>
            <w:r>
              <w:rPr>
                <w:b w:val="false"/>
                <w:bCs w:val="false"/>
                <w:sz w:val="19"/>
                <w:szCs w:val="19"/>
              </w:rPr>
              <w:t xml:space="preserve">60°–63°, 61°</w:t>
            </w:r>
          </w:p>
        </w:tc>
      </w:tr>
      <w:tr>
        <w:tc>
          <w:tcPr>
            <w:tcW w:type="dxa" w:w="3200"/>
          </w:tcPr>
          <w:p>
            <w:r>
              <w:rPr>
                <w:b w:val="false"/>
                <w:bCs w:val="false"/>
                <w:sz w:val="19"/>
                <w:szCs w:val="19"/>
              </w:rPr>
              <w:t xml:space="preserve">Wind (Direction, Mean Velocity, Probability)</w:t>
            </w:r>
          </w:p>
        </w:tc>
        <w:tc>
          <w:tcPr>
            <w:tcW w:type="dxa" w:w="2100"/>
          </w:tcPr>
          <w:p>
            <w:r>
              <w:rPr>
                <w:b w:val="false"/>
                <w:bCs w:val="false"/>
                <w:sz w:val="19"/>
                <w:szCs w:val="19"/>
              </w:rPr>
              <w:t xml:space="preserve">W 14 mph 82% / SW 18 mph 18%</w:t>
            </w:r>
          </w:p>
        </w:tc>
        <w:tc>
          <w:tcPr>
            <w:tcW w:type="dxa" w:w="2100"/>
          </w:tcPr>
          <w:p>
            <w:r>
              <w:rPr>
                <w:b w:val="false"/>
                <w:bCs w:val="false"/>
                <w:sz w:val="19"/>
                <w:szCs w:val="19"/>
              </w:rPr>
              <w:t xml:space="preserve">S 28 mph 59% / SW 33 mph 41%</w:t>
            </w:r>
          </w:p>
        </w:tc>
        <w:tc>
          <w:tcPr>
            <w:tcW w:type="dxa" w:w="2100"/>
          </w:tcPr>
          <w:p>
            <w:r>
              <w:rPr>
                <w:b w:val="false"/>
                <w:bCs w:val="false"/>
                <w:sz w:val="19"/>
                <w:szCs w:val="19"/>
              </w:rPr>
              <w:t xml:space="preserve">W 19 mph 54% / SW 25 mph 36%</w:t>
            </w:r>
          </w:p>
        </w:tc>
      </w:tr>
      <w:tr>
        <w:tc>
          <w:tcPr>
            <w:tcW w:type="dxa" w:w="3200"/>
          </w:tcPr>
          <w:p>
            <w:r>
              <w:rPr>
                <w:b w:val="false"/>
                <w:bCs w:val="false"/>
                <w:sz w:val="19"/>
                <w:szCs w:val="19"/>
              </w:rPr>
              <w:t xml:space="preserve">Precipitation</w:t>
            </w:r>
          </w:p>
        </w:tc>
        <w:tc>
          <w:tcPr>
            <w:tcW w:type="dxa" w:w="2100"/>
          </w:tcPr>
          <w:p>
            <w:r>
              <w:rPr>
                <w:b w:val="false"/>
                <w:bCs w:val="false"/>
                <w:sz w:val="19"/>
                <w:szCs w:val="19"/>
              </w:rPr>
              <w:t xml:space="preserve">0%</w:t>
            </w:r>
          </w:p>
        </w:tc>
        <w:tc>
          <w:tcPr>
            <w:tcW w:type="dxa" w:w="2100"/>
          </w:tcPr>
          <w:p>
            <w:r>
              <w:rPr>
                <w:b w:val="false"/>
                <w:bCs w:val="false"/>
                <w:sz w:val="19"/>
                <w:szCs w:val="19"/>
              </w:rPr>
              <w:t xml:space="preserve">0%</w:t>
            </w:r>
          </w:p>
        </w:tc>
        <w:tc>
          <w:tcPr>
            <w:tcW w:type="dxa" w:w="2100"/>
          </w:tcPr>
          <w:p>
            <w:r>
              <w:rPr>
                <w:b w:val="false"/>
                <w:bCs w:val="false"/>
                <w:sz w:val="19"/>
                <w:szCs w:val="19"/>
              </w:rPr>
              <w:t xml:space="preserve">0%</w:t>
            </w:r>
          </w:p>
        </w:tc>
      </w:tr>
    </w:tbl>
    <w:p>
      <w:pPr>
        <w:spacing w:after="140"/>
      </w:pPr>
      <w:r>
        <w:rPr>
          <w:i/>
          <w:iCs/>
          <w:sz w:val="20"/>
          <w:szCs w:val="20"/>
        </w:rPr>
        <w:t xml:space="preserve">This is the original launch-day forecast — it is deliberately not folded into D1–D4's math (see Modeling Assumptions, MA5). It is here for you to use if your pitch wants to challenge the case's own “hold the 05:00 rate constant” simplification: wind climbs sharply after 11:00, which real fire behavior science says would raise ROS, not hold it flat.</w:t>
      </w:r>
    </w:p>
    <w:p>
      <w:pPr>
        <w:pStyle w:val="Heading1"/>
        <w:spacing w:after="160" w:before="300"/>
      </w:pPr>
      <w:r>
        <w:t xml:space="preserve">Appendix B — Fire Perimeter and Population Context</w:t>
      </w:r>
    </w:p>
    <w:p>
      <w:pPr>
        <w:spacing w:after="140"/>
      </w:pPr>
      <w:r>
        <w:t xml:space="preserve">The Soledad Canyon Fire sits in the mountains and canyons between the town of Agua Dulce (already struck, per Background) and two much larger population centers: San Fernando to the south and Santa Clarita to the southwest. The fire's current position is modeled at Agua Dulce for the distance calculations in Appendix C (Modeling Assumption MA3) — Agua Dulce is the last confirmed location the fire reached.</w:t>
      </w:r>
    </w:p>
    <w:p>
      <w:pPr>
        <w:spacing w:after="140"/>
      </w:pPr>
      <w:r>
        <w:t xml:space="preserve">The terrain between the fire and both towns is a mix of canyon, ridge, and rural/exurban development, with Soledad Canyon Road and San Fernando Road forming the main corridors the fire and any evacuation traffic would follow. [S6]</w:t>
      </w:r>
    </w:p>
    <w:p>
      <w:pPr>
        <w:pStyle w:val="Heading1"/>
        <w:spacing w:after="160" w:before="300"/>
      </w:pPr>
      <w:r>
        <w:t xml:space="preserve">Appendix C — Real Distance, Population, and Structure Data</w:t>
      </w:r>
    </w:p>
    <w:p>
      <w:pPr>
        <w:spacing w:after="140"/>
      </w:pPr>
      <w:r>
        <w:rPr>
          <w:b/>
          <w:bCs/>
        </w:rPr>
        <w:t xml:space="preserve">Distances from the fire's current position (modeled at Agua Dulce), re-verified 2026-08-13 [S5][S5b]: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1a3a5c" w:color="auto" w:val="clear"/>
          </w:tcPr>
          <w:p>
            <w:r>
              <w:rPr>
                <w:b/>
                <w:bCs/>
                <w:color w:val="FFFFFF"/>
                <w:sz w:val="19"/>
                <w:szCs w:val="19"/>
              </w:rPr>
              <w:t xml:space="preserve">Route</w:t>
            </w:r>
          </w:p>
        </w:tc>
        <w:tc>
          <w:tcPr>
            <w:tcW w:type="dxa" w:w="3000"/>
            <w:shd w:fill="1a3a5c" w:color="auto" w:val="clear"/>
          </w:tcPr>
          <w:p>
            <w:r>
              <w:rPr>
                <w:b/>
                <w:bCs/>
                <w:color w:val="FFFFFF"/>
                <w:sz w:val="19"/>
                <w:szCs w:val="19"/>
              </w:rPr>
              <w:t xml:space="preserve">Distance</w:t>
            </w:r>
          </w:p>
        </w:tc>
      </w:tr>
      <w:tr>
        <w:tc>
          <w:tcPr>
            <w:tcW w:type="dxa" w:w="6360"/>
          </w:tcPr>
          <w:p>
            <w:r>
              <w:rPr>
                <w:b w:val="false"/>
                <w:bCs w:val="false"/>
                <w:sz w:val="19"/>
                <w:szCs w:val="19"/>
              </w:rPr>
              <w:t xml:space="preserve">Agua Dulce → Santa Clarita (via Sierra Hwy/Soledad Canyon Rd)</w:t>
            </w:r>
          </w:p>
        </w:tc>
        <w:tc>
          <w:tcPr>
            <w:tcW w:type="dxa" w:w="3000"/>
          </w:tcPr>
          <w:p>
            <w:r>
              <w:rPr>
                <w:b w:val="false"/>
                <w:bCs w:val="false"/>
                <w:sz w:val="19"/>
                <w:szCs w:val="19"/>
              </w:rPr>
              <w:t xml:space="preserve">19.3 miles [S5]</w:t>
            </w:r>
          </w:p>
        </w:tc>
      </w:tr>
      <w:tr>
        <w:tc>
          <w:tcPr>
            <w:tcW w:type="dxa" w:w="6360"/>
          </w:tcPr>
          <w:p>
            <w:r>
              <w:rPr>
                <w:b w:val="false"/>
                <w:bCs w:val="false"/>
                <w:sz w:val="19"/>
                <w:szCs w:val="19"/>
              </w:rPr>
              <w:t xml:space="preserve">Agua Dulce → San Fernando (via CA-14 S)</w:t>
            </w:r>
          </w:p>
        </w:tc>
        <w:tc>
          <w:tcPr>
            <w:tcW w:type="dxa" w:w="3000"/>
          </w:tcPr>
          <w:p>
            <w:r>
              <w:rPr>
                <w:b w:val="false"/>
                <w:bCs w:val="false"/>
                <w:sz w:val="19"/>
                <w:szCs w:val="19"/>
              </w:rPr>
              <w:t xml:space="preserve">25.3 miles [S5b]</w:t>
            </w:r>
          </w:p>
        </w:tc>
      </w:tr>
    </w:tbl>
    <w:p>
      <w:pPr>
        <w:spacing w:after="140"/>
      </w:pPr>
      <w:r>
        <w:rPr>
          <w:b/>
          <w:bCs/>
        </w:rPr>
        <w:t xml:space="preserve">Town population and land area (most recent U.S. Census figures) [S1][S2]: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shd w:fill="1a3a5c" w:color="auto" w:val="clear"/>
          </w:tcPr>
          <w:p>
            <w:r>
              <w:rPr>
                <w:b/>
                <w:bCs/>
                <w:color w:val="FFFFFF"/>
                <w:sz w:val="19"/>
                <w:szCs w:val="19"/>
              </w:rPr>
              <w:t xml:space="preserve"/>
            </w:r>
          </w:p>
        </w:tc>
        <w:tc>
          <w:tcPr>
            <w:tcW w:type="dxa" w:w="3000"/>
            <w:shd w:fill="1a3a5c" w:color="auto" w:val="clear"/>
          </w:tcPr>
          <w:p>
            <w:r>
              <w:rPr>
                <w:b/>
                <w:bCs/>
                <w:color w:val="FFFFFF"/>
                <w:sz w:val="19"/>
                <w:szCs w:val="19"/>
              </w:rPr>
              <w:t xml:space="preserve">Santa Clarita</w:t>
            </w:r>
          </w:p>
        </w:tc>
        <w:tc>
          <w:tcPr>
            <w:tcW w:type="dxa" w:w="3000"/>
            <w:shd w:fill="1a3a5c" w:color="auto" w:val="clear"/>
          </w:tcPr>
          <w:p>
            <w:r>
              <w:rPr>
                <w:b/>
                <w:bCs/>
                <w:color w:val="FFFFFF"/>
                <w:sz w:val="19"/>
                <w:szCs w:val="19"/>
              </w:rPr>
              <w:t xml:space="preserve">San Fernando</w:t>
            </w:r>
          </w:p>
        </w:tc>
      </w:tr>
      <w:tr>
        <w:tc>
          <w:tcPr>
            <w:tcW w:type="dxa" w:w="3360"/>
          </w:tcPr>
          <w:p>
            <w:r>
              <w:rPr>
                <w:b w:val="false"/>
                <w:bCs w:val="false"/>
                <w:sz w:val="19"/>
                <w:szCs w:val="19"/>
              </w:rPr>
              <w:t xml:space="preserve">Population</w:t>
            </w:r>
          </w:p>
        </w:tc>
        <w:tc>
          <w:tcPr>
            <w:tcW w:type="dxa" w:w="3000"/>
          </w:tcPr>
          <w:p>
            <w:r>
              <w:rPr>
                <w:b w:val="false"/>
                <w:bCs w:val="false"/>
                <w:sz w:val="19"/>
                <w:szCs w:val="19"/>
              </w:rPr>
              <w:t xml:space="preserve">228,673</w:t>
            </w:r>
          </w:p>
        </w:tc>
        <w:tc>
          <w:tcPr>
            <w:tcW w:type="dxa" w:w="3000"/>
          </w:tcPr>
          <w:p>
            <w:r>
              <w:rPr>
                <w:b w:val="false"/>
                <w:bCs w:val="false"/>
                <w:sz w:val="19"/>
                <w:szCs w:val="19"/>
              </w:rPr>
              <w:t xml:space="preserve">23,946</w:t>
            </w:r>
          </w:p>
        </w:tc>
      </w:tr>
      <w:tr>
        <w:tc>
          <w:tcPr>
            <w:tcW w:type="dxa" w:w="3360"/>
          </w:tcPr>
          <w:p>
            <w:r>
              <w:rPr>
                <w:b w:val="false"/>
                <w:bCs w:val="false"/>
                <w:sz w:val="19"/>
                <w:szCs w:val="19"/>
              </w:rPr>
              <w:t xml:space="preserve">Land area</w:t>
            </w:r>
          </w:p>
        </w:tc>
        <w:tc>
          <w:tcPr>
            <w:tcW w:type="dxa" w:w="3000"/>
          </w:tcPr>
          <w:p>
            <w:r>
              <w:rPr>
                <w:b w:val="false"/>
                <w:bCs w:val="false"/>
                <w:sz w:val="19"/>
                <w:szCs w:val="19"/>
              </w:rPr>
              <w:t xml:space="preserve">70.75 sq mi</w:t>
            </w:r>
          </w:p>
        </w:tc>
        <w:tc>
          <w:tcPr>
            <w:tcW w:type="dxa" w:w="3000"/>
          </w:tcPr>
          <w:p>
            <w:r>
              <w:rPr>
                <w:b w:val="false"/>
                <w:bCs w:val="false"/>
                <w:sz w:val="19"/>
                <w:szCs w:val="19"/>
              </w:rPr>
              <w:t xml:space="preserve">2.37 sq mi</w:t>
            </w:r>
          </w:p>
        </w:tc>
      </w:tr>
      <w:tr>
        <w:tc>
          <w:tcPr>
            <w:tcW w:type="dxa" w:w="3360"/>
          </w:tcPr>
          <w:p>
            <w:r>
              <w:rPr>
                <w:b w:val="false"/>
                <w:bCs w:val="false"/>
                <w:sz w:val="19"/>
                <w:szCs w:val="19"/>
              </w:rPr>
              <w:t xml:space="preserve">Average household size</w:t>
            </w:r>
          </w:p>
        </w:tc>
        <w:tc>
          <w:tcPr>
            <w:tcW w:type="dxa" w:w="3000"/>
          </w:tcPr>
          <w:p>
            <w:r>
              <w:rPr>
                <w:b w:val="false"/>
                <w:bCs w:val="false"/>
                <w:sz w:val="19"/>
                <w:szCs w:val="19"/>
              </w:rPr>
              <w:t xml:space="preserve">2.94</w:t>
            </w:r>
          </w:p>
        </w:tc>
        <w:tc>
          <w:tcPr>
            <w:tcW w:type="dxa" w:w="3000"/>
          </w:tcPr>
          <w:p>
            <w:r>
              <w:rPr>
                <w:b w:val="false"/>
                <w:bCs w:val="false"/>
                <w:sz w:val="19"/>
                <w:szCs w:val="19"/>
              </w:rPr>
              <w:t xml:space="preserve">3.94</w:t>
            </w:r>
          </w:p>
        </w:tc>
      </w:tr>
    </w:tbl>
    <w:p>
      <w:pPr>
        <w:spacing w:after="140"/>
      </w:pPr>
      <w:r>
        <w:rPr>
          <w:b/>
          <w:bCs/>
        </w:rPr>
        <w:t xml:space="preserve">Structure/population density proxy — Agua Dulce CDP, U.S. Census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1a3a5c" w:color="auto" w:val="clear"/>
          </w:tcPr>
          <w:p>
            <w:r>
              <w:rPr>
                <w:b/>
                <w:bCs/>
                <w:color w:val="FFFFFF"/>
                <w:sz w:val="19"/>
                <w:szCs w:val="19"/>
              </w:rPr>
              <w:t xml:space="preserve">Figure</w:t>
            </w:r>
          </w:p>
        </w:tc>
        <w:tc>
          <w:tcPr>
            <w:tcW w:type="dxa" w:w="3000"/>
            <w:shd w:fill="1a3a5c" w:color="auto" w:val="clear"/>
          </w:tcPr>
          <w:p>
            <w:r>
              <w:rPr>
                <w:b/>
                <w:bCs/>
                <w:color w:val="FFFFFF"/>
                <w:sz w:val="19"/>
                <w:szCs w:val="19"/>
              </w:rPr>
              <w:t xml:space="preserve">Value</w:t>
            </w:r>
          </w:p>
        </w:tc>
      </w:tr>
      <w:tr>
        <w:tc>
          <w:tcPr>
            <w:tcW w:type="dxa" w:w="6360"/>
          </w:tcPr>
          <w:p>
            <w:r>
              <w:rPr>
                <w:b w:val="false"/>
                <w:bCs w:val="false"/>
                <w:sz w:val="19"/>
                <w:szCs w:val="19"/>
              </w:rPr>
              <w:t xml:space="preserve">Housing units</w:t>
            </w:r>
          </w:p>
        </w:tc>
        <w:tc>
          <w:tcPr>
            <w:tcW w:type="dxa" w:w="3000"/>
          </w:tcPr>
          <w:p>
            <w:r>
              <w:rPr>
                <w:b w:val="false"/>
                <w:bCs w:val="false"/>
                <w:sz w:val="19"/>
                <w:szCs w:val="19"/>
              </w:rPr>
              <w:t xml:space="preserve">1,303</w:t>
            </w:r>
          </w:p>
        </w:tc>
      </w:tr>
      <w:tr>
        <w:tc>
          <w:tcPr>
            <w:tcW w:type="dxa" w:w="6360"/>
          </w:tcPr>
          <w:p>
            <w:r>
              <w:rPr>
                <w:b w:val="false"/>
                <w:bCs w:val="false"/>
                <w:sz w:val="19"/>
                <w:szCs w:val="19"/>
              </w:rPr>
              <w:t xml:space="preserve">Land area</w:t>
            </w:r>
          </w:p>
        </w:tc>
        <w:tc>
          <w:tcPr>
            <w:tcW w:type="dxa" w:w="3000"/>
          </w:tcPr>
          <w:p>
            <w:r>
              <w:rPr>
                <w:b w:val="false"/>
                <w:bCs w:val="false"/>
                <w:sz w:val="19"/>
                <w:szCs w:val="19"/>
              </w:rPr>
              <w:t xml:space="preserve">22.85 sq mi</w:t>
            </w:r>
          </w:p>
        </w:tc>
      </w:tr>
      <w:tr>
        <w:tc>
          <w:tcPr>
            <w:tcW w:type="dxa" w:w="6360"/>
          </w:tcPr>
          <w:p>
            <w:r>
              <w:rPr>
                <w:b w:val="false"/>
                <w:bCs w:val="false"/>
                <w:sz w:val="19"/>
                <w:szCs w:val="19"/>
              </w:rPr>
              <w:t xml:space="preserve">Occupied housing rate</w:t>
            </w:r>
          </w:p>
        </w:tc>
        <w:tc>
          <w:tcPr>
            <w:tcW w:type="dxa" w:w="3000"/>
          </w:tcPr>
          <w:p>
            <w:r>
              <w:rPr>
                <w:b w:val="false"/>
                <w:bCs w:val="false"/>
                <w:sz w:val="19"/>
                <w:szCs w:val="19"/>
              </w:rPr>
              <w:t xml:space="preserve">95.0%</w:t>
            </w:r>
          </w:p>
        </w:tc>
      </w:tr>
      <w:tr>
        <w:tc>
          <w:tcPr>
            <w:tcW w:type="dxa" w:w="6360"/>
          </w:tcPr>
          <w:p>
            <w:r>
              <w:rPr>
                <w:b w:val="false"/>
                <w:bCs w:val="false"/>
                <w:sz w:val="19"/>
                <w:szCs w:val="19"/>
              </w:rPr>
              <w:t xml:space="preserve">Average household size</w:t>
            </w:r>
          </w:p>
        </w:tc>
        <w:tc>
          <w:tcPr>
            <w:tcW w:type="dxa" w:w="3000"/>
          </w:tcPr>
          <w:p>
            <w:r>
              <w:rPr>
                <w:b w:val="false"/>
                <w:bCs w:val="false"/>
                <w:sz w:val="19"/>
                <w:szCs w:val="19"/>
              </w:rPr>
              <w:t xml:space="preserve">2.79</w:t>
            </w:r>
          </w:p>
        </w:tc>
      </w:tr>
    </w:tbl>
    <w:p>
      <w:pPr>
        <w:spacing w:after="140"/>
      </w:pPr>
      <w:r>
        <w:rPr>
          <w:sz w:val="20"/>
          <w:szCs w:val="20"/>
        </w:rPr>
        <w:t xml:space="preserve">Agua Dulce's density (not Santa Clarita's or San Fernando's) is the proxy used in D2, because the newly-threatened ground tonight (D1) is the same rural/exurban corridor Agua Dulce sits in, not either town itself — see Modeling Assumption MA2.</w:t>
      </w:r>
    </w:p>
    <w:p>
      <w:pPr>
        <w:spacing w:after="140"/>
      </w:pPr>
      <w:r>
        <w:rPr>
          <w:b/>
          <w:bCs/>
        </w:rPr>
        <w:t xml:space="preserve">Unit conversion facts used throughout (standard surveying/forestry units) [S4]:</w:t>
      </w:r>
    </w:p>
    <w:p>
      <w:pPr>
        <w:pStyle w:val="ListParagraph"/>
        <w:numPr>
          <w:ilvl w:val="0"/>
          <w:numId w:val="2"/>
        </w:numPr>
        <w:spacing w:after="80"/>
      </w:pPr>
      <w:r>
        <w:t xml:space="preserve">1 chain = 66 feet</w:t>
      </w:r>
    </w:p>
    <w:p>
      <w:pPr>
        <w:pStyle w:val="ListParagraph"/>
        <w:numPr>
          <w:ilvl w:val="0"/>
          <w:numId w:val="2"/>
        </w:numPr>
        <w:spacing w:after="80"/>
      </w:pPr>
      <w:r>
        <w:t xml:space="preserve">10 square chains = 1 acre</w:t>
      </w:r>
    </w:p>
    <w:p>
      <w:pPr>
        <w:pStyle w:val="ListParagraph"/>
        <w:numPr>
          <w:ilvl w:val="0"/>
          <w:numId w:val="2"/>
        </w:numPr>
        <w:spacing w:after="80"/>
      </w:pPr>
      <w:r>
        <w:t xml:space="preserve">1 mile = 5,280 feet</w:t>
      </w:r>
    </w:p>
    <w:p>
      <w:pPr>
        <w:pStyle w:val="Heading1"/>
        <w:spacing w:after="160" w:before="300"/>
      </w:pPr>
      <w:r>
        <w:t xml:space="preserve">Appendix D — Modeling Assumptions</w:t>
      </w:r>
    </w:p>
    <w:p>
      <w:pPr>
        <w:spacing w:after="140"/>
      </w:pPr>
      <w:r>
        <w:rPr>
          <w:i/>
          <w:iCs/>
        </w:rPr>
        <w:t xml:space="preserve">These figures are not independently sourced predictions of how this fire will actually behave — they are stated scenario conventions the case fixes so every Hero's numbers can be compared. A Hero may challenge any of them in discussion; that is a legitimate move, and Appendix A is deliberately left in the packet to make that challenge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2400"/>
        <w:gridCol w:w="2260"/>
      </w:tblGrid>
      <w:tr>
        <w:tc>
          <w:tcPr>
            <w:tcW w:type="dxa" w:w="500"/>
            <w:shd w:fill="1a3a5c" w:color="auto" w:val="clear"/>
          </w:tcPr>
          <w:p>
            <w:r>
              <w:rPr>
                <w:b/>
                <w:bCs/>
                <w:color w:val="FFFFFF"/>
                <w:sz w:val="19"/>
                <w:szCs w:val="19"/>
              </w:rPr>
              <w:t xml:space="preserve">#</w:t>
            </w:r>
          </w:p>
        </w:tc>
        <w:tc>
          <w:tcPr>
            <w:tcW w:type="dxa" w:w="2400"/>
            <w:shd w:fill="1a3a5c" w:color="auto" w:val="clear"/>
          </w:tcPr>
          <w:p>
            <w:r>
              <w:rPr>
                <w:b/>
                <w:bCs/>
                <w:color w:val="FFFFFF"/>
                <w:sz w:val="19"/>
                <w:szCs w:val="19"/>
              </w:rPr>
              <w:t xml:space="preserve">Assumption</w:t>
            </w:r>
          </w:p>
        </w:tc>
        <w:tc>
          <w:tcPr>
            <w:tcW w:type="dxa" w:w="1800"/>
            <w:shd w:fill="1a3a5c" w:color="auto" w:val="clear"/>
          </w:tcPr>
          <w:p>
            <w:r>
              <w:rPr>
                <w:b/>
                <w:bCs/>
                <w:color w:val="FFFFFF"/>
                <w:sz w:val="19"/>
                <w:szCs w:val="19"/>
              </w:rPr>
              <w:t xml:space="preserve">Value/rule used</w:t>
            </w:r>
          </w:p>
        </w:tc>
        <w:tc>
          <w:tcPr>
            <w:tcW w:type="dxa" w:w="2400"/>
            <w:shd w:fill="1a3a5c" w:color="auto" w:val="clear"/>
          </w:tcPr>
          <w:p>
            <w:r>
              <w:rPr>
                <w:b/>
                <w:bCs/>
                <w:color w:val="FFFFFF"/>
                <w:sz w:val="19"/>
                <w:szCs w:val="19"/>
              </w:rPr>
              <w:t xml:space="preserve">Basis</w:t>
            </w:r>
          </w:p>
        </w:tc>
        <w:tc>
          <w:tcPr>
            <w:tcW w:type="dxa" w:w="2260"/>
            <w:shd w:fill="1a3a5c" w:color="auto" w:val="clear"/>
          </w:tcPr>
          <w:p>
            <w:r>
              <w:rPr>
                <w:b/>
                <w:bCs/>
                <w:color w:val="FFFFFF"/>
                <w:sz w:val="19"/>
                <w:szCs w:val="19"/>
              </w:rPr>
              <w:t xml:space="preserve">Sensitivity</w:t>
            </w:r>
          </w:p>
        </w:tc>
      </w:tr>
      <w:tr>
        <w:tc>
          <w:tcPr>
            <w:tcW w:type="dxa" w:w="500"/>
          </w:tcPr>
          <w:p>
            <w:r>
              <w:rPr>
                <w:b w:val="false"/>
                <w:bCs w:val="false"/>
                <w:sz w:val="19"/>
                <w:szCs w:val="19"/>
              </w:rPr>
              <w:t xml:space="preserve">MA1</w:t>
            </w:r>
          </w:p>
        </w:tc>
        <w:tc>
          <w:tcPr>
            <w:tcW w:type="dxa" w:w="2400"/>
          </w:tcPr>
          <w:p>
            <w:r>
              <w:rPr>
                <w:b w:val="false"/>
                <w:bCs w:val="false"/>
                <w:sz w:val="19"/>
                <w:szCs w:val="19"/>
              </w:rPr>
              <w:t xml:space="preserve">D1's acreage is modeled as a sector, not a full circle, grown from a point at the higher reported rate (35 ch/hr, southern head) over the hours from 05:00 to 23:59, using the real 45° compass angle between due-south (the head) and due-southwest (the flank).</w:t>
            </w:r>
          </w:p>
        </w:tc>
        <w:tc>
          <w:tcPr>
            <w:tcW w:type="dxa" w:w="1800"/>
          </w:tcPr>
          <w:p>
            <w:r>
              <w:rPr>
                <w:b w:val="false"/>
                <w:bCs w:val="false"/>
                <w:sz w:val="19"/>
                <w:szCs w:val="19"/>
              </w:rPr>
              <w:t xml:space="preserve">Sector angle = 45°; rate = 35 ch/hr; elapsed time = 18 h 59 min</w:t>
            </w:r>
          </w:p>
        </w:tc>
        <w:tc>
          <w:tcPr>
            <w:tcW w:type="dxa" w:w="2400"/>
          </w:tcPr>
          <w:p>
            <w:r>
              <w:rPr>
                <w:b w:val="false"/>
                <w:bCs w:val="false"/>
                <w:sz w:val="19"/>
                <w:szCs w:val="19"/>
              </w:rPr>
              <w:t xml:space="preserve">A full-circle model overstates the area by 8×; the fire's own two reported bearings bound a real 45° wedge between the head and the flank.</w:t>
            </w:r>
          </w:p>
        </w:tc>
        <w:tc>
          <w:tcPr>
            <w:tcW w:type="dxa" w:w="2260"/>
          </w:tcPr>
          <w:p>
            <w:r>
              <w:rPr>
                <w:b w:val="false"/>
                <w:bCs w:val="false"/>
                <w:sz w:val="19"/>
                <w:szCs w:val="19"/>
              </w:rPr>
              <w:t xml:space="preserve">Anticipated acreage scales with the square of elapsed time and directly with the sector angle — a 4-hour earlier check-in or a narrower confirmed wedge both cut the estimate sharply.</w:t>
            </w:r>
          </w:p>
        </w:tc>
      </w:tr>
      <w:tr>
        <w:tc>
          <w:tcPr>
            <w:tcW w:type="dxa" w:w="500"/>
          </w:tcPr>
          <w:p>
            <w:r>
              <w:rPr>
                <w:b w:val="false"/>
                <w:bCs w:val="false"/>
                <w:sz w:val="19"/>
                <w:szCs w:val="19"/>
              </w:rPr>
              <w:t xml:space="preserve">MA2</w:t>
            </w:r>
          </w:p>
        </w:tc>
        <w:tc>
          <w:tcPr>
            <w:tcW w:type="dxa" w:w="2400"/>
          </w:tcPr>
          <w:p>
            <w:r>
              <w:rPr>
                <w:b w:val="false"/>
                <w:bCs w:val="false"/>
                <w:sz w:val="19"/>
                <w:szCs w:val="19"/>
              </w:rPr>
              <w:t xml:space="preserve">D2 applies Agua Dulce's real housing density (Appendix C) to D1's acreage, with the same occupancy rate and household size, to estimate homes/people newly at risk tonight.</w:t>
            </w:r>
          </w:p>
        </w:tc>
        <w:tc>
          <w:tcPr>
            <w:tcW w:type="dxa" w:w="1800"/>
          </w:tcPr>
          <w:p>
            <w:r>
              <w:rPr>
                <w:b w:val="false"/>
                <w:bCs w:val="false"/>
                <w:sz w:val="19"/>
                <w:szCs w:val="19"/>
              </w:rPr>
              <w:t xml:space="preserve">0.0891 housing units/acre; 95.0% occupied; 2.79 persons/household</w:t>
            </w:r>
          </w:p>
        </w:tc>
        <w:tc>
          <w:tcPr>
            <w:tcW w:type="dxa" w:w="2400"/>
          </w:tcPr>
          <w:p>
            <w:r>
              <w:rPr>
                <w:b w:val="false"/>
                <w:bCs w:val="false"/>
                <w:sz w:val="19"/>
                <w:szCs w:val="19"/>
              </w:rPr>
              <w:t xml:space="preserve">Agua Dulce is the closest real place with published density data sitting in the same terrain the fire is currently burning through.</w:t>
            </w:r>
          </w:p>
        </w:tc>
        <w:tc>
          <w:tcPr>
            <w:tcW w:type="dxa" w:w="2260"/>
          </w:tcPr>
          <w:p>
            <w:r>
              <w:rPr>
                <w:b w:val="false"/>
                <w:bCs w:val="false"/>
                <w:sz w:val="19"/>
                <w:szCs w:val="19"/>
              </w:rPr>
              <w:t xml:space="preserve">If the true density of the newly-threatened ground is lower (more of it is undeveloped wildland), this is a real overestimate — flag this explicitly as an upper bound, not a forecast.</w:t>
            </w:r>
          </w:p>
        </w:tc>
      </w:tr>
      <w:tr>
        <w:tc>
          <w:tcPr>
            <w:tcW w:type="dxa" w:w="500"/>
          </w:tcPr>
          <w:p>
            <w:r>
              <w:rPr>
                <w:b w:val="false"/>
                <w:bCs w:val="false"/>
                <w:sz w:val="19"/>
                <w:szCs w:val="19"/>
              </w:rPr>
              <w:t xml:space="preserve">MA3</w:t>
            </w:r>
          </w:p>
        </w:tc>
        <w:tc>
          <w:tcPr>
            <w:tcW w:type="dxa" w:w="2400"/>
          </w:tcPr>
          <w:p>
            <w:r>
              <w:rPr>
                <w:b w:val="false"/>
                <w:bCs w:val="false"/>
                <w:sz w:val="19"/>
                <w:szCs w:val="19"/>
              </w:rPr>
              <w:t xml:space="preserve">The fire's current position, for distance purposes, is modeled at Agua Dulce.</w:t>
            </w:r>
          </w:p>
        </w:tc>
        <w:tc>
          <w:tcPr>
            <w:tcW w:type="dxa" w:w="1800"/>
          </w:tcPr>
          <w:p>
            <w:r>
              <w:rPr>
                <w:b w:val="false"/>
                <w:bCs w:val="false"/>
                <w:sz w:val="19"/>
                <w:szCs w:val="19"/>
              </w:rPr>
              <w:t xml:space="preserve">—</w:t>
            </w:r>
          </w:p>
        </w:tc>
        <w:tc>
          <w:tcPr>
            <w:tcW w:type="dxa" w:w="2400"/>
          </w:tcPr>
          <w:p>
            <w:r>
              <w:rPr>
                <w:b w:val="false"/>
                <w:bCs w:val="false"/>
                <w:sz w:val="19"/>
                <w:szCs w:val="19"/>
              </w:rPr>
              <w:t xml:space="preserve">Agua Dulce is the last confirmed location reached (Background).</w:t>
            </w:r>
          </w:p>
        </w:tc>
        <w:tc>
          <w:tcPr>
            <w:tcW w:type="dxa" w:w="2260"/>
          </w:tcPr>
          <w:p>
            <w:r>
              <w:rPr>
                <w:b w:val="false"/>
                <w:bCs w:val="false"/>
                <w:sz w:val="19"/>
                <w:szCs w:val="19"/>
              </w:rPr>
              <w:t xml:space="preserve">If the fire's actual leading edge is already several miles past Agua Dulce toward one town, that town's time-to-arrival in D3/D4 shrinks accordingly.</w:t>
            </w:r>
          </w:p>
        </w:tc>
      </w:tr>
      <w:tr>
        <w:tc>
          <w:tcPr>
            <w:tcW w:type="dxa" w:w="500"/>
          </w:tcPr>
          <w:p>
            <w:r>
              <w:rPr>
                <w:b w:val="false"/>
                <w:bCs w:val="false"/>
                <w:sz w:val="19"/>
                <w:szCs w:val="19"/>
              </w:rPr>
              <w:t xml:space="preserve">MA4</w:t>
            </w:r>
          </w:p>
        </w:tc>
        <w:tc>
          <w:tcPr>
            <w:tcW w:type="dxa" w:w="2400"/>
          </w:tcPr>
          <w:p>
            <w:r>
              <w:rPr>
                <w:b w:val="false"/>
                <w:bCs w:val="false"/>
                <w:sz w:val="19"/>
                <w:szCs w:val="19"/>
              </w:rPr>
              <w:t xml:space="preserve">Real driving-route mileage (Appendix C) is used as the distance the fire would have to cover to reach each town, rather than straight-line distance.</w:t>
            </w:r>
          </w:p>
        </w:tc>
        <w:tc>
          <w:tcPr>
            <w:tcW w:type="dxa" w:w="1800"/>
          </w:tcPr>
          <w:p>
            <w:r>
              <w:rPr>
                <w:b w:val="false"/>
                <w:bCs w:val="false"/>
                <w:sz w:val="19"/>
                <w:szCs w:val="19"/>
              </w:rPr>
              <w:t xml:space="preserve">19.3 mi / 25.3 mi</w:t>
            </w:r>
          </w:p>
        </w:tc>
        <w:tc>
          <w:tcPr>
            <w:tcW w:type="dxa" w:w="2400"/>
          </w:tcPr>
          <w:p>
            <w:r>
              <w:rPr>
                <w:b w:val="false"/>
                <w:bCs w:val="false"/>
                <w:sz w:val="19"/>
                <w:szCs w:val="19"/>
              </w:rPr>
              <w:t xml:space="preserve">Santa Ana wind-driven brush fires in this terrain tend to run along canyon and ridge corridors that roughly parallel the road network, not in a straight line over the mountains.</w:t>
            </w:r>
          </w:p>
        </w:tc>
        <w:tc>
          <w:tcPr>
            <w:tcW w:type="dxa" w:w="2260"/>
          </w:tcPr>
          <w:p>
            <w:r>
              <w:rPr>
                <w:b w:val="false"/>
                <w:bCs w:val="false"/>
                <w:sz w:val="19"/>
                <w:szCs w:val="19"/>
              </w:rPr>
              <w:t xml:space="preserve">A straight-line (shorter) distance would reduce both D3 and D4's times, but likely by a similar proportion for each — the recommendation is sensitive to this modeling choice, so check whether it survives switching to straight-line distance.</w:t>
            </w:r>
          </w:p>
        </w:tc>
      </w:tr>
      <w:tr>
        <w:tc>
          <w:tcPr>
            <w:tcW w:type="dxa" w:w="500"/>
          </w:tcPr>
          <w:p>
            <w:r>
              <w:rPr>
                <w:b w:val="false"/>
                <w:bCs w:val="false"/>
                <w:sz w:val="19"/>
                <w:szCs w:val="19"/>
              </w:rPr>
              <w:t xml:space="preserve">MA5</w:t>
            </w:r>
          </w:p>
        </w:tc>
        <w:tc>
          <w:tcPr>
            <w:tcW w:type="dxa" w:w="2400"/>
          </w:tcPr>
          <w:p>
            <w:r>
              <w:rPr>
                <w:b w:val="false"/>
                <w:bCs w:val="false"/>
                <w:sz w:val="19"/>
                <w:szCs w:val="19"/>
              </w:rPr>
              <w:t xml:space="preserve">Each flank's 05:00 ROS is held constant for the full period modeled in D1–D4.</w:t>
            </w:r>
          </w:p>
        </w:tc>
        <w:tc>
          <w:tcPr>
            <w:tcW w:type="dxa" w:w="1800"/>
          </w:tcPr>
          <w:p>
            <w:r>
              <w:rPr>
                <w:b w:val="false"/>
                <w:bCs w:val="false"/>
                <w:sz w:val="19"/>
                <w:szCs w:val="19"/>
              </w:rPr>
              <w:t xml:space="preserve">—</w:t>
            </w:r>
          </w:p>
        </w:tc>
        <w:tc>
          <w:tcPr>
            <w:tcW w:type="dxa" w:w="2400"/>
          </w:tcPr>
          <w:p>
            <w:r>
              <w:rPr>
                <w:b w:val="false"/>
                <w:bCs w:val="false"/>
                <w:sz w:val="19"/>
                <w:szCs w:val="19"/>
              </w:rPr>
              <w:t xml:space="preserve">This is the most current field data Commander Dobson has.</w:t>
            </w:r>
          </w:p>
        </w:tc>
        <w:tc>
          <w:tcPr>
            <w:tcW w:type="dxa" w:w="2260"/>
          </w:tcPr>
          <w:p>
            <w:r>
              <w:rPr>
                <w:b w:val="false"/>
                <w:bCs w:val="false"/>
                <w:sz w:val="19"/>
                <w:szCs w:val="19"/>
              </w:rPr>
              <w:t xml:space="preserve">Appendix A's forecast shows wind climbing sharply after 11:00 — a Hero who accounts for that should expect both D1's acreage and D3/D4's arrival times to be overestimates of the time available, i.e., the real danger arrives sooner than this model says.</w:t>
            </w:r>
          </w:p>
        </w:tc>
      </w:tr>
    </w:tbl>
    <w:p>
      <w:pPr>
        <w:pStyle w:val="Heading1"/>
        <w:spacing w:after="160" w:before="300"/>
      </w:pPr>
      <w:r>
        <w:t xml:space="preserve">Appendix E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3000"/>
        <w:gridCol w:w="1000"/>
        <w:gridCol w:w="760"/>
      </w:tblGrid>
      <w:tr>
        <w:tc>
          <w:tcPr>
            <w:tcW w:type="dxa" w:w="500"/>
            <w:shd w:fill="1a3a5c" w:color="auto" w:val="clear"/>
          </w:tcPr>
          <w:p>
            <w:r>
              <w:rPr>
                <w:b/>
                <w:bCs/>
                <w:color w:val="FFFFFF"/>
                <w:sz w:val="19"/>
                <w:szCs w:val="19"/>
              </w:rPr>
              <w:t xml:space="preserve">#</w:t>
            </w:r>
          </w:p>
        </w:tc>
        <w:tc>
          <w:tcPr>
            <w:tcW w:type="dxa" w:w="2400"/>
            <w:shd w:fill="1a3a5c" w:color="auto" w:val="clear"/>
          </w:tcPr>
          <w:p>
            <w:r>
              <w:rPr>
                <w:b/>
                <w:bCs/>
                <w:color w:val="FFFFFF"/>
                <w:sz w:val="19"/>
                <w:szCs w:val="19"/>
              </w:rPr>
              <w:t xml:space="preserve">Claim</w:t>
            </w:r>
          </w:p>
        </w:tc>
        <w:tc>
          <w:tcPr>
            <w:tcW w:type="dxa" w:w="1700"/>
            <w:shd w:fill="1a3a5c" w:color="auto" w:val="clear"/>
          </w:tcPr>
          <w:p>
            <w:r>
              <w:rPr>
                <w:b/>
                <w:bCs/>
                <w:color w:val="FFFFFF"/>
                <w:sz w:val="19"/>
                <w:szCs w:val="19"/>
              </w:rPr>
              <w:t xml:space="preserve">Value</w:t>
            </w:r>
          </w:p>
        </w:tc>
        <w:tc>
          <w:tcPr>
            <w:tcW w:type="dxa" w:w="3000"/>
            <w:shd w:fill="1a3a5c" w:color="auto" w:val="clear"/>
          </w:tcPr>
          <w:p>
            <w:r>
              <w:rPr>
                <w:b/>
                <w:bCs/>
                <w:color w:val="FFFFFF"/>
                <w:sz w:val="19"/>
                <w:szCs w:val="19"/>
              </w:rPr>
              <w:t xml:space="preserve">Source</w:t>
            </w:r>
          </w:p>
        </w:tc>
        <w:tc>
          <w:tcPr>
            <w:tcW w:type="dxa" w:w="1000"/>
            <w:shd w:fill="1a3a5c" w:color="auto" w:val="clear"/>
          </w:tcPr>
          <w:p>
            <w:r>
              <w:rPr>
                <w:b/>
                <w:bCs/>
                <w:color w:val="FFFFFF"/>
                <w:sz w:val="19"/>
                <w:szCs w:val="19"/>
              </w:rPr>
              <w:t xml:space="preserve">Date</w:t>
            </w:r>
          </w:p>
        </w:tc>
        <w:tc>
          <w:tcPr>
            <w:tcW w:type="dxa" w:w="760"/>
            <w:shd w:fill="1a3a5c" w:color="auto" w:val="clear"/>
          </w:tcPr>
          <w:p>
            <w:r>
              <w:rPr>
                <w:b/>
                <w:bCs/>
                <w:color w:val="FFFFFF"/>
                <w:sz w:val="19"/>
                <w:szCs w:val="19"/>
              </w:rPr>
              <w:t xml:space="preserve">Confidence</w:t>
            </w:r>
          </w:p>
        </w:tc>
      </w:tr>
      <w:tr>
        <w:tc>
          <w:tcPr>
            <w:tcW w:type="dxa" w:w="500"/>
          </w:tcPr>
          <w:p>
            <w:r>
              <w:rPr>
                <w:b w:val="false"/>
                <w:bCs w:val="false"/>
                <w:sz w:val="19"/>
                <w:szCs w:val="19"/>
              </w:rPr>
              <w:t xml:space="preserve">S1</w:t>
            </w:r>
          </w:p>
        </w:tc>
        <w:tc>
          <w:tcPr>
            <w:tcW w:type="dxa" w:w="2400"/>
          </w:tcPr>
          <w:p>
            <w:r>
              <w:rPr>
                <w:b w:val="false"/>
                <w:bCs w:val="false"/>
                <w:sz w:val="19"/>
                <w:szCs w:val="19"/>
              </w:rPr>
              <w:t xml:space="preserve">Santa Clarita population, land area, avg. household size</w:t>
            </w:r>
          </w:p>
        </w:tc>
        <w:tc>
          <w:tcPr>
            <w:tcW w:type="dxa" w:w="1700"/>
          </w:tcPr>
          <w:p>
            <w:r>
              <w:rPr>
                <w:b w:val="false"/>
                <w:bCs w:val="false"/>
                <w:sz w:val="19"/>
                <w:szCs w:val="19"/>
              </w:rPr>
              <w:t xml:space="preserve">228,673 / 70.75 sq mi / 2.94</w:t>
            </w:r>
          </w:p>
        </w:tc>
        <w:tc>
          <w:tcPr>
            <w:tcW w:type="dxa" w:w="3000"/>
          </w:tcPr>
          <w:p>
            <w:r>
              <w:rPr>
                <w:b w:val="false"/>
                <w:bCs w:val="false"/>
                <w:sz w:val="19"/>
                <w:szCs w:val="19"/>
              </w:rPr>
              <w:t xml:space="preserve">U.S. Census Bureau (via Wikipedia, “Santa Clarita, California”)</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MEDIUM</w:t>
            </w:r>
          </w:p>
        </w:tc>
      </w:tr>
      <w:tr>
        <w:tc>
          <w:tcPr>
            <w:tcW w:type="dxa" w:w="500"/>
          </w:tcPr>
          <w:p>
            <w:r>
              <w:rPr>
                <w:b w:val="false"/>
                <w:bCs w:val="false"/>
                <w:sz w:val="19"/>
                <w:szCs w:val="19"/>
              </w:rPr>
              <w:t xml:space="preserve">S2</w:t>
            </w:r>
          </w:p>
        </w:tc>
        <w:tc>
          <w:tcPr>
            <w:tcW w:type="dxa" w:w="2400"/>
          </w:tcPr>
          <w:p>
            <w:r>
              <w:rPr>
                <w:b w:val="false"/>
                <w:bCs w:val="false"/>
                <w:sz w:val="19"/>
                <w:szCs w:val="19"/>
              </w:rPr>
              <w:t xml:space="preserve">San Fernando population, land area, avg. household size</w:t>
            </w:r>
          </w:p>
        </w:tc>
        <w:tc>
          <w:tcPr>
            <w:tcW w:type="dxa" w:w="1700"/>
          </w:tcPr>
          <w:p>
            <w:r>
              <w:rPr>
                <w:b w:val="false"/>
                <w:bCs w:val="false"/>
                <w:sz w:val="19"/>
                <w:szCs w:val="19"/>
              </w:rPr>
              <w:t xml:space="preserve">23,946 / 2.37 sq mi / 3.94</w:t>
            </w:r>
          </w:p>
        </w:tc>
        <w:tc>
          <w:tcPr>
            <w:tcW w:type="dxa" w:w="3000"/>
          </w:tcPr>
          <w:p>
            <w:r>
              <w:rPr>
                <w:b w:val="false"/>
                <w:bCs w:val="false"/>
                <w:sz w:val="19"/>
                <w:szCs w:val="19"/>
              </w:rPr>
              <w:t xml:space="preserve">U.S. Census Bureau (via Wikipedia, “San Fernando, California”)</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MEDIUM</w:t>
            </w:r>
          </w:p>
        </w:tc>
      </w:tr>
      <w:tr>
        <w:tc>
          <w:tcPr>
            <w:tcW w:type="dxa" w:w="500"/>
          </w:tcPr>
          <w:p>
            <w:r>
              <w:rPr>
                <w:b w:val="false"/>
                <w:bCs w:val="false"/>
                <w:sz w:val="19"/>
                <w:szCs w:val="19"/>
              </w:rPr>
              <w:t xml:space="preserve">S3</w:t>
            </w:r>
          </w:p>
        </w:tc>
        <w:tc>
          <w:tcPr>
            <w:tcW w:type="dxa" w:w="2400"/>
          </w:tcPr>
          <w:p>
            <w:r>
              <w:rPr>
                <w:b w:val="false"/>
                <w:bCs w:val="false"/>
                <w:sz w:val="19"/>
                <w:szCs w:val="19"/>
              </w:rPr>
              <w:t xml:space="preserve">Agua Dulce CDP housing units, land area, occupancy rate, avg. household size</w:t>
            </w:r>
          </w:p>
        </w:tc>
        <w:tc>
          <w:tcPr>
            <w:tcW w:type="dxa" w:w="1700"/>
          </w:tcPr>
          <w:p>
            <w:r>
              <w:rPr>
                <w:b w:val="false"/>
                <w:bCs w:val="false"/>
                <w:sz w:val="19"/>
                <w:szCs w:val="19"/>
              </w:rPr>
              <w:t xml:space="preserve">1,303 units / 22.85 sq mi / 95.0% / 2.79</w:t>
            </w:r>
          </w:p>
        </w:tc>
        <w:tc>
          <w:tcPr>
            <w:tcW w:type="dxa" w:w="3000"/>
          </w:tcPr>
          <w:p>
            <w:r>
              <w:rPr>
                <w:b w:val="false"/>
                <w:bCs w:val="false"/>
                <w:sz w:val="19"/>
                <w:szCs w:val="19"/>
              </w:rPr>
              <w:t xml:space="preserve">U.S. Census Bureau, 2020 Census (via Wikipedia, “Agua Dulce, California”)</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MEDIUM</w:t>
            </w:r>
          </w:p>
        </w:tc>
      </w:tr>
      <w:tr>
        <w:tc>
          <w:tcPr>
            <w:tcW w:type="dxa" w:w="500"/>
          </w:tcPr>
          <w:p>
            <w:r>
              <w:rPr>
                <w:b w:val="false"/>
                <w:bCs w:val="false"/>
                <w:sz w:val="19"/>
                <w:szCs w:val="19"/>
              </w:rPr>
              <w:t xml:space="preserve">S4</w:t>
            </w:r>
          </w:p>
        </w:tc>
        <w:tc>
          <w:tcPr>
            <w:tcW w:type="dxa" w:w="2400"/>
          </w:tcPr>
          <w:p>
            <w:r>
              <w:rPr>
                <w:b w:val="false"/>
                <w:bCs w:val="false"/>
                <w:sz w:val="19"/>
                <w:szCs w:val="19"/>
              </w:rPr>
              <w:t xml:space="preserve">1 chain = 66 feet; 10 square chains = 1 acre</w:t>
            </w:r>
          </w:p>
        </w:tc>
        <w:tc>
          <w:tcPr>
            <w:tcW w:type="dxa" w:w="1700"/>
          </w:tcPr>
          <w:p>
            <w:r>
              <w:rPr>
                <w:b w:val="false"/>
                <w:bCs w:val="false"/>
                <w:sz w:val="19"/>
                <w:szCs w:val="19"/>
              </w:rPr>
              <w:t xml:space="preserve">—</w:t>
            </w:r>
          </w:p>
        </w:tc>
        <w:tc>
          <w:tcPr>
            <w:tcW w:type="dxa" w:w="3000"/>
          </w:tcPr>
          <w:p>
            <w:r>
              <w:rPr>
                <w:b w:val="false"/>
                <w:bCs w:val="false"/>
                <w:sz w:val="19"/>
                <w:szCs w:val="19"/>
              </w:rPr>
              <w:t xml:space="preserve">NWCG (National Wildfire Coordinating Group), Firefighter Math course, “Table 2.1 Summarized Conversion Table”</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HIGH</w:t>
            </w:r>
          </w:p>
        </w:tc>
      </w:tr>
      <w:tr>
        <w:tc>
          <w:tcPr>
            <w:tcW w:type="dxa" w:w="500"/>
          </w:tcPr>
          <w:p>
            <w:r>
              <w:rPr>
                <w:b w:val="false"/>
                <w:bCs w:val="false"/>
                <w:sz w:val="19"/>
                <w:szCs w:val="19"/>
              </w:rPr>
              <w:t xml:space="preserve">S5</w:t>
            </w:r>
          </w:p>
        </w:tc>
        <w:tc>
          <w:tcPr>
            <w:tcW w:type="dxa" w:w="2400"/>
          </w:tcPr>
          <w:p>
            <w:r>
              <w:rPr>
                <w:b w:val="false"/>
                <w:bCs w:val="false"/>
                <w:sz w:val="19"/>
                <w:szCs w:val="19"/>
              </w:rPr>
              <w:t xml:space="preserve">Driving distance, Agua Dulce, CA to Santa Clarita, CA</w:t>
            </w:r>
          </w:p>
        </w:tc>
        <w:tc>
          <w:tcPr>
            <w:tcW w:type="dxa" w:w="1700"/>
          </w:tcPr>
          <w:p>
            <w:r>
              <w:rPr>
                <w:b w:val="false"/>
                <w:bCs w:val="false"/>
                <w:sz w:val="19"/>
                <w:szCs w:val="19"/>
              </w:rPr>
              <w:t xml:space="preserve">19.3 mi</w:t>
            </w:r>
          </w:p>
        </w:tc>
        <w:tc>
          <w:tcPr>
            <w:tcW w:type="dxa" w:w="3000"/>
          </w:tcPr>
          <w:p>
            <w:r>
              <w:rPr>
                <w:b w:val="false"/>
                <w:bCs w:val="false"/>
                <w:sz w:val="19"/>
                <w:szCs w:val="19"/>
              </w:rPr>
              <w:t xml:space="preserve">Google Maps driving directions</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MEDIUM</w:t>
            </w:r>
          </w:p>
        </w:tc>
      </w:tr>
      <w:tr>
        <w:tc>
          <w:tcPr>
            <w:tcW w:type="dxa" w:w="500"/>
          </w:tcPr>
          <w:p>
            <w:r>
              <w:rPr>
                <w:b w:val="false"/>
                <w:bCs w:val="false"/>
                <w:sz w:val="19"/>
                <w:szCs w:val="19"/>
              </w:rPr>
              <w:t xml:space="preserve">S5b</w:t>
            </w:r>
          </w:p>
        </w:tc>
        <w:tc>
          <w:tcPr>
            <w:tcW w:type="dxa" w:w="2400"/>
          </w:tcPr>
          <w:p>
            <w:r>
              <w:rPr>
                <w:b w:val="false"/>
                <w:bCs w:val="false"/>
                <w:sz w:val="19"/>
                <w:szCs w:val="19"/>
              </w:rPr>
              <w:t xml:space="preserve">Driving distance, Agua Dulce, CA to San Fernando, CA</w:t>
            </w:r>
          </w:p>
        </w:tc>
        <w:tc>
          <w:tcPr>
            <w:tcW w:type="dxa" w:w="1700"/>
          </w:tcPr>
          <w:p>
            <w:r>
              <w:rPr>
                <w:b w:val="false"/>
                <w:bCs w:val="false"/>
                <w:sz w:val="19"/>
                <w:szCs w:val="19"/>
              </w:rPr>
              <w:t xml:space="preserve">25.3 mi</w:t>
            </w:r>
          </w:p>
        </w:tc>
        <w:tc>
          <w:tcPr>
            <w:tcW w:type="dxa" w:w="3000"/>
          </w:tcPr>
          <w:p>
            <w:r>
              <w:rPr>
                <w:b w:val="false"/>
                <w:bCs w:val="false"/>
                <w:sz w:val="19"/>
                <w:szCs w:val="19"/>
              </w:rPr>
              <w:t xml:space="preserve">Google Maps driving directions</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MEDIUM</w:t>
            </w:r>
          </w:p>
        </w:tc>
      </w:tr>
      <w:tr>
        <w:tc>
          <w:tcPr>
            <w:tcW w:type="dxa" w:w="500"/>
          </w:tcPr>
          <w:p>
            <w:r>
              <w:rPr>
                <w:b w:val="false"/>
                <w:bCs w:val="false"/>
                <w:sz w:val="19"/>
                <w:szCs w:val="19"/>
              </w:rPr>
              <w:t xml:space="preserve">S6</w:t>
            </w:r>
          </w:p>
        </w:tc>
        <w:tc>
          <w:tcPr>
            <w:tcW w:type="dxa" w:w="2400"/>
          </w:tcPr>
          <w:p>
            <w:r>
              <w:rPr>
                <w:b w:val="false"/>
                <w:bCs w:val="false"/>
                <w:sz w:val="19"/>
                <w:szCs w:val="19"/>
              </w:rPr>
              <w:t xml:space="preserve">Rate of spread (ROS) is conventionally reported in chains per hour and is defined as the speed the fire is moving away from its origin</w:t>
            </w:r>
          </w:p>
        </w:tc>
        <w:tc>
          <w:tcPr>
            <w:tcW w:type="dxa" w:w="1700"/>
          </w:tcPr>
          <w:p>
            <w:r>
              <w:rPr>
                <w:b w:val="false"/>
                <w:bCs w:val="false"/>
                <w:sz w:val="19"/>
                <w:szCs w:val="19"/>
              </w:rPr>
              <w:t xml:space="preserve">—</w:t>
            </w:r>
          </w:p>
        </w:tc>
        <w:tc>
          <w:tcPr>
            <w:tcW w:type="dxa" w:w="3000"/>
          </w:tcPr>
          <w:p>
            <w:r>
              <w:rPr>
                <w:b w:val="false"/>
                <w:bCs w:val="false"/>
                <w:sz w:val="19"/>
                <w:szCs w:val="19"/>
              </w:rPr>
              <w:t xml:space="preserve">NWCG, “rate of spread,” NWCG Glossary of Wildland Fire (PMS 205)</w:t>
            </w:r>
          </w:p>
        </w:tc>
        <w:tc>
          <w:tcPr>
            <w:tcW w:type="dxa" w:w="1000"/>
          </w:tcPr>
          <w:p>
            <w:r>
              <w:rPr>
                <w:b w:val="false"/>
                <w:bCs w:val="false"/>
                <w:sz w:val="19"/>
                <w:szCs w:val="19"/>
              </w:rPr>
              <w:t xml:space="preserve">Accessed 2026-08-13</w:t>
            </w:r>
          </w:p>
        </w:tc>
        <w:tc>
          <w:tcPr>
            <w:tcW w:type="dxa" w:w="760"/>
          </w:tcPr>
          <w:p>
            <w:r>
              <w:rPr>
                <w:b w:val="false"/>
                <w:bCs w:val="false"/>
                <w:sz w:val="19"/>
                <w:szCs w:val="19"/>
              </w:rPr>
              <w:t xml:space="preserve">HIGH</w:t>
            </w:r>
          </w:p>
        </w:tc>
      </w:tr>
    </w:tbl>
    <w:p>
      <w:pPr>
        <w:spacing w:after="140"/>
      </w:pPr>
      <w:r>
        <w:rPr>
          <w:sz w:val="20"/>
          <w:szCs w:val="20"/>
        </w:rPr>
        <w:t xml:space="preserve">S1–S3 are graded MEDIUM rather than HIGH because they were retrieved through Wikipedia's summary of U.S. Census figures rather than fetched directly from census.gov (census.gov's QuickFacts pages returned an access error during research). The underlying figures are standard, non-contested Census counts; a direct census.gov citation should replace these before this case is treated as fully verified.</w:t>
      </w:r>
    </w:p>
    <w:p>
      <w:pPr>
        <w:spacing w:after="140"/>
      </w:pPr>
      <w:r>
        <w:rPr>
          <w:sz w:val="20"/>
          <w:szCs w:val="20"/>
        </w:rPr>
        <w:t xml:space="preserve">2026-08-13 data-decay re-check (Tier 2 probe 6): S2's household size and S5's distance figures had drifted from their cited sources and are corrected above (S2: 3.77 → 3.94, the most recent figure the live page actually states; S5: 23 mi → 19.3 mi, re-verified against live routing). S5's original second value (24 mi, Agua Dulce → San Fernando) had never actually carried its own source URL — it is now its own line, S5b, with a real Google Maps citation and a corrected value of 25.3 mi. S4's citation was also re-pointed (values unchanged) after the re-check found its old URL never actually stated the “10 square chains = 1 acre” half of its claim — it now cites NWCG's Table 2.1, which states both figures verbatim.</w:t>
      </w:r>
    </w:p>
    <w:p>
      <w:pPr>
        <w:pStyle w:val="Heading1"/>
        <w:spacing w:after="160" w:before="300"/>
      </w:pPr>
      <w:r>
        <w:t xml:space="preserve">Appendix F — Fire and Terrain Reference Materials</w:t>
      </w:r>
    </w:p>
    <w:p>
      <w:pPr>
        <w:pStyle w:val="ListParagraph"/>
        <w:numPr>
          <w:ilvl w:val="0"/>
          <w:numId w:val="2"/>
        </w:numPr>
        <w:spacing w:after="80"/>
      </w:pPr>
      <w:r>
        <w:t xml:space="preserve">National Wildfire Coordinating Group, Firefighter Math course — “8.3 Rate of Spread”: </w:t>
      </w:r>
      <w:hyperlink w:history="1" r:id="rIdvzqz9wnzturfr4qr80gfb">
        <w:r>
          <w:rPr>
            <w:rStyle w:val="Hyperlink"/>
          </w:rPr>
          <w:t xml:space="preserve">https://www.nwcg.gov/course/ffm/fire-behavior/firefighter-math-83-rate-of-spread</w:t>
        </w:r>
      </w:hyperlink>
    </w:p>
    <w:p>
      <w:pPr>
        <w:pStyle w:val="ListParagraph"/>
        <w:numPr>
          <w:ilvl w:val="0"/>
          <w:numId w:val="2"/>
        </w:numPr>
        <w:spacing w:after="80"/>
      </w:pPr>
      <w:r>
        <w:t xml:space="preserve">National Wildfire Coordinating Group, Firefighter Math course — “8.5 Map Spread”: </w:t>
      </w:r>
      <w:hyperlink w:history="1" r:id="rIdfmlgzfr8tnrtxlmwjxnrv">
        <w:r>
          <w:rPr>
            <w:rStyle w:val="Hyperlink"/>
          </w:rPr>
          <w:t xml:space="preserve">https://www.nwcg.gov/course/ffm/fire-behavior/firefighter-math-85-map-spread</w:t>
        </w:r>
      </w:hyperlink>
    </w:p>
    <w:p>
      <w:pPr>
        <w:pStyle w:val="ListParagraph"/>
        <w:numPr>
          <w:ilvl w:val="0"/>
          <w:numId w:val="2"/>
        </w:numPr>
        <w:spacing w:after="80"/>
      </w:pPr>
      <w:r>
        <w:t xml:space="preserve">The original case packet's fire-perimeter reference map (Soledad Canyon Fire, VIIRS thermal hotspots, 5/3/2021) is retained in the source folder; it shows the real relative positions of Agua Dulce, Santa Clarita, and San Fernando referenced throughout this case.</w:t>
      </w:r>
    </w:p>
    <w:p>
      <w:pPr>
        <w:pStyle w:val="Heading1"/>
        <w:spacing w:after="160" w:before="300"/>
      </w:pPr>
      <w:r>
        <w:t xml:space="preserve">Appendix G — “How To…” Math Questions To Research</w:t>
      </w:r>
    </w:p>
    <w:p>
      <w:pPr>
        <w:pStyle w:val="Heading2"/>
        <w:spacing w:after="140" w:before="260"/>
      </w:pPr>
      <w:r>
        <w:t xml:space="preserve">Vocabulary terms</w:t>
      </w:r>
    </w:p>
    <w:p>
      <w:pPr>
        <w:pStyle w:val="ListParagraph"/>
        <w:numPr>
          <w:ilvl w:val="0"/>
          <w:numId w:val="2"/>
        </w:numPr>
        <w:spacing w:after="80"/>
      </w:pPr>
      <w:r>
        <w:t xml:space="preserve">Area</w:t>
      </w:r>
    </w:p>
    <w:p>
      <w:pPr>
        <w:pStyle w:val="ListParagraph"/>
        <w:numPr>
          <w:ilvl w:val="0"/>
          <w:numId w:val="2"/>
        </w:numPr>
        <w:spacing w:after="80"/>
      </w:pPr>
      <w:r>
        <w:t xml:space="preserve">Unit</w:t>
      </w:r>
    </w:p>
    <w:p>
      <w:pPr>
        <w:pStyle w:val="ListParagraph"/>
        <w:numPr>
          <w:ilvl w:val="0"/>
          <w:numId w:val="2"/>
        </w:numPr>
        <w:spacing w:after="80"/>
      </w:pPr>
      <w:r>
        <w:t xml:space="preserve">Distance</w:t>
      </w:r>
    </w:p>
    <w:p>
      <w:pPr>
        <w:pStyle w:val="ListParagraph"/>
        <w:numPr>
          <w:ilvl w:val="0"/>
          <w:numId w:val="2"/>
        </w:numPr>
        <w:spacing w:after="80"/>
      </w:pPr>
      <w:r>
        <w:t xml:space="preserve">Ratio</w:t>
      </w:r>
    </w:p>
    <w:p>
      <w:pPr>
        <w:pStyle w:val="ListParagraph"/>
        <w:numPr>
          <w:ilvl w:val="0"/>
          <w:numId w:val="2"/>
        </w:numPr>
        <w:spacing w:after="80"/>
      </w:pPr>
      <w:r>
        <w:t xml:space="preserve">Proportion</w:t>
      </w:r>
    </w:p>
    <w:p>
      <w:pPr>
        <w:pStyle w:val="ListParagraph"/>
        <w:numPr>
          <w:ilvl w:val="0"/>
          <w:numId w:val="2"/>
        </w:numPr>
        <w:spacing w:after="80"/>
      </w:pPr>
      <w:r>
        <w:t xml:space="preserve">Percent</w:t>
      </w:r>
    </w:p>
    <w:p>
      <w:pPr>
        <w:pStyle w:val="ListParagraph"/>
        <w:numPr>
          <w:ilvl w:val="0"/>
          <w:numId w:val="2"/>
        </w:numPr>
        <w:spacing w:after="80"/>
      </w:pPr>
      <w:r>
        <w:t xml:space="preserve">Decimal</w:t>
      </w:r>
    </w:p>
    <w:p>
      <w:pPr>
        <w:pStyle w:val="Heading2"/>
        <w:spacing w:after="140" w:before="260"/>
      </w:pPr>
      <w:r>
        <w:t xml:space="preserve">“How to…” questions</w:t>
      </w:r>
    </w:p>
    <w:p>
      <w:pPr>
        <w:pStyle w:val="ListParagraph"/>
        <w:numPr>
          <w:ilvl w:val="0"/>
          <w:numId w:val="2"/>
        </w:numPr>
        <w:spacing w:after="80"/>
      </w:pPr>
      <w:r>
        <w:t xml:space="preserve">How to find the area of a circle</w:t>
      </w:r>
    </w:p>
    <w:p>
      <w:pPr>
        <w:pStyle w:val="ListParagraph"/>
        <w:numPr>
          <w:ilvl w:val="0"/>
          <w:numId w:val="2"/>
        </w:numPr>
        <w:spacing w:after="80"/>
      </w:pPr>
      <w:r>
        <w:t xml:space="preserve">How to convert an amount from one unit to another unit</w:t>
      </w:r>
    </w:p>
    <w:p>
      <w:pPr>
        <w:pStyle w:val="ListParagraph"/>
        <w:numPr>
          <w:ilvl w:val="0"/>
          <w:numId w:val="2"/>
        </w:numPr>
        <w:spacing w:after="80"/>
      </w:pPr>
      <w:r>
        <w:t xml:space="preserve">How to convert an amount with compound units</w:t>
      </w:r>
    </w:p>
    <w:p>
      <w:pPr>
        <w:pStyle w:val="ListParagraph"/>
        <w:numPr>
          <w:ilvl w:val="0"/>
          <w:numId w:val="2"/>
        </w:numPr>
        <w:spacing w:after="80"/>
      </w:pPr>
      <w:r>
        <w:t xml:space="preserve">How to find a missing amount in a proportion</w:t>
      </w:r>
    </w:p>
    <w:p>
      <w:pPr>
        <w:pStyle w:val="ListParagraph"/>
        <w:numPr>
          <w:ilvl w:val="0"/>
          <w:numId w:val="2"/>
        </w:numPr>
        <w:spacing w:after="80"/>
      </w:pPr>
      <w:r>
        <w:t xml:space="preserve">How to convert percents to numbers</w:t>
      </w:r>
    </w:p>
    <w:p>
      <w:pPr>
        <w:pStyle w:val="ListParagraph"/>
        <w:numPr>
          <w:ilvl w:val="0"/>
          <w:numId w:val="2"/>
        </w:numPr>
        <w:spacing w:after="80"/>
      </w:pPr>
      <w:r>
        <w:t xml:space="preserve">How to multiply decimal numbers</w:t>
      </w:r>
    </w:p>
    <w:p>
      <w:pPr>
        <w:pStyle w:val="ListParagraph"/>
        <w:numPr>
          <w:ilvl w:val="0"/>
          <w:numId w:val="2"/>
        </w:numPr>
        <w:spacing w:after="80"/>
      </w:pPr>
      <w:r>
        <w:t xml:space="preserve">How to divide decimal numbers</w:t>
      </w:r>
    </w:p>
    <w:p>
      <w:pPr>
        <w:pStyle w:val="ListParagraph"/>
        <w:numPr>
          <w:ilvl w:val="0"/>
          <w:numId w:val="2"/>
        </w:numPr>
        <w:spacing w:after="80"/>
      </w:pPr>
      <w:r>
        <w:t xml:space="preserve">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40" w:before="280"/>
    </w:pPr>
    <w:rPr>
      <w:b/>
      <w:bCs/>
      <w:color w:val="1a3a5c"/>
      <w:sz w:val="30"/>
      <w:szCs w:val="30"/>
    </w:rPr>
  </w:style>
  <w:style w:type="paragraph" w:styleId="Heading2">
    <w:name w:val="Heading 2"/>
    <w:basedOn w:val="Normal"/>
    <w:next w:val="Normal"/>
    <w:qFormat/>
    <w:pPr>
      <w:spacing w:after="100" w:before="200"/>
    </w:pPr>
    <w:rPr>
      <w:b/>
      <w:bCs/>
      <w:color w:val="1229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zqz9wnzturfr4qr80gfb" Type="http://schemas.openxmlformats.org/officeDocument/2006/relationships/hyperlink" Target="https://www.nwcg.gov/course/ffm/fire-behavior/firefighter-math-83-rate-of-spread" TargetMode="External"/><Relationship Id="rIdfmlgzfr8tnrtxlmwjxnrv" Type="http://schemas.openxmlformats.org/officeDocument/2006/relationships/hyperlink" Target="https://www.nwcg.gov/course/ffm/fire-behavior/firefighter-math-85-map-spread"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2026-08-19T02:41:54.540Z</dcterms:created>
  <dcterms:modified xsi:type="dcterms:W3CDTF">2026-08-19T02:41:54.546Z</dcterms:modified>
</cp:coreProperties>
</file>

<file path=docProps/custom.xml><?xml version="1.0" encoding="utf-8"?>
<Properties xmlns="http://schemas.openxmlformats.org/officeDocument/2006/custom-properties" xmlns:vt="http://schemas.openxmlformats.org/officeDocument/2006/docPropsVTypes"/>
</file>