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2"/>
          <w:szCs w:val="32"/>
        </w:rPr>
        <w:t xml:space="preserve">Case Study: Acton Survey</w:t>
      </w:r>
    </w:p>
    <w:p>
      <w:pPr>
        <w:spacing w:after="300"/>
      </w:pPr>
      <w:r>
        <w:rPr>
          <w:i/>
          <w:iCs/>
          <w:color w:val="5B6472"/>
          <w:sz w:val="22"/>
          <w:szCs w:val="22"/>
        </w:rPr>
        <w:t xml:space="preserve">MS | Math | Case Study | 2026-27 | Launchpad</w:t>
      </w:r>
    </w:p>
    <w:p>
      <w:pPr>
        <w:pStyle w:val="Heading2"/>
        <w:spacing w:after="160" w:before="300"/>
      </w:pPr>
      <w:r>
        <w:t xml:space="preserve">Overview</w:t>
      </w:r>
    </w:p>
    <w:p>
      <w:pPr>
        <w:spacing w:after="160"/>
      </w:pPr>
      <w:r>
        <w:t xml:space="preserve">The phone rings at 4:47, right in the middle of studio clean-up, and Xander already knows who it is before he picks up. Jeff's Texas drawl fills the room before Xander's even said hello.</w:t>
      </w:r>
    </w:p>
    <w:p>
      <w:pPr>
        <w:spacing w:after="160"/>
      </w:pPr>
      <w:r>
        <w:t xml:space="preserve">“Got the spreadsheet in front of you, son?”</w:t>
      </w:r>
    </w:p>
    <w:p>
      <w:pPr>
        <w:spacing w:after="160"/>
      </w:pPr>
      <w:r>
        <w:t xml:space="preserve">Xander pulls it up — a wall of ID numbers scrolling past his cursor, campus names he half-recognizes and a few he's never heard of, ages from four to eighteen. Somewhere in this list is every learner at every Acton campus big enough to matter.</w:t>
      </w:r>
    </w:p>
    <w:p>
      <w:pPr>
        <w:spacing w:after="160"/>
      </w:pPr>
      <w:r>
        <w:t xml:space="preserve">“Laura and I are stepping back soon,” Jeff says. “Before we go, I want one thing settled the right way — a real mascot, chosen by real data, not a hunch. You're the one building the survey.”</w:t>
      </w:r>
    </w:p>
    <w:p>
      <w:pPr>
        <w:spacing w:after="160"/>
      </w:pPr>
      <w:r>
        <w:t xml:space="preserve">Xander scrolls further. Campus after campus. Some with a couple hundred learners. Some with barely a dozen. All of them expecting a call.</w:t>
      </w:r>
    </w:p>
    <w:p>
      <w:pPr>
        <w:spacing w:after="160"/>
      </w:pPr>
      <w:r>
        <w:t xml:space="preserve">“You know the clock we're on,” Jeff says. “Whatever method you pick, it has to actually fit — every last call of it.”</w:t>
      </w:r>
    </w:p>
    <w:p>
      <w:pPr>
        <w:spacing w:after="160"/>
      </w:pPr>
      <w:r>
        <w:t xml:space="preserve">Xander's cursor hovers over two columns he's already sketched out on a legal pad beside the laptop: one labeled Simple, one labeled Fair. He hasn't circled either one yet.</w:t>
      </w:r>
    </w:p>
    <w:p>
      <w:pPr>
        <w:spacing w:after="160"/>
      </w:pPr>
      <w:r>
        <w:t xml:space="preserve">“Well?” Jeff says. “Which way you calling this?”</w:t>
      </w:r>
    </w:p>
    <w:p>
      <w:pPr>
        <w:pStyle w:val="Heading2"/>
        <w:spacing w:after="160" w:before="300"/>
      </w:pPr>
      <w:r>
        <w:t xml:space="preserve">Background</w:t>
      </w:r>
    </w:p>
    <w:p>
      <w:pPr>
        <w:spacing w:after="160"/>
      </w:pPr>
      <w:r>
        <w:t xml:space="preserve">Laura and Jeff Sandefer founded the first Acton Academy and have spent years building out the wider Acton network — dozens of independently run campuses worldwide, each using the same learner-driven model but each free to call its learners by its own nickname: Eagles at one campus, Heroes at another, Explorers, Champions, Stars. With their retirement three months away, Jeff and Laura want to settle a question that's been informally debated for years: should every Acton campus share one common learner mascot?</w:t>
      </w:r>
    </w:p>
    <w:p>
      <w:pPr>
        <w:spacing w:after="160"/>
      </w:pPr>
      <w:r>
        <w:t xml:space="preserve">Rather than guess, Jeff wants a real, statistically defensible survey. Because he wants every age of learner to have a voice, he has decided the survey will be conducted by personal phone call — Jeff will call each campus's guide, and the guide will put the learner on the line. Two questions will be asked of every learner reached: whether the network should adopt one common mascot, and, if so, what that mascot should be. Every one of these calls, guide coordination and learner interview alike, runs 15 to 20 minutes (see Appendix A).</w:t>
      </w:r>
    </w:p>
    <w:p>
      <w:pPr>
        <w:spacing w:after="160"/>
      </w:pPr>
      <w:r>
        <w:t xml:space="preserve">It is not possible, and Jeff and Xander agree it is not necessary, to call every learner at every campus. Some Acton campuses are brand new with only a handful of learners; others are long established with well over a hundred. Jeff and Xander have restricted the survey to campuses with at least two studios — fifty campuses network-wide, a real, complete 2021 roster of 1,420 learners total (see Appendix A). Jeff and Xander have agreed the survey will interview a sample of 142 learners — exactly 10% of the population — enough real breadth to speak for the network without blowing past his three-month window.</w:t>
      </w:r>
    </w:p>
    <w:p>
      <w:pPr>
        <w:spacing w:after="160"/>
      </w:pPr>
      <w:r>
        <w:t xml:space="preserve">Xander Morgan, Jeff's right-hand for anything statistical, has been asked to design how those 142 learners get chosen. He has narrowed the real options down to two. Every single call in this survey — coordinating with a campus guide and interviewing a learner alike — is placed personally by Jeff himself, one call at a time; nothing here can be split across a team (see Appendix A). That makes total personal call-time, and whether it fits Jeff's three-month runway, a real constraint, not a decorative one (see Appendix D).</w:t>
      </w:r>
    </w:p>
    <w:p>
      <w:pPr>
        <w:spacing w:after="160"/>
      </w:pPr>
      <w:r>
        <w:t xml:space="preserve">The fifty campuses vary enormously in size — from a dozen learners to well over a hundred and sixty (see Appendix B). Xander must decide whether that size difference is something his sampling method needs to correct for, or something he can safely leave to chance.</w:t>
      </w:r>
    </w:p>
    <w:p>
      <w:pPr>
        <w:spacing w:after="160"/>
      </w:pPr>
      <w:r>
        <w:t xml:space="preserve">All figures in this case are sourced or explicitly stated as scenario assumptions (see Appendices E and F). The vocabulary and “how to…” skills this case will ask you to research are listed in Appendix G — that is where Challenge 1 sends you.</w:t>
      </w:r>
    </w:p>
    <w:p>
      <w:pPr>
        <w:pStyle w:val="Heading2"/>
        <w:spacing w:after="160" w:before="300"/>
      </w:pPr>
      <w:r>
        <w:t xml:space="preserve">Dilemma</w:t>
      </w:r>
    </w:p>
    <w:p>
      <w:pPr>
        <w:spacing w:after="160"/>
      </w:pPr>
      <w:r>
        <w:t xml:space="preserve">You are Xander Morgan.</w:t>
      </w:r>
    </w:p>
    <w:p>
      <w:pPr>
        <w:spacing w:after="160"/>
      </w:pPr>
      <w:r>
        <w:t xml:space="preserve">Do you:</w:t>
      </w:r>
    </w:p>
    <w:p>
      <w:pPr>
        <w:spacing w:after="160"/>
      </w:pPr>
      <w:r>
        <w:t xml:space="preserve">A.) Simple Random Sample — the simplest method to administer: one flat draw of 1,420 IDs, no per-campus quotas to track, while Jeff places every 15–20-minute call himself, one at a time</w:t>
      </w:r>
    </w:p>
    <w:p>
      <w:pPr>
        <w:spacing w:after="160"/>
      </w:pPr>
      <w:r>
        <w:t xml:space="preserve">OR</w:t>
      </w:r>
    </w:p>
    <w:p>
      <w:pPr>
        <w:spacing w:after="160"/>
      </w:pPr>
      <w:r>
        <w:t xml:space="preserve">B.) Stratified Sample — more calls and coordination required, but it corrects for wildly uneven campus sizes so small and large campuses are proportionally represented</w:t>
      </w:r>
    </w:p>
    <w:p>
      <w:pPr>
        <w:pStyle w:val="Heading2"/>
        <w:spacing w:after="160" w:before="300"/>
      </w:pPr>
      <w:r>
        <w:t xml:space="preserve">Challenges</w:t>
      </w:r>
    </w:p>
    <w:p>
      <w:pPr>
        <w:spacing w:after="160"/>
      </w:pPr>
      <w:r>
        <w:t xml:space="preserve">1.) Research and find an online resource that answers one of the “how to…” questions from the case study launch. Post a link to the resource as your submission.</w:t>
      </w:r>
    </w:p>
    <w:p>
      <w:pPr>
        <w:spacing w:after="160"/>
      </w:pPr>
      <w:r>
        <w:t xml:space="preserve">2.) Post 250 or more “excellent” words pitching a firm stance to your audience on which you would choose and why. Your pitch must include:</w:t>
      </w:r>
    </w:p>
    <w:p>
      <w:pPr>
        <w:pStyle w:val="ListParagraph"/>
        <w:numPr>
          <w:ilvl w:val="0"/>
          <w:numId w:val="2"/>
        </w:numPr>
        <w:spacing w:after="100"/>
      </w:pPr>
      <w:r>
        <w:t xml:space="preserve">a.) Use of the “how to…” resource you researched in Challenge 1.</w:t>
      </w:r>
    </w:p>
    <w:p>
      <w:pPr>
        <w:pStyle w:val="ListParagraph"/>
        <w:numPr>
          <w:ilvl w:val="0"/>
          <w:numId w:val="2"/>
        </w:numPr>
        <w:spacing w:after="100"/>
      </w:pPr>
      <w:r>
        <w:t xml:space="preserve">b.) At least one original visual display of the data.</w:t>
      </w:r>
    </w:p>
    <w:p>
      <w:pPr>
        <w:spacing w:after="160"/>
      </w:pPr>
      <w:r>
        <w:t xml:space="preserve">3.) Your pitch must include:</w:t>
      </w:r>
    </w:p>
    <w:p>
      <w:pPr>
        <w:spacing w:after="160"/>
      </w:pPr>
      <w:r>
        <w:t xml:space="preserve">D1. A population-and-sample description, in your own words: how many learners the Acton network's fifty eligible campuses hold in total, how you got from that total down to a target of 142 learners, and what percent of the population 142 actually represents — showing your arithmetic.</w:t>
      </w:r>
    </w:p>
    <w:p>
      <w:pPr>
        <w:spacing w:after="160"/>
      </w:pPr>
      <w:r>
        <w:t xml:space="preserve">D2. A condensed campus roster table summarizing all fifty eligible campuses from Appendix B — campus, learner count, and each campus's share of the total population as a percent.</w:t>
      </w:r>
    </w:p>
    <w:p>
      <w:pPr>
        <w:spacing w:after="160"/>
      </w:pPr>
      <w:r>
        <w:t xml:space="preserve">D3. A Simple Random Sample risk analysis — for at least three campuses of different sizes from Appendix B, compute the probability that a simple random sample of 142 learners contains zero learners from that campus, and use those probabilities to estimate the total number of the network's fifty campuses that would likely go entirely unheard under Option A (see Appendix C for the tool).</w:t>
      </w:r>
    </w:p>
    <w:p>
      <w:pPr>
        <w:spacing w:after="160"/>
      </w:pPr>
      <w:r>
        <w:t xml:space="preserve">D4. A Stratified Sample allocation table — for every one of the fifty campuses, a proportional number of learners to interview under Option B, reconciled so the fifty campus totals add up to exactly 142 (see Appendix C).</w:t>
      </w:r>
    </w:p>
    <w:p>
      <w:pPr>
        <w:spacing w:after="160"/>
      </w:pPr>
      <w:r>
        <w:t xml:space="preserve">D5. A total call-time comparison — for each option, Jeff's total personal call time in hours (learner interviews plus every guide-coordination call each option actually requires), checked against his three-month runway (see Appendix D).</w:t>
      </w:r>
    </w:p>
    <w:p>
      <w:pPr>
        <w:spacing w:after="160"/>
      </w:pPr>
      <w:r>
        <w:t xml:space="preserve">D6. Two original visual displays of the data: one comparing Option A's and Option B's total call-time, and one comparing how much of the fifty-campus network each option actually reaches.</w:t>
      </w:r>
    </w:p>
    <w:p>
      <w:pPr>
        <w:spacing w:after="160"/>
      </w:pPr>
      <w:r>
        <w:t xml:space="preserve">4.) An appendix showing evidence of your original thinking, work, calculations and processes you used to complete the challenges (pictures, screenshots, notes, etc.). Your work in the appendix does not count toward your word count.</w:t>
      </w:r>
    </w:p>
    <w:p>
      <w:pPr>
        <w:spacing w:after="160"/>
      </w:pPr>
      <w:r>
        <w:t xml:space="preserve">5.) Participate twice or more in the Case Study discussion. If you are absent the day of a discussion post 500 “excellent” words on the questions above.</w:t>
      </w:r>
    </w:p>
    <w:p>
      <w:pPr>
        <w:pStyle w:val="Heading2"/>
        <w:spacing w:after="160" w:before="300"/>
      </w:pPr>
      <w:r>
        <w:t xml:space="preserve">Appendices</w:t>
      </w:r>
    </w:p>
    <w:p>
      <w:pPr>
        <w:pStyle w:val="Heading3"/>
        <w:spacing w:after="120" w:before="260"/>
      </w:pPr>
      <w:r>
        <w:t xml:space="preserve">Appendix A — The Survey Rules</w:t>
      </w:r>
    </w:p>
    <w:p>
      <w:pPr>
        <w:pStyle w:val="ListParagraph"/>
        <w:numPr>
          <w:ilvl w:val="0"/>
          <w:numId w:val="2"/>
        </w:numPr>
        <w:spacing w:after="100"/>
      </w:pPr>
      <w:r>
        <w:t xml:space="preserve">Every call — guide coordination or learner interview — runs 15–20 minutes.</w:t>
      </w:r>
    </w:p>
    <w:p>
      <w:pPr>
        <w:pStyle w:val="ListParagraph"/>
        <w:numPr>
          <w:ilvl w:val="0"/>
          <w:numId w:val="2"/>
        </w:numPr>
        <w:spacing w:after="100"/>
      </w:pPr>
      <w:r>
        <w:t xml:space="preserve">1,420 learners total, real 2021 roster, across the 50 eligible Acton campuses (each with at least two studios) [S1].</w:t>
      </w:r>
    </w:p>
    <w:p>
      <w:pPr>
        <w:pStyle w:val="ListParagraph"/>
        <w:numPr>
          <w:ilvl w:val="0"/>
          <w:numId w:val="2"/>
        </w:numPr>
        <w:spacing w:after="100"/>
      </w:pPr>
      <w:r>
        <w:t xml:space="preserve">Target sample size: 142 learners (10% of the population).</w:t>
      </w:r>
    </w:p>
    <w:p>
      <w:pPr>
        <w:pStyle w:val="ListParagraph"/>
        <w:numPr>
          <w:ilvl w:val="0"/>
          <w:numId w:val="2"/>
        </w:numPr>
        <w:spacing w:after="100"/>
      </w:pPr>
      <w:r>
        <w:t xml:space="preserve">Jeff makes every call himself, one at a time — nothing in this survey can be parallelized across a team.</w:t>
      </w:r>
    </w:p>
    <w:p>
      <w:pPr>
        <w:pStyle w:val="ListParagraph"/>
        <w:numPr>
          <w:ilvl w:val="0"/>
          <w:numId w:val="2"/>
        </w:numPr>
        <w:spacing w:after="100"/>
      </w:pPr>
      <w:r>
        <w:t xml:space="preserve">Deadline: 3 months from today.</w:t>
      </w:r>
    </w:p>
    <w:p>
      <w:pPr>
        <w:spacing w:after="160"/>
      </w:pPr>
      <w:r>
        <w:t xml:space="preserve">(Full underlying 1,420-row roster — ID number, gender, age, campus — is the original internal Journey Tracker export the case is built from; Appendix B below is its campus-level summary.)</w:t>
      </w:r>
    </w:p>
    <w:p>
      <w:pPr>
        <w:pStyle w:val="Heading3"/>
        <w:spacing w:after="120" w:before="260"/>
      </w:pPr>
      <w:r>
        <w:t xml:space="preserve">Appendix B — Campus Roster Summary (2021, all 50 eligible campuses)</w:t>
      </w:r>
    </w:p>
    <w:p>
      <w:pPr>
        <w:spacing w:after="160"/>
      </w:pPr>
      <w:r>
        <w:t xml:space="preserve">Source: “2021 Learners At Campuses With At Least Two Studios: ID Numbers, Gender, Age and Location,” the real internal Journey Tracker export this case is built from (1,420 rows, one per learner) [S1]. The table below is the campus-level summary — every row is a real, complete count, not a sample or an estimate.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5300"/>
        <w:gridCol w:w="1100"/>
        <w:gridCol w:w="1100"/>
        <w:gridCol w:w="1000"/>
      </w:tblGrid>
      <w:tr>
        <w:trPr>
          <w:tblHeader/>
        </w:trPr>
        <w:tc>
          <w:tcPr>
            <w:tcW w:type="dxa" w:w="500"/>
            <w:shd w:fill="1A3A5C" w:color="auto" w:val="clear"/>
            <w:tcMar>
              <w:top w:type="dxa" w:w="60"/>
              <w:left w:type="dxa" w:w="90"/>
              <w:bottom w:type="dxa" w:w="60"/>
              <w:right w:type="dxa" w:w="90"/>
            </w:tcMar>
            <w:vAlign w:val="center"/>
          </w:tcPr>
          <w:p>
            <w:r>
              <w:rPr>
                <w:b/>
                <w:bCs/>
                <w:color w:val="FFFFFF"/>
                <w:sz w:val="18"/>
                <w:szCs w:val="18"/>
              </w:rPr>
              <w:t xml:space="preserve">#</w:t>
            </w:r>
          </w:p>
        </w:tc>
        <w:tc>
          <w:tcPr>
            <w:tcW w:type="dxa" w:w="5300"/>
            <w:shd w:fill="1A3A5C" w:color="auto" w:val="clear"/>
            <w:tcMar>
              <w:top w:type="dxa" w:w="60"/>
              <w:left w:type="dxa" w:w="90"/>
              <w:bottom w:type="dxa" w:w="60"/>
              <w:right w:type="dxa" w:w="90"/>
            </w:tcMar>
            <w:vAlign w:val="center"/>
          </w:tcPr>
          <w:p>
            <w:r>
              <w:rPr>
                <w:b/>
                <w:bCs/>
                <w:color w:val="FFFFFF"/>
                <w:sz w:val="18"/>
                <w:szCs w:val="18"/>
              </w:rPr>
              <w:t xml:space="preserve">Campus (as recorded in the 2021 roster)</w:t>
            </w:r>
          </w:p>
        </w:tc>
        <w:tc>
          <w:tcPr>
            <w:tcW w:type="dxa" w:w="1100"/>
            <w:shd w:fill="1A3A5C" w:color="auto" w:val="clear"/>
            <w:tcMar>
              <w:top w:type="dxa" w:w="60"/>
              <w:left w:type="dxa" w:w="90"/>
              <w:bottom w:type="dxa" w:w="60"/>
              <w:right w:type="dxa" w:w="90"/>
            </w:tcMar>
            <w:vAlign w:val="center"/>
          </w:tcPr>
          <w:p>
            <w:r>
              <w:rPr>
                <w:b/>
                <w:bCs/>
                <w:color w:val="FFFFFF"/>
                <w:sz w:val="18"/>
                <w:szCs w:val="18"/>
              </w:rPr>
              <w:t xml:space="preserve">Learners (Nᵢ)</w:t>
            </w:r>
          </w:p>
        </w:tc>
        <w:tc>
          <w:tcPr>
            <w:tcW w:type="dxa" w:w="1100"/>
            <w:shd w:fill="1A3A5C" w:color="auto" w:val="clear"/>
            <w:tcMar>
              <w:top w:type="dxa" w:w="60"/>
              <w:left w:type="dxa" w:w="90"/>
              <w:bottom w:type="dxa" w:w="60"/>
              <w:right w:type="dxa" w:w="90"/>
            </w:tcMar>
            <w:vAlign w:val="center"/>
          </w:tcPr>
          <w:p>
            <w:r>
              <w:rPr>
                <w:b/>
                <w:bCs/>
                <w:color w:val="FFFFFF"/>
                <w:sz w:val="18"/>
                <w:szCs w:val="18"/>
              </w:rPr>
              <w:t xml:space="preserve">% of population</w:t>
            </w:r>
          </w:p>
        </w:tc>
        <w:tc>
          <w:tcPr>
            <w:tcW w:type="dxa" w:w="1000"/>
            <w:shd w:fill="1A3A5C" w:color="auto" w:val="clear"/>
            <w:tcMar>
              <w:top w:type="dxa" w:w="60"/>
              <w:left w:type="dxa" w:w="90"/>
              <w:bottom w:type="dxa" w:w="60"/>
              <w:right w:type="dxa" w:w="90"/>
            </w:tcMar>
            <w:vAlign w:val="center"/>
          </w:tcPr>
          <w:p>
            <w:r>
              <w:rPr>
                <w:b/>
                <w:bCs/>
                <w:color w:val="FFFFFF"/>
                <w:sz w:val="18"/>
                <w:szCs w:val="18"/>
              </w:rPr>
              <w:t xml:space="preserve">Stratified allocation (nᵢ)</w:t>
            </w:r>
          </w:p>
        </w:tc>
      </w:tr>
      <w:tr>
        <w:trPr>
          <w:cantSplit/>
        </w:trPr>
        <w:tc>
          <w:tcPr>
            <w:tcW w:type="dxa" w:w="500"/>
            <w:tcMar>
              <w:top w:type="dxa" w:w="60"/>
              <w:left w:type="dxa" w:w="90"/>
              <w:bottom w:type="dxa" w:w="60"/>
              <w:right w:type="dxa" w:w="90"/>
            </w:tcMar>
            <w:vAlign w:val="center"/>
          </w:tcPr>
          <w:p>
            <w:r>
              <w:rPr>
                <w:b w:val="false"/>
                <w:bCs w:val="false"/>
                <w:sz w:val="18"/>
                <w:szCs w:val="18"/>
              </w:rPr>
              <w:t xml:space="preserve">1</w:t>
            </w:r>
          </w:p>
        </w:tc>
        <w:tc>
          <w:tcPr>
            <w:tcW w:type="dxa" w:w="5300"/>
            <w:tcMar>
              <w:top w:type="dxa" w:w="60"/>
              <w:left w:type="dxa" w:w="90"/>
              <w:bottom w:type="dxa" w:w="60"/>
              <w:right w:type="dxa" w:w="90"/>
            </w:tcMar>
            <w:vAlign w:val="center"/>
          </w:tcPr>
          <w:p>
            <w:r>
              <w:rPr>
                <w:b w:val="false"/>
                <w:bCs w:val="false"/>
                <w:sz w:val="18"/>
                <w:szCs w:val="18"/>
              </w:rPr>
              <w:t xml:space="preserve">Acton Academy (Main Campus) — Austin, Texas</w:t>
            </w:r>
          </w:p>
        </w:tc>
        <w:tc>
          <w:tcPr>
            <w:tcW w:type="dxa" w:w="1100"/>
            <w:tcMar>
              <w:top w:type="dxa" w:w="60"/>
              <w:left w:type="dxa" w:w="90"/>
              <w:bottom w:type="dxa" w:w="60"/>
              <w:right w:type="dxa" w:w="90"/>
            </w:tcMar>
            <w:vAlign w:val="center"/>
          </w:tcPr>
          <w:p>
            <w:r>
              <w:rPr>
                <w:b w:val="false"/>
                <w:bCs w:val="false"/>
                <w:sz w:val="18"/>
                <w:szCs w:val="18"/>
              </w:rPr>
              <w:t xml:space="preserve">168</w:t>
            </w:r>
          </w:p>
        </w:tc>
        <w:tc>
          <w:tcPr>
            <w:tcW w:type="dxa" w:w="1100"/>
            <w:tcMar>
              <w:top w:type="dxa" w:w="60"/>
              <w:left w:type="dxa" w:w="90"/>
              <w:bottom w:type="dxa" w:w="60"/>
              <w:right w:type="dxa" w:w="90"/>
            </w:tcMar>
            <w:vAlign w:val="center"/>
          </w:tcPr>
          <w:p>
            <w:r>
              <w:rPr>
                <w:b w:val="false"/>
                <w:bCs w:val="false"/>
                <w:sz w:val="18"/>
                <w:szCs w:val="18"/>
              </w:rPr>
              <w:t xml:space="preserve">11.83%</w:t>
            </w:r>
          </w:p>
        </w:tc>
        <w:tc>
          <w:tcPr>
            <w:tcW w:type="dxa" w:w="1000"/>
            <w:tcMar>
              <w:top w:type="dxa" w:w="60"/>
              <w:left w:type="dxa" w:w="90"/>
              <w:bottom w:type="dxa" w:w="60"/>
              <w:right w:type="dxa" w:w="90"/>
            </w:tcMar>
            <w:vAlign w:val="center"/>
          </w:tcPr>
          <w:p>
            <w:r>
              <w:rPr>
                <w:b w:val="false"/>
                <w:bCs w:val="false"/>
                <w:sz w:val="18"/>
                <w:szCs w:val="18"/>
              </w:rPr>
              <w:t xml:space="preserve">17</w:t>
            </w:r>
          </w:p>
        </w:tc>
      </w:tr>
      <w:tr>
        <w:trPr>
          <w:cantSplit/>
        </w:trPr>
        <w:tc>
          <w:tcPr>
            <w:tcW w:type="dxa" w:w="500"/>
            <w:tcMar>
              <w:top w:type="dxa" w:w="60"/>
              <w:left w:type="dxa" w:w="90"/>
              <w:bottom w:type="dxa" w:w="60"/>
              <w:right w:type="dxa" w:w="90"/>
            </w:tcMar>
            <w:vAlign w:val="center"/>
          </w:tcPr>
          <w:p>
            <w:r>
              <w:rPr>
                <w:b w:val="false"/>
                <w:bCs w:val="false"/>
                <w:sz w:val="18"/>
                <w:szCs w:val="18"/>
              </w:rPr>
              <w:t xml:space="preserve">2</w:t>
            </w:r>
          </w:p>
        </w:tc>
        <w:tc>
          <w:tcPr>
            <w:tcW w:type="dxa" w:w="5300"/>
            <w:tcMar>
              <w:top w:type="dxa" w:w="60"/>
              <w:left w:type="dxa" w:w="90"/>
              <w:bottom w:type="dxa" w:w="60"/>
              <w:right w:type="dxa" w:w="90"/>
            </w:tcMar>
            <w:vAlign w:val="center"/>
          </w:tcPr>
          <w:p>
            <w:r>
              <w:rPr>
                <w:b w:val="false"/>
                <w:bCs w:val="false"/>
                <w:sz w:val="18"/>
                <w:szCs w:val="18"/>
              </w:rPr>
              <w:t xml:space="preserve">Heroes Academy — Boise, Idaho</w:t>
            </w:r>
          </w:p>
        </w:tc>
        <w:tc>
          <w:tcPr>
            <w:tcW w:type="dxa" w:w="1100"/>
            <w:tcMar>
              <w:top w:type="dxa" w:w="60"/>
              <w:left w:type="dxa" w:w="90"/>
              <w:bottom w:type="dxa" w:w="60"/>
              <w:right w:type="dxa" w:w="90"/>
            </w:tcMar>
            <w:vAlign w:val="center"/>
          </w:tcPr>
          <w:p>
            <w:r>
              <w:rPr>
                <w:b w:val="false"/>
                <w:bCs w:val="false"/>
                <w:sz w:val="18"/>
                <w:szCs w:val="18"/>
              </w:rPr>
              <w:t xml:space="preserve">168</w:t>
            </w:r>
          </w:p>
        </w:tc>
        <w:tc>
          <w:tcPr>
            <w:tcW w:type="dxa" w:w="1100"/>
            <w:tcMar>
              <w:top w:type="dxa" w:w="60"/>
              <w:left w:type="dxa" w:w="90"/>
              <w:bottom w:type="dxa" w:w="60"/>
              <w:right w:type="dxa" w:w="90"/>
            </w:tcMar>
            <w:vAlign w:val="center"/>
          </w:tcPr>
          <w:p>
            <w:r>
              <w:rPr>
                <w:b w:val="false"/>
                <w:bCs w:val="false"/>
                <w:sz w:val="18"/>
                <w:szCs w:val="18"/>
              </w:rPr>
              <w:t xml:space="preserve">11.83%</w:t>
            </w:r>
          </w:p>
        </w:tc>
        <w:tc>
          <w:tcPr>
            <w:tcW w:type="dxa" w:w="1000"/>
            <w:tcMar>
              <w:top w:type="dxa" w:w="60"/>
              <w:left w:type="dxa" w:w="90"/>
              <w:bottom w:type="dxa" w:w="60"/>
              <w:right w:type="dxa" w:w="90"/>
            </w:tcMar>
            <w:vAlign w:val="center"/>
          </w:tcPr>
          <w:p>
            <w:r>
              <w:rPr>
                <w:b w:val="false"/>
                <w:bCs w:val="false"/>
                <w:sz w:val="18"/>
                <w:szCs w:val="18"/>
              </w:rPr>
              <w:t xml:space="preserve">17</w:t>
            </w:r>
          </w:p>
        </w:tc>
      </w:tr>
      <w:tr>
        <w:trPr>
          <w:cantSplit/>
        </w:trPr>
        <w:tc>
          <w:tcPr>
            <w:tcW w:type="dxa" w:w="500"/>
            <w:tcMar>
              <w:top w:type="dxa" w:w="60"/>
              <w:left w:type="dxa" w:w="90"/>
              <w:bottom w:type="dxa" w:w="60"/>
              <w:right w:type="dxa" w:w="90"/>
            </w:tcMar>
            <w:vAlign w:val="center"/>
          </w:tcPr>
          <w:p>
            <w:r>
              <w:rPr>
                <w:b w:val="false"/>
                <w:bCs w:val="false"/>
                <w:sz w:val="18"/>
                <w:szCs w:val="18"/>
              </w:rPr>
              <w:t xml:space="preserve">3</w:t>
            </w:r>
          </w:p>
        </w:tc>
        <w:tc>
          <w:tcPr>
            <w:tcW w:type="dxa" w:w="5300"/>
            <w:tcMar>
              <w:top w:type="dxa" w:w="60"/>
              <w:left w:type="dxa" w:w="90"/>
              <w:bottom w:type="dxa" w:w="60"/>
              <w:right w:type="dxa" w:w="90"/>
            </w:tcMar>
            <w:vAlign w:val="center"/>
          </w:tcPr>
          <w:p>
            <w:r>
              <w:rPr>
                <w:b w:val="false"/>
                <w:bCs w:val="false"/>
                <w:sz w:val="18"/>
                <w:szCs w:val="18"/>
              </w:rPr>
              <w:t xml:space="preserve">The Humanist Academy (Dallas/Fort Worth Area) — Irving, Texas</w:t>
            </w:r>
          </w:p>
        </w:tc>
        <w:tc>
          <w:tcPr>
            <w:tcW w:type="dxa" w:w="1100"/>
            <w:tcMar>
              <w:top w:type="dxa" w:w="60"/>
              <w:left w:type="dxa" w:w="90"/>
              <w:bottom w:type="dxa" w:w="60"/>
              <w:right w:type="dxa" w:w="90"/>
            </w:tcMar>
            <w:vAlign w:val="center"/>
          </w:tcPr>
          <w:p>
            <w:r>
              <w:rPr>
                <w:b w:val="false"/>
                <w:bCs w:val="false"/>
                <w:sz w:val="18"/>
                <w:szCs w:val="18"/>
              </w:rPr>
              <w:t xml:space="preserve">168</w:t>
            </w:r>
          </w:p>
        </w:tc>
        <w:tc>
          <w:tcPr>
            <w:tcW w:type="dxa" w:w="1100"/>
            <w:tcMar>
              <w:top w:type="dxa" w:w="60"/>
              <w:left w:type="dxa" w:w="90"/>
              <w:bottom w:type="dxa" w:w="60"/>
              <w:right w:type="dxa" w:w="90"/>
            </w:tcMar>
            <w:vAlign w:val="center"/>
          </w:tcPr>
          <w:p>
            <w:r>
              <w:rPr>
                <w:b w:val="false"/>
                <w:bCs w:val="false"/>
                <w:sz w:val="18"/>
                <w:szCs w:val="18"/>
              </w:rPr>
              <w:t xml:space="preserve">11.83%</w:t>
            </w:r>
          </w:p>
        </w:tc>
        <w:tc>
          <w:tcPr>
            <w:tcW w:type="dxa" w:w="1000"/>
            <w:tcMar>
              <w:top w:type="dxa" w:w="60"/>
              <w:left w:type="dxa" w:w="90"/>
              <w:bottom w:type="dxa" w:w="60"/>
              <w:right w:type="dxa" w:w="90"/>
            </w:tcMar>
            <w:vAlign w:val="center"/>
          </w:tcPr>
          <w:p>
            <w:r>
              <w:rPr>
                <w:b w:val="false"/>
                <w:bCs w:val="false"/>
                <w:sz w:val="18"/>
                <w:szCs w:val="18"/>
              </w:rPr>
              <w:t xml:space="preserve">17</w:t>
            </w:r>
          </w:p>
        </w:tc>
      </w:tr>
      <w:tr>
        <w:trPr>
          <w:cantSplit/>
        </w:trPr>
        <w:tc>
          <w:tcPr>
            <w:tcW w:type="dxa" w:w="500"/>
            <w:tcMar>
              <w:top w:type="dxa" w:w="60"/>
              <w:left w:type="dxa" w:w="90"/>
              <w:bottom w:type="dxa" w:w="60"/>
              <w:right w:type="dxa" w:w="90"/>
            </w:tcMar>
            <w:vAlign w:val="center"/>
          </w:tcPr>
          <w:p>
            <w:r>
              <w:rPr>
                <w:b w:val="false"/>
                <w:bCs w:val="false"/>
                <w:sz w:val="18"/>
                <w:szCs w:val="18"/>
              </w:rPr>
              <w:t xml:space="preserve">4</w:t>
            </w:r>
          </w:p>
        </w:tc>
        <w:tc>
          <w:tcPr>
            <w:tcW w:type="dxa" w:w="5300"/>
            <w:tcMar>
              <w:top w:type="dxa" w:w="60"/>
              <w:left w:type="dxa" w:w="90"/>
              <w:bottom w:type="dxa" w:w="60"/>
              <w:right w:type="dxa" w:w="90"/>
            </w:tcMar>
            <w:vAlign w:val="center"/>
          </w:tcPr>
          <w:p>
            <w:r>
              <w:rPr>
                <w:b w:val="false"/>
                <w:bCs w:val="false"/>
                <w:sz w:val="18"/>
                <w:szCs w:val="18"/>
              </w:rPr>
              <w:t xml:space="preserve">Acton Academy West Austin — Austin, Texas</w:t>
            </w:r>
          </w:p>
        </w:tc>
        <w:tc>
          <w:tcPr>
            <w:tcW w:type="dxa" w:w="1100"/>
            <w:tcMar>
              <w:top w:type="dxa" w:w="60"/>
              <w:left w:type="dxa" w:w="90"/>
              <w:bottom w:type="dxa" w:w="60"/>
              <w:right w:type="dxa" w:w="90"/>
            </w:tcMar>
            <w:vAlign w:val="center"/>
          </w:tcPr>
          <w:p>
            <w:r>
              <w:rPr>
                <w:b w:val="false"/>
                <w:bCs w:val="false"/>
                <w:sz w:val="18"/>
                <w:szCs w:val="18"/>
              </w:rPr>
              <w:t xml:space="preserve">108</w:t>
            </w:r>
          </w:p>
        </w:tc>
        <w:tc>
          <w:tcPr>
            <w:tcW w:type="dxa" w:w="1100"/>
            <w:tcMar>
              <w:top w:type="dxa" w:w="60"/>
              <w:left w:type="dxa" w:w="90"/>
              <w:bottom w:type="dxa" w:w="60"/>
              <w:right w:type="dxa" w:w="90"/>
            </w:tcMar>
            <w:vAlign w:val="center"/>
          </w:tcPr>
          <w:p>
            <w:r>
              <w:rPr>
                <w:b w:val="false"/>
                <w:bCs w:val="false"/>
                <w:sz w:val="18"/>
                <w:szCs w:val="18"/>
              </w:rPr>
              <w:t xml:space="preserve">7.61%</w:t>
            </w:r>
          </w:p>
        </w:tc>
        <w:tc>
          <w:tcPr>
            <w:tcW w:type="dxa" w:w="1000"/>
            <w:tcMar>
              <w:top w:type="dxa" w:w="60"/>
              <w:left w:type="dxa" w:w="90"/>
              <w:bottom w:type="dxa" w:w="60"/>
              <w:right w:type="dxa" w:w="90"/>
            </w:tcMar>
            <w:vAlign w:val="center"/>
          </w:tcPr>
          <w:p>
            <w:r>
              <w:rPr>
                <w:b w:val="false"/>
                <w:bCs w:val="false"/>
                <w:sz w:val="18"/>
                <w:szCs w:val="18"/>
              </w:rPr>
              <w:t xml:space="preserve">11</w:t>
            </w:r>
          </w:p>
        </w:tc>
      </w:tr>
      <w:tr>
        <w:trPr>
          <w:cantSplit/>
        </w:trPr>
        <w:tc>
          <w:tcPr>
            <w:tcW w:type="dxa" w:w="500"/>
            <w:tcMar>
              <w:top w:type="dxa" w:w="60"/>
              <w:left w:type="dxa" w:w="90"/>
              <w:bottom w:type="dxa" w:w="60"/>
              <w:right w:type="dxa" w:w="90"/>
            </w:tcMar>
            <w:vAlign w:val="center"/>
          </w:tcPr>
          <w:p>
            <w:r>
              <w:rPr>
                <w:b w:val="false"/>
                <w:bCs w:val="false"/>
                <w:sz w:val="18"/>
                <w:szCs w:val="18"/>
              </w:rPr>
              <w:t xml:space="preserve">5</w:t>
            </w:r>
          </w:p>
        </w:tc>
        <w:tc>
          <w:tcPr>
            <w:tcW w:type="dxa" w:w="5300"/>
            <w:tcMar>
              <w:top w:type="dxa" w:w="60"/>
              <w:left w:type="dxa" w:w="90"/>
              <w:bottom w:type="dxa" w:w="60"/>
              <w:right w:type="dxa" w:w="90"/>
            </w:tcMar>
            <w:vAlign w:val="center"/>
          </w:tcPr>
          <w:p>
            <w:r>
              <w:rPr>
                <w:b w:val="false"/>
                <w:bCs w:val="false"/>
                <w:sz w:val="18"/>
                <w:szCs w:val="18"/>
              </w:rPr>
              <w:t xml:space="preserve">Wonder — Wichita, Kansas</w:t>
            </w:r>
          </w:p>
        </w:tc>
        <w:tc>
          <w:tcPr>
            <w:tcW w:type="dxa" w:w="1100"/>
            <w:tcMar>
              <w:top w:type="dxa" w:w="60"/>
              <w:left w:type="dxa" w:w="90"/>
              <w:bottom w:type="dxa" w:w="60"/>
              <w:right w:type="dxa" w:w="90"/>
            </w:tcMar>
            <w:vAlign w:val="center"/>
          </w:tcPr>
          <w:p>
            <w:r>
              <w:rPr>
                <w:b w:val="false"/>
                <w:bCs w:val="false"/>
                <w:sz w:val="18"/>
                <w:szCs w:val="18"/>
              </w:rPr>
              <w:t xml:space="preserve">60</w:t>
            </w:r>
          </w:p>
        </w:tc>
        <w:tc>
          <w:tcPr>
            <w:tcW w:type="dxa" w:w="1100"/>
            <w:tcMar>
              <w:top w:type="dxa" w:w="60"/>
              <w:left w:type="dxa" w:w="90"/>
              <w:bottom w:type="dxa" w:w="60"/>
              <w:right w:type="dxa" w:w="90"/>
            </w:tcMar>
            <w:vAlign w:val="center"/>
          </w:tcPr>
          <w:p>
            <w:r>
              <w:rPr>
                <w:b w:val="false"/>
                <w:bCs w:val="false"/>
                <w:sz w:val="18"/>
                <w:szCs w:val="18"/>
              </w:rPr>
              <w:t xml:space="preserve">4.23%</w:t>
            </w:r>
          </w:p>
        </w:tc>
        <w:tc>
          <w:tcPr>
            <w:tcW w:type="dxa" w:w="1000"/>
            <w:tcMar>
              <w:top w:type="dxa" w:w="60"/>
              <w:left w:type="dxa" w:w="90"/>
              <w:bottom w:type="dxa" w:w="60"/>
              <w:right w:type="dxa" w:w="90"/>
            </w:tcMar>
            <w:vAlign w:val="center"/>
          </w:tcPr>
          <w:p>
            <w:r>
              <w:rPr>
                <w:b w:val="false"/>
                <w:bCs w:val="false"/>
                <w:sz w:val="18"/>
                <w:szCs w:val="18"/>
              </w:rPr>
              <w:t xml:space="preserve">6</w:t>
            </w:r>
          </w:p>
        </w:tc>
      </w:tr>
      <w:tr>
        <w:trPr>
          <w:cantSplit/>
        </w:trPr>
        <w:tc>
          <w:tcPr>
            <w:tcW w:type="dxa" w:w="500"/>
            <w:tcMar>
              <w:top w:type="dxa" w:w="60"/>
              <w:left w:type="dxa" w:w="90"/>
              <w:bottom w:type="dxa" w:w="60"/>
              <w:right w:type="dxa" w:w="90"/>
            </w:tcMar>
            <w:vAlign w:val="center"/>
          </w:tcPr>
          <w:p>
            <w:r>
              <w:rPr>
                <w:b w:val="false"/>
                <w:bCs w:val="false"/>
                <w:sz w:val="18"/>
                <w:szCs w:val="18"/>
              </w:rPr>
              <w:t xml:space="preserve">6</w:t>
            </w:r>
          </w:p>
        </w:tc>
        <w:tc>
          <w:tcPr>
            <w:tcW w:type="dxa" w:w="5300"/>
            <w:tcMar>
              <w:top w:type="dxa" w:w="60"/>
              <w:left w:type="dxa" w:w="90"/>
              <w:bottom w:type="dxa" w:w="60"/>
              <w:right w:type="dxa" w:w="90"/>
            </w:tcMar>
            <w:vAlign w:val="center"/>
          </w:tcPr>
          <w:p>
            <w:r>
              <w:rPr>
                <w:b w:val="false"/>
                <w:bCs w:val="false"/>
                <w:sz w:val="18"/>
                <w:szCs w:val="18"/>
              </w:rPr>
              <w:t xml:space="preserve">Acton Academy Honduras — Tegucigalpa, Honduras</w:t>
            </w:r>
          </w:p>
        </w:tc>
        <w:tc>
          <w:tcPr>
            <w:tcW w:type="dxa" w:w="1100"/>
            <w:tcMar>
              <w:top w:type="dxa" w:w="60"/>
              <w:left w:type="dxa" w:w="90"/>
              <w:bottom w:type="dxa" w:w="60"/>
              <w:right w:type="dxa" w:w="90"/>
            </w:tcMar>
            <w:vAlign w:val="center"/>
          </w:tcPr>
          <w:p>
            <w:r>
              <w:rPr>
                <w:b w:val="false"/>
                <w:bCs w:val="false"/>
                <w:sz w:val="18"/>
                <w:szCs w:val="18"/>
              </w:rPr>
              <w:t xml:space="preserve">60</w:t>
            </w:r>
          </w:p>
        </w:tc>
        <w:tc>
          <w:tcPr>
            <w:tcW w:type="dxa" w:w="1100"/>
            <w:tcMar>
              <w:top w:type="dxa" w:w="60"/>
              <w:left w:type="dxa" w:w="90"/>
              <w:bottom w:type="dxa" w:w="60"/>
              <w:right w:type="dxa" w:w="90"/>
            </w:tcMar>
            <w:vAlign w:val="center"/>
          </w:tcPr>
          <w:p>
            <w:r>
              <w:rPr>
                <w:b w:val="false"/>
                <w:bCs w:val="false"/>
                <w:sz w:val="18"/>
                <w:szCs w:val="18"/>
              </w:rPr>
              <w:t xml:space="preserve">4.23%</w:t>
            </w:r>
          </w:p>
        </w:tc>
        <w:tc>
          <w:tcPr>
            <w:tcW w:type="dxa" w:w="1000"/>
            <w:tcMar>
              <w:top w:type="dxa" w:w="60"/>
              <w:left w:type="dxa" w:w="90"/>
              <w:bottom w:type="dxa" w:w="60"/>
              <w:right w:type="dxa" w:w="90"/>
            </w:tcMar>
            <w:vAlign w:val="center"/>
          </w:tcPr>
          <w:p>
            <w:r>
              <w:rPr>
                <w:b w:val="false"/>
                <w:bCs w:val="false"/>
                <w:sz w:val="18"/>
                <w:szCs w:val="18"/>
              </w:rPr>
              <w:t xml:space="preserve">6</w:t>
            </w:r>
          </w:p>
        </w:tc>
      </w:tr>
      <w:tr>
        <w:trPr>
          <w:cantSplit/>
        </w:trPr>
        <w:tc>
          <w:tcPr>
            <w:tcW w:type="dxa" w:w="500"/>
            <w:tcMar>
              <w:top w:type="dxa" w:w="60"/>
              <w:left w:type="dxa" w:w="90"/>
              <w:bottom w:type="dxa" w:w="60"/>
              <w:right w:type="dxa" w:w="90"/>
            </w:tcMar>
            <w:vAlign w:val="center"/>
          </w:tcPr>
          <w:p>
            <w:r>
              <w:rPr>
                <w:b w:val="false"/>
                <w:bCs w:val="false"/>
                <w:sz w:val="18"/>
                <w:szCs w:val="18"/>
              </w:rPr>
              <w:t xml:space="preserve">7</w:t>
            </w:r>
          </w:p>
        </w:tc>
        <w:tc>
          <w:tcPr>
            <w:tcW w:type="dxa" w:w="5300"/>
            <w:tcMar>
              <w:top w:type="dxa" w:w="60"/>
              <w:left w:type="dxa" w:w="90"/>
              <w:bottom w:type="dxa" w:w="60"/>
              <w:right w:type="dxa" w:w="90"/>
            </w:tcMar>
            <w:vAlign w:val="center"/>
          </w:tcPr>
          <w:p>
            <w:r>
              <w:rPr>
                <w:b w:val="false"/>
                <w:bCs w:val="false"/>
                <w:sz w:val="18"/>
                <w:szCs w:val="18"/>
              </w:rPr>
              <w:t xml:space="preserve">Journey Academy — Grand Rapids, Michigan</w:t>
            </w:r>
          </w:p>
        </w:tc>
        <w:tc>
          <w:tcPr>
            <w:tcW w:type="dxa" w:w="1100"/>
            <w:tcMar>
              <w:top w:type="dxa" w:w="60"/>
              <w:left w:type="dxa" w:w="90"/>
              <w:bottom w:type="dxa" w:w="60"/>
              <w:right w:type="dxa" w:w="90"/>
            </w:tcMar>
            <w:vAlign w:val="center"/>
          </w:tcPr>
          <w:p>
            <w:r>
              <w:rPr>
                <w:b w:val="false"/>
                <w:bCs w:val="false"/>
                <w:sz w:val="18"/>
                <w:szCs w:val="18"/>
              </w:rPr>
              <w:t xml:space="preserve">60</w:t>
            </w:r>
          </w:p>
        </w:tc>
        <w:tc>
          <w:tcPr>
            <w:tcW w:type="dxa" w:w="1100"/>
            <w:tcMar>
              <w:top w:type="dxa" w:w="60"/>
              <w:left w:type="dxa" w:w="90"/>
              <w:bottom w:type="dxa" w:w="60"/>
              <w:right w:type="dxa" w:w="90"/>
            </w:tcMar>
            <w:vAlign w:val="center"/>
          </w:tcPr>
          <w:p>
            <w:r>
              <w:rPr>
                <w:b w:val="false"/>
                <w:bCs w:val="false"/>
                <w:sz w:val="18"/>
                <w:szCs w:val="18"/>
              </w:rPr>
              <w:t xml:space="preserve">4.23%</w:t>
            </w:r>
          </w:p>
        </w:tc>
        <w:tc>
          <w:tcPr>
            <w:tcW w:type="dxa" w:w="1000"/>
            <w:tcMar>
              <w:top w:type="dxa" w:w="60"/>
              <w:left w:type="dxa" w:w="90"/>
              <w:bottom w:type="dxa" w:w="60"/>
              <w:right w:type="dxa" w:w="90"/>
            </w:tcMar>
            <w:vAlign w:val="center"/>
          </w:tcPr>
          <w:p>
            <w:r>
              <w:rPr>
                <w:b w:val="false"/>
                <w:bCs w:val="false"/>
                <w:sz w:val="18"/>
                <w:szCs w:val="18"/>
              </w:rPr>
              <w:t xml:space="preserve">6</w:t>
            </w:r>
          </w:p>
        </w:tc>
      </w:tr>
      <w:tr>
        <w:trPr>
          <w:cantSplit/>
        </w:trPr>
        <w:tc>
          <w:tcPr>
            <w:tcW w:type="dxa" w:w="500"/>
            <w:tcMar>
              <w:top w:type="dxa" w:w="60"/>
              <w:left w:type="dxa" w:w="90"/>
              <w:bottom w:type="dxa" w:w="60"/>
              <w:right w:type="dxa" w:w="90"/>
            </w:tcMar>
            <w:vAlign w:val="center"/>
          </w:tcPr>
          <w:p>
            <w:r>
              <w:rPr>
                <w:b w:val="false"/>
                <w:bCs w:val="false"/>
                <w:sz w:val="18"/>
                <w:szCs w:val="18"/>
              </w:rPr>
              <w:t xml:space="preserve">8</w:t>
            </w:r>
          </w:p>
        </w:tc>
        <w:tc>
          <w:tcPr>
            <w:tcW w:type="dxa" w:w="5300"/>
            <w:tcMar>
              <w:top w:type="dxa" w:w="60"/>
              <w:left w:type="dxa" w:w="90"/>
              <w:bottom w:type="dxa" w:w="60"/>
              <w:right w:type="dxa" w:w="90"/>
            </w:tcMar>
            <w:vAlign w:val="center"/>
          </w:tcPr>
          <w:p>
            <w:r>
              <w:rPr>
                <w:b w:val="false"/>
                <w:bCs w:val="false"/>
                <w:sz w:val="18"/>
                <w:szCs w:val="18"/>
              </w:rPr>
              <w:t xml:space="preserve">Acton Academy Guatemala — Guatemala City, Guatemala</w:t>
            </w:r>
          </w:p>
        </w:tc>
        <w:tc>
          <w:tcPr>
            <w:tcW w:type="dxa" w:w="1100"/>
            <w:tcMar>
              <w:top w:type="dxa" w:w="60"/>
              <w:left w:type="dxa" w:w="90"/>
              <w:bottom w:type="dxa" w:w="60"/>
              <w:right w:type="dxa" w:w="90"/>
            </w:tcMar>
            <w:vAlign w:val="center"/>
          </w:tcPr>
          <w:p>
            <w:r>
              <w:rPr>
                <w:b w:val="false"/>
                <w:bCs w:val="false"/>
                <w:sz w:val="18"/>
                <w:szCs w:val="18"/>
              </w:rPr>
              <w:t xml:space="preserve">60</w:t>
            </w:r>
          </w:p>
        </w:tc>
        <w:tc>
          <w:tcPr>
            <w:tcW w:type="dxa" w:w="1100"/>
            <w:tcMar>
              <w:top w:type="dxa" w:w="60"/>
              <w:left w:type="dxa" w:w="90"/>
              <w:bottom w:type="dxa" w:w="60"/>
              <w:right w:type="dxa" w:w="90"/>
            </w:tcMar>
            <w:vAlign w:val="center"/>
          </w:tcPr>
          <w:p>
            <w:r>
              <w:rPr>
                <w:b w:val="false"/>
                <w:bCs w:val="false"/>
                <w:sz w:val="18"/>
                <w:szCs w:val="18"/>
              </w:rPr>
              <w:t xml:space="preserve">4.23%</w:t>
            </w:r>
          </w:p>
        </w:tc>
        <w:tc>
          <w:tcPr>
            <w:tcW w:type="dxa" w:w="1000"/>
            <w:tcMar>
              <w:top w:type="dxa" w:w="60"/>
              <w:left w:type="dxa" w:w="90"/>
              <w:bottom w:type="dxa" w:w="60"/>
              <w:right w:type="dxa" w:w="90"/>
            </w:tcMar>
            <w:vAlign w:val="center"/>
          </w:tcPr>
          <w:p>
            <w:r>
              <w:rPr>
                <w:b w:val="false"/>
                <w:bCs w:val="false"/>
                <w:sz w:val="18"/>
                <w:szCs w:val="18"/>
              </w:rPr>
              <w:t xml:space="preserve">6</w:t>
            </w:r>
          </w:p>
        </w:tc>
      </w:tr>
      <w:tr>
        <w:trPr>
          <w:cantSplit/>
        </w:trPr>
        <w:tc>
          <w:tcPr>
            <w:tcW w:type="dxa" w:w="500"/>
            <w:tcMar>
              <w:top w:type="dxa" w:w="60"/>
              <w:left w:type="dxa" w:w="90"/>
              <w:bottom w:type="dxa" w:w="60"/>
              <w:right w:type="dxa" w:w="90"/>
            </w:tcMar>
            <w:vAlign w:val="center"/>
          </w:tcPr>
          <w:p>
            <w:r>
              <w:rPr>
                <w:b w:val="false"/>
                <w:bCs w:val="false"/>
                <w:sz w:val="18"/>
                <w:szCs w:val="18"/>
              </w:rPr>
              <w:t xml:space="preserve">9</w:t>
            </w:r>
          </w:p>
        </w:tc>
        <w:tc>
          <w:tcPr>
            <w:tcW w:type="dxa" w:w="5300"/>
            <w:tcMar>
              <w:top w:type="dxa" w:w="60"/>
              <w:left w:type="dxa" w:w="90"/>
              <w:bottom w:type="dxa" w:w="60"/>
              <w:right w:type="dxa" w:w="90"/>
            </w:tcMar>
            <w:vAlign w:val="center"/>
          </w:tcPr>
          <w:p>
            <w:r>
              <w:rPr>
                <w:b w:val="false"/>
                <w:bCs w:val="false"/>
                <w:sz w:val="18"/>
                <w:szCs w:val="18"/>
              </w:rPr>
              <w:t xml:space="preserve">Acton Woodlands — Houston, Texas</w:t>
            </w:r>
          </w:p>
        </w:tc>
        <w:tc>
          <w:tcPr>
            <w:tcW w:type="dxa" w:w="1100"/>
            <w:tcMar>
              <w:top w:type="dxa" w:w="60"/>
              <w:left w:type="dxa" w:w="90"/>
              <w:bottom w:type="dxa" w:w="60"/>
              <w:right w:type="dxa" w:w="90"/>
            </w:tcMar>
            <w:vAlign w:val="center"/>
          </w:tcPr>
          <w:p>
            <w:r>
              <w:rPr>
                <w:b w:val="false"/>
                <w:bCs w:val="false"/>
                <w:sz w:val="18"/>
                <w:szCs w:val="18"/>
              </w:rPr>
              <w:t xml:space="preserve">28</w:t>
            </w:r>
          </w:p>
        </w:tc>
        <w:tc>
          <w:tcPr>
            <w:tcW w:type="dxa" w:w="1100"/>
            <w:tcMar>
              <w:top w:type="dxa" w:w="60"/>
              <w:left w:type="dxa" w:w="90"/>
              <w:bottom w:type="dxa" w:w="60"/>
              <w:right w:type="dxa" w:w="90"/>
            </w:tcMar>
            <w:vAlign w:val="center"/>
          </w:tcPr>
          <w:p>
            <w:r>
              <w:rPr>
                <w:b w:val="false"/>
                <w:bCs w:val="false"/>
                <w:sz w:val="18"/>
                <w:szCs w:val="18"/>
              </w:rPr>
              <w:t xml:space="preserve">1.97%</w:t>
            </w:r>
          </w:p>
        </w:tc>
        <w:tc>
          <w:tcPr>
            <w:tcW w:type="dxa" w:w="1000"/>
            <w:tcMar>
              <w:top w:type="dxa" w:w="60"/>
              <w:left w:type="dxa" w:w="90"/>
              <w:bottom w:type="dxa" w:w="60"/>
              <w:right w:type="dxa" w:w="90"/>
            </w:tcMar>
            <w:vAlign w:val="center"/>
          </w:tcPr>
          <w:p>
            <w:r>
              <w:rPr>
                <w:b w:val="false"/>
                <w:bCs w:val="false"/>
                <w:sz w:val="18"/>
                <w:szCs w:val="18"/>
              </w:rPr>
              <w:t xml:space="preserve">3</w:t>
            </w:r>
          </w:p>
        </w:tc>
      </w:tr>
      <w:tr>
        <w:trPr>
          <w:cantSplit/>
        </w:trPr>
        <w:tc>
          <w:tcPr>
            <w:tcW w:type="dxa" w:w="500"/>
            <w:tcMar>
              <w:top w:type="dxa" w:w="60"/>
              <w:left w:type="dxa" w:w="90"/>
              <w:bottom w:type="dxa" w:w="60"/>
              <w:right w:type="dxa" w:w="90"/>
            </w:tcMar>
            <w:vAlign w:val="center"/>
          </w:tcPr>
          <w:p>
            <w:r>
              <w:rPr>
                <w:b w:val="false"/>
                <w:bCs w:val="false"/>
                <w:sz w:val="18"/>
                <w:szCs w:val="18"/>
              </w:rPr>
              <w:t xml:space="preserve">10</w:t>
            </w:r>
          </w:p>
        </w:tc>
        <w:tc>
          <w:tcPr>
            <w:tcW w:type="dxa" w:w="5300"/>
            <w:tcMar>
              <w:top w:type="dxa" w:w="60"/>
              <w:left w:type="dxa" w:w="90"/>
              <w:bottom w:type="dxa" w:w="60"/>
              <w:right w:type="dxa" w:w="90"/>
            </w:tcMar>
            <w:vAlign w:val="center"/>
          </w:tcPr>
          <w:p>
            <w:r>
              <w:rPr>
                <w:b w:val="false"/>
                <w:bCs w:val="false"/>
                <w:sz w:val="18"/>
                <w:szCs w:val="18"/>
              </w:rPr>
              <w:t xml:space="preserve">Acton Academy San Juan — Gauynabo, Puerto Rico</w:t>
            </w:r>
          </w:p>
        </w:tc>
        <w:tc>
          <w:tcPr>
            <w:tcW w:type="dxa" w:w="1100"/>
            <w:tcMar>
              <w:top w:type="dxa" w:w="60"/>
              <w:left w:type="dxa" w:w="90"/>
              <w:bottom w:type="dxa" w:w="60"/>
              <w:right w:type="dxa" w:w="90"/>
            </w:tcMar>
            <w:vAlign w:val="center"/>
          </w:tcPr>
          <w:p>
            <w:r>
              <w:rPr>
                <w:b w:val="false"/>
                <w:bCs w:val="false"/>
                <w:sz w:val="18"/>
                <w:szCs w:val="18"/>
              </w:rPr>
              <w:t xml:space="preserve">24</w:t>
            </w:r>
          </w:p>
        </w:tc>
        <w:tc>
          <w:tcPr>
            <w:tcW w:type="dxa" w:w="1100"/>
            <w:tcMar>
              <w:top w:type="dxa" w:w="60"/>
              <w:left w:type="dxa" w:w="90"/>
              <w:bottom w:type="dxa" w:w="60"/>
              <w:right w:type="dxa" w:w="90"/>
            </w:tcMar>
            <w:vAlign w:val="center"/>
          </w:tcPr>
          <w:p>
            <w:r>
              <w:rPr>
                <w:b w:val="false"/>
                <w:bCs w:val="false"/>
                <w:sz w:val="18"/>
                <w:szCs w:val="18"/>
              </w:rPr>
              <w:t xml:space="preserve">1.69%</w:t>
            </w:r>
          </w:p>
        </w:tc>
        <w:tc>
          <w:tcPr>
            <w:tcW w:type="dxa" w:w="1000"/>
            <w:tcMar>
              <w:top w:type="dxa" w:w="60"/>
              <w:left w:type="dxa" w:w="90"/>
              <w:bottom w:type="dxa" w:w="60"/>
              <w:right w:type="dxa" w:w="90"/>
            </w:tcMar>
            <w:vAlign w:val="center"/>
          </w:tcPr>
          <w:p>
            <w:r>
              <w:rPr>
                <w:b w:val="false"/>
                <w:bCs w:val="false"/>
                <w:sz w:val="18"/>
                <w:szCs w:val="18"/>
              </w:rPr>
              <w:t xml:space="preserve">3</w:t>
            </w:r>
          </w:p>
        </w:tc>
      </w:tr>
      <w:tr>
        <w:trPr>
          <w:cantSplit/>
        </w:trPr>
        <w:tc>
          <w:tcPr>
            <w:tcW w:type="dxa" w:w="500"/>
            <w:tcMar>
              <w:top w:type="dxa" w:w="60"/>
              <w:left w:type="dxa" w:w="90"/>
              <w:bottom w:type="dxa" w:w="60"/>
              <w:right w:type="dxa" w:w="90"/>
            </w:tcMar>
            <w:vAlign w:val="center"/>
          </w:tcPr>
          <w:p>
            <w:r>
              <w:rPr>
                <w:b w:val="false"/>
                <w:bCs w:val="false"/>
                <w:sz w:val="18"/>
                <w:szCs w:val="18"/>
              </w:rPr>
              <w:t xml:space="preserve">11</w:t>
            </w:r>
          </w:p>
        </w:tc>
        <w:tc>
          <w:tcPr>
            <w:tcW w:type="dxa" w:w="5300"/>
            <w:tcMar>
              <w:top w:type="dxa" w:w="60"/>
              <w:left w:type="dxa" w:w="90"/>
              <w:bottom w:type="dxa" w:w="60"/>
              <w:right w:type="dxa" w:w="90"/>
            </w:tcMar>
            <w:vAlign w:val="center"/>
          </w:tcPr>
          <w:p>
            <w:r>
              <w:rPr>
                <w:b w:val="false"/>
                <w:bCs w:val="false"/>
                <w:sz w:val="18"/>
                <w:szCs w:val="18"/>
              </w:rPr>
              <w:t xml:space="preserve">Acton Academy Kingwood — Kingwood, Texas</w:t>
            </w:r>
          </w:p>
        </w:tc>
        <w:tc>
          <w:tcPr>
            <w:tcW w:type="dxa" w:w="1100"/>
            <w:tcMar>
              <w:top w:type="dxa" w:w="60"/>
              <w:left w:type="dxa" w:w="90"/>
              <w:bottom w:type="dxa" w:w="60"/>
              <w:right w:type="dxa" w:w="90"/>
            </w:tcMar>
            <w:vAlign w:val="center"/>
          </w:tcPr>
          <w:p>
            <w:r>
              <w:rPr>
                <w:b w:val="false"/>
                <w:bCs w:val="false"/>
                <w:sz w:val="18"/>
                <w:szCs w:val="18"/>
              </w:rPr>
              <w:t xml:space="preserve">24</w:t>
            </w:r>
          </w:p>
        </w:tc>
        <w:tc>
          <w:tcPr>
            <w:tcW w:type="dxa" w:w="1100"/>
            <w:tcMar>
              <w:top w:type="dxa" w:w="60"/>
              <w:left w:type="dxa" w:w="90"/>
              <w:bottom w:type="dxa" w:w="60"/>
              <w:right w:type="dxa" w:w="90"/>
            </w:tcMar>
            <w:vAlign w:val="center"/>
          </w:tcPr>
          <w:p>
            <w:r>
              <w:rPr>
                <w:b w:val="false"/>
                <w:bCs w:val="false"/>
                <w:sz w:val="18"/>
                <w:szCs w:val="18"/>
              </w:rPr>
              <w:t xml:space="preserve">1.69%</w:t>
            </w:r>
          </w:p>
        </w:tc>
        <w:tc>
          <w:tcPr>
            <w:tcW w:type="dxa" w:w="1000"/>
            <w:tcMar>
              <w:top w:type="dxa" w:w="60"/>
              <w:left w:type="dxa" w:w="90"/>
              <w:bottom w:type="dxa" w:w="60"/>
              <w:right w:type="dxa" w:w="90"/>
            </w:tcMar>
            <w:vAlign w:val="center"/>
          </w:tcPr>
          <w:p>
            <w:r>
              <w:rPr>
                <w:b w:val="false"/>
                <w:bCs w:val="false"/>
                <w:sz w:val="18"/>
                <w:szCs w:val="18"/>
              </w:rPr>
              <w:t xml:space="preserve">3</w:t>
            </w:r>
          </w:p>
        </w:tc>
      </w:tr>
      <w:tr>
        <w:trPr>
          <w:cantSplit/>
        </w:trPr>
        <w:tc>
          <w:tcPr>
            <w:tcW w:type="dxa" w:w="500"/>
            <w:tcMar>
              <w:top w:type="dxa" w:w="60"/>
              <w:left w:type="dxa" w:w="90"/>
              <w:bottom w:type="dxa" w:w="60"/>
              <w:right w:type="dxa" w:w="90"/>
            </w:tcMar>
            <w:vAlign w:val="center"/>
          </w:tcPr>
          <w:p>
            <w:r>
              <w:rPr>
                <w:b w:val="false"/>
                <w:bCs w:val="false"/>
                <w:sz w:val="18"/>
                <w:szCs w:val="18"/>
              </w:rPr>
              <w:t xml:space="preserve">12</w:t>
            </w:r>
          </w:p>
        </w:tc>
        <w:tc>
          <w:tcPr>
            <w:tcW w:type="dxa" w:w="5300"/>
            <w:tcMar>
              <w:top w:type="dxa" w:w="60"/>
              <w:left w:type="dxa" w:w="90"/>
              <w:bottom w:type="dxa" w:w="60"/>
              <w:right w:type="dxa" w:w="90"/>
            </w:tcMar>
            <w:vAlign w:val="center"/>
          </w:tcPr>
          <w:p>
            <w:r>
              <w:rPr>
                <w:b w:val="false"/>
                <w:bCs w:val="false"/>
                <w:sz w:val="18"/>
                <w:szCs w:val="18"/>
              </w:rPr>
              <w:t xml:space="preserve">Acton Academy Hampton Roads — Virginia Beach, Virginia</w:t>
            </w:r>
          </w:p>
        </w:tc>
        <w:tc>
          <w:tcPr>
            <w:tcW w:type="dxa" w:w="1100"/>
            <w:tcMar>
              <w:top w:type="dxa" w:w="60"/>
              <w:left w:type="dxa" w:w="90"/>
              <w:bottom w:type="dxa" w:w="60"/>
              <w:right w:type="dxa" w:w="90"/>
            </w:tcMar>
            <w:vAlign w:val="center"/>
          </w:tcPr>
          <w:p>
            <w:r>
              <w:rPr>
                <w:b w:val="false"/>
                <w:bCs w:val="false"/>
                <w:sz w:val="18"/>
                <w:szCs w:val="18"/>
              </w:rPr>
              <w:t xml:space="preserve">24</w:t>
            </w:r>
          </w:p>
        </w:tc>
        <w:tc>
          <w:tcPr>
            <w:tcW w:type="dxa" w:w="1100"/>
            <w:tcMar>
              <w:top w:type="dxa" w:w="60"/>
              <w:left w:type="dxa" w:w="90"/>
              <w:bottom w:type="dxa" w:w="60"/>
              <w:right w:type="dxa" w:w="90"/>
            </w:tcMar>
            <w:vAlign w:val="center"/>
          </w:tcPr>
          <w:p>
            <w:r>
              <w:rPr>
                <w:b w:val="false"/>
                <w:bCs w:val="false"/>
                <w:sz w:val="18"/>
                <w:szCs w:val="18"/>
              </w:rPr>
              <w:t xml:space="preserve">1.69%</w:t>
            </w:r>
          </w:p>
        </w:tc>
        <w:tc>
          <w:tcPr>
            <w:tcW w:type="dxa" w:w="1000"/>
            <w:tcMar>
              <w:top w:type="dxa" w:w="60"/>
              <w:left w:type="dxa" w:w="90"/>
              <w:bottom w:type="dxa" w:w="60"/>
              <w:right w:type="dxa" w:w="90"/>
            </w:tcMar>
            <w:vAlign w:val="center"/>
          </w:tcPr>
          <w:p>
            <w:r>
              <w:rPr>
                <w:b w:val="false"/>
                <w:bCs w:val="false"/>
                <w:sz w:val="18"/>
                <w:szCs w:val="18"/>
              </w:rPr>
              <w:t xml:space="preserve">3</w:t>
            </w:r>
          </w:p>
        </w:tc>
      </w:tr>
      <w:tr>
        <w:trPr>
          <w:cantSplit/>
        </w:trPr>
        <w:tc>
          <w:tcPr>
            <w:tcW w:type="dxa" w:w="500"/>
            <w:tcMar>
              <w:top w:type="dxa" w:w="60"/>
              <w:left w:type="dxa" w:w="90"/>
              <w:bottom w:type="dxa" w:w="60"/>
              <w:right w:type="dxa" w:w="90"/>
            </w:tcMar>
            <w:vAlign w:val="center"/>
          </w:tcPr>
          <w:p>
            <w:r>
              <w:rPr>
                <w:b w:val="false"/>
                <w:bCs w:val="false"/>
                <w:sz w:val="18"/>
                <w:szCs w:val="18"/>
              </w:rPr>
              <w:t xml:space="preserve">13</w:t>
            </w:r>
          </w:p>
        </w:tc>
        <w:tc>
          <w:tcPr>
            <w:tcW w:type="dxa" w:w="5300"/>
            <w:tcMar>
              <w:top w:type="dxa" w:w="60"/>
              <w:left w:type="dxa" w:w="90"/>
              <w:bottom w:type="dxa" w:w="60"/>
              <w:right w:type="dxa" w:w="90"/>
            </w:tcMar>
            <w:vAlign w:val="center"/>
          </w:tcPr>
          <w:p>
            <w:r>
              <w:rPr>
                <w:b w:val="false"/>
                <w:bCs w:val="false"/>
                <w:sz w:val="18"/>
                <w:szCs w:val="18"/>
              </w:rPr>
              <w:t xml:space="preserve">Lighthouse International: An Acton Academy (near St Charles) — Cottleville, Missouri</w:t>
            </w:r>
          </w:p>
        </w:tc>
        <w:tc>
          <w:tcPr>
            <w:tcW w:type="dxa" w:w="1100"/>
            <w:tcMar>
              <w:top w:type="dxa" w:w="60"/>
              <w:left w:type="dxa" w:w="90"/>
              <w:bottom w:type="dxa" w:w="60"/>
              <w:right w:type="dxa" w:w="90"/>
            </w:tcMar>
            <w:vAlign w:val="center"/>
          </w:tcPr>
          <w:p>
            <w:r>
              <w:rPr>
                <w:b w:val="false"/>
                <w:bCs w:val="false"/>
                <w:sz w:val="18"/>
                <w:szCs w:val="18"/>
              </w:rPr>
              <w:t xml:space="preserve">24</w:t>
            </w:r>
          </w:p>
        </w:tc>
        <w:tc>
          <w:tcPr>
            <w:tcW w:type="dxa" w:w="1100"/>
            <w:tcMar>
              <w:top w:type="dxa" w:w="60"/>
              <w:left w:type="dxa" w:w="90"/>
              <w:bottom w:type="dxa" w:w="60"/>
              <w:right w:type="dxa" w:w="90"/>
            </w:tcMar>
            <w:vAlign w:val="center"/>
          </w:tcPr>
          <w:p>
            <w:r>
              <w:rPr>
                <w:b w:val="false"/>
                <w:bCs w:val="false"/>
                <w:sz w:val="18"/>
                <w:szCs w:val="18"/>
              </w:rPr>
              <w:t xml:space="preserve">1.69%</w:t>
            </w:r>
          </w:p>
        </w:tc>
        <w:tc>
          <w:tcPr>
            <w:tcW w:type="dxa" w:w="1000"/>
            <w:tcMar>
              <w:top w:type="dxa" w:w="60"/>
              <w:left w:type="dxa" w:w="90"/>
              <w:bottom w:type="dxa" w:w="60"/>
              <w:right w:type="dxa" w:w="90"/>
            </w:tcMar>
            <w:vAlign w:val="center"/>
          </w:tcPr>
          <w:p>
            <w:r>
              <w:rPr>
                <w:b w:val="false"/>
                <w:bCs w:val="false"/>
                <w:sz w:val="18"/>
                <w:szCs w:val="18"/>
              </w:rPr>
              <w:t xml:space="preserve">3</w:t>
            </w:r>
          </w:p>
        </w:tc>
      </w:tr>
      <w:tr>
        <w:trPr>
          <w:cantSplit/>
        </w:trPr>
        <w:tc>
          <w:tcPr>
            <w:tcW w:type="dxa" w:w="500"/>
            <w:tcMar>
              <w:top w:type="dxa" w:w="60"/>
              <w:left w:type="dxa" w:w="90"/>
              <w:bottom w:type="dxa" w:w="60"/>
              <w:right w:type="dxa" w:w="90"/>
            </w:tcMar>
            <w:vAlign w:val="center"/>
          </w:tcPr>
          <w:p>
            <w:r>
              <w:rPr>
                <w:b w:val="false"/>
                <w:bCs w:val="false"/>
                <w:sz w:val="18"/>
                <w:szCs w:val="18"/>
              </w:rPr>
              <w:t xml:space="preserve">14</w:t>
            </w:r>
          </w:p>
        </w:tc>
        <w:tc>
          <w:tcPr>
            <w:tcW w:type="dxa" w:w="5300"/>
            <w:tcMar>
              <w:top w:type="dxa" w:w="60"/>
              <w:left w:type="dxa" w:w="90"/>
              <w:bottom w:type="dxa" w:w="60"/>
              <w:right w:type="dxa" w:w="90"/>
            </w:tcMar>
            <w:vAlign w:val="center"/>
          </w:tcPr>
          <w:p>
            <w:r>
              <w:rPr>
                <w:b w:val="false"/>
                <w:bCs w:val="false"/>
                <w:sz w:val="18"/>
                <w:szCs w:val="18"/>
              </w:rPr>
              <w:t xml:space="preserve">Acton Academy Miami South — Miami, Florida</w:t>
            </w:r>
          </w:p>
        </w:tc>
        <w:tc>
          <w:tcPr>
            <w:tcW w:type="dxa" w:w="1100"/>
            <w:tcMar>
              <w:top w:type="dxa" w:w="60"/>
              <w:left w:type="dxa" w:w="90"/>
              <w:bottom w:type="dxa" w:w="60"/>
              <w:right w:type="dxa" w:w="90"/>
            </w:tcMar>
            <w:vAlign w:val="center"/>
          </w:tcPr>
          <w:p>
            <w:r>
              <w:rPr>
                <w:b w:val="false"/>
                <w:bCs w:val="false"/>
                <w:sz w:val="18"/>
                <w:szCs w:val="18"/>
              </w:rPr>
              <w:t xml:space="preserve">12</w:t>
            </w:r>
          </w:p>
        </w:tc>
        <w:tc>
          <w:tcPr>
            <w:tcW w:type="dxa" w:w="1100"/>
            <w:tcMar>
              <w:top w:type="dxa" w:w="60"/>
              <w:left w:type="dxa" w:w="90"/>
              <w:bottom w:type="dxa" w:w="60"/>
              <w:right w:type="dxa" w:w="90"/>
            </w:tcMar>
            <w:vAlign w:val="center"/>
          </w:tcPr>
          <w:p>
            <w:r>
              <w:rPr>
                <w:b w:val="false"/>
                <w:bCs w:val="false"/>
                <w:sz w:val="18"/>
                <w:szCs w:val="18"/>
              </w:rPr>
              <w:t xml:space="preserve">0.85%</w:t>
            </w:r>
          </w:p>
        </w:tc>
        <w:tc>
          <w:tcPr>
            <w:tcW w:type="dxa" w:w="1000"/>
            <w:tcMar>
              <w:top w:type="dxa" w:w="60"/>
              <w:left w:type="dxa" w:w="90"/>
              <w:bottom w:type="dxa" w:w="60"/>
              <w:right w:type="dxa" w:w="90"/>
            </w:tcMar>
            <w:vAlign w:val="center"/>
          </w:tcPr>
          <w:p>
            <w:r>
              <w:rPr>
                <w:b w:val="false"/>
                <w:bCs w:val="false"/>
                <w:sz w:val="18"/>
                <w:szCs w:val="18"/>
              </w:rPr>
              <w:t xml:space="preserve">2</w:t>
            </w:r>
          </w:p>
        </w:tc>
      </w:tr>
      <w:tr>
        <w:trPr>
          <w:cantSplit/>
        </w:trPr>
        <w:tc>
          <w:tcPr>
            <w:tcW w:type="dxa" w:w="500"/>
            <w:tcMar>
              <w:top w:type="dxa" w:w="60"/>
              <w:left w:type="dxa" w:w="90"/>
              <w:bottom w:type="dxa" w:w="60"/>
              <w:right w:type="dxa" w:w="90"/>
            </w:tcMar>
            <w:vAlign w:val="center"/>
          </w:tcPr>
          <w:p>
            <w:r>
              <w:rPr>
                <w:b w:val="false"/>
                <w:bCs w:val="false"/>
                <w:sz w:val="18"/>
                <w:szCs w:val="18"/>
              </w:rPr>
              <w:t xml:space="preserve">15</w:t>
            </w:r>
          </w:p>
        </w:tc>
        <w:tc>
          <w:tcPr>
            <w:tcW w:type="dxa" w:w="5300"/>
            <w:tcMar>
              <w:top w:type="dxa" w:w="60"/>
              <w:left w:type="dxa" w:w="90"/>
              <w:bottom w:type="dxa" w:w="60"/>
              <w:right w:type="dxa" w:w="90"/>
            </w:tcMar>
            <w:vAlign w:val="center"/>
          </w:tcPr>
          <w:p>
            <w:r>
              <w:rPr>
                <w:b w:val="false"/>
                <w:bCs w:val="false"/>
                <w:sz w:val="18"/>
                <w:szCs w:val="18"/>
              </w:rPr>
              <w:t xml:space="preserve">The Wilder School: An Acton Academy (North Boston Area) — Winchester, Massachusetts</w:t>
            </w:r>
          </w:p>
        </w:tc>
        <w:tc>
          <w:tcPr>
            <w:tcW w:type="dxa" w:w="1100"/>
            <w:tcMar>
              <w:top w:type="dxa" w:w="60"/>
              <w:left w:type="dxa" w:w="90"/>
              <w:bottom w:type="dxa" w:w="60"/>
              <w:right w:type="dxa" w:w="90"/>
            </w:tcMar>
            <w:vAlign w:val="center"/>
          </w:tcPr>
          <w:p>
            <w:r>
              <w:rPr>
                <w:b w:val="false"/>
                <w:bCs w:val="false"/>
                <w:sz w:val="18"/>
                <w:szCs w:val="18"/>
              </w:rPr>
              <w:t xml:space="preserve">12</w:t>
            </w:r>
          </w:p>
        </w:tc>
        <w:tc>
          <w:tcPr>
            <w:tcW w:type="dxa" w:w="1100"/>
            <w:tcMar>
              <w:top w:type="dxa" w:w="60"/>
              <w:left w:type="dxa" w:w="90"/>
              <w:bottom w:type="dxa" w:w="60"/>
              <w:right w:type="dxa" w:w="90"/>
            </w:tcMar>
            <w:vAlign w:val="center"/>
          </w:tcPr>
          <w:p>
            <w:r>
              <w:rPr>
                <w:b w:val="false"/>
                <w:bCs w:val="false"/>
                <w:sz w:val="18"/>
                <w:szCs w:val="18"/>
              </w:rPr>
              <w:t xml:space="preserve">0.85%</w:t>
            </w:r>
          </w:p>
        </w:tc>
        <w:tc>
          <w:tcPr>
            <w:tcW w:type="dxa" w:w="1000"/>
            <w:tcMar>
              <w:top w:type="dxa" w:w="60"/>
              <w:left w:type="dxa" w:w="90"/>
              <w:bottom w:type="dxa" w:w="60"/>
              <w:right w:type="dxa" w:w="90"/>
            </w:tcMar>
            <w:vAlign w:val="center"/>
          </w:tcPr>
          <w:p>
            <w:r>
              <w:rPr>
                <w:b w:val="false"/>
                <w:bCs w:val="false"/>
                <w:sz w:val="18"/>
                <w:szCs w:val="18"/>
              </w:rPr>
              <w:t xml:space="preserve">2</w:t>
            </w:r>
          </w:p>
        </w:tc>
      </w:tr>
      <w:tr>
        <w:trPr>
          <w:cantSplit/>
        </w:trPr>
        <w:tc>
          <w:tcPr>
            <w:tcW w:type="dxa" w:w="500"/>
            <w:tcMar>
              <w:top w:type="dxa" w:w="60"/>
              <w:left w:type="dxa" w:w="90"/>
              <w:bottom w:type="dxa" w:w="60"/>
              <w:right w:type="dxa" w:w="90"/>
            </w:tcMar>
            <w:vAlign w:val="center"/>
          </w:tcPr>
          <w:p>
            <w:r>
              <w:rPr>
                <w:b w:val="false"/>
                <w:bCs w:val="false"/>
                <w:sz w:val="18"/>
                <w:szCs w:val="18"/>
              </w:rPr>
              <w:t xml:space="preserve">16</w:t>
            </w:r>
          </w:p>
        </w:tc>
        <w:tc>
          <w:tcPr>
            <w:tcW w:type="dxa" w:w="5300"/>
            <w:tcMar>
              <w:top w:type="dxa" w:w="60"/>
              <w:left w:type="dxa" w:w="90"/>
              <w:bottom w:type="dxa" w:w="60"/>
              <w:right w:type="dxa" w:w="90"/>
            </w:tcMar>
            <w:vAlign w:val="center"/>
          </w:tcPr>
          <w:p>
            <w:r>
              <w:rPr>
                <w:b w:val="false"/>
                <w:bCs w:val="false"/>
                <w:sz w:val="18"/>
                <w:szCs w:val="18"/>
              </w:rPr>
              <w:t xml:space="preserve">Altus21: An Acton Academy — Ploiesti, Romania</w:t>
            </w:r>
          </w:p>
        </w:tc>
        <w:tc>
          <w:tcPr>
            <w:tcW w:type="dxa" w:w="1100"/>
            <w:tcMar>
              <w:top w:type="dxa" w:w="60"/>
              <w:left w:type="dxa" w:w="90"/>
              <w:bottom w:type="dxa" w:w="60"/>
              <w:right w:type="dxa" w:w="90"/>
            </w:tcMar>
            <w:vAlign w:val="center"/>
          </w:tcPr>
          <w:p>
            <w:r>
              <w:rPr>
                <w:b w:val="false"/>
                <w:bCs w:val="false"/>
                <w:sz w:val="18"/>
                <w:szCs w:val="18"/>
              </w:rPr>
              <w:t xml:space="preserve">12</w:t>
            </w:r>
          </w:p>
        </w:tc>
        <w:tc>
          <w:tcPr>
            <w:tcW w:type="dxa" w:w="1100"/>
            <w:tcMar>
              <w:top w:type="dxa" w:w="60"/>
              <w:left w:type="dxa" w:w="90"/>
              <w:bottom w:type="dxa" w:w="60"/>
              <w:right w:type="dxa" w:w="90"/>
            </w:tcMar>
            <w:vAlign w:val="center"/>
          </w:tcPr>
          <w:p>
            <w:r>
              <w:rPr>
                <w:b w:val="false"/>
                <w:bCs w:val="false"/>
                <w:sz w:val="18"/>
                <w:szCs w:val="18"/>
              </w:rPr>
              <w:t xml:space="preserve">0.85%</w:t>
            </w:r>
          </w:p>
        </w:tc>
        <w:tc>
          <w:tcPr>
            <w:tcW w:type="dxa" w:w="1000"/>
            <w:tcMar>
              <w:top w:type="dxa" w:w="60"/>
              <w:left w:type="dxa" w:w="90"/>
              <w:bottom w:type="dxa" w:w="60"/>
              <w:right w:type="dxa" w:w="90"/>
            </w:tcMar>
            <w:vAlign w:val="center"/>
          </w:tcPr>
          <w:p>
            <w:r>
              <w:rPr>
                <w:b w:val="false"/>
                <w:bCs w:val="false"/>
                <w:sz w:val="18"/>
                <w:szCs w:val="18"/>
              </w:rPr>
              <w:t xml:space="preserve">2</w:t>
            </w:r>
          </w:p>
        </w:tc>
      </w:tr>
      <w:tr>
        <w:trPr>
          <w:cantSplit/>
        </w:trPr>
        <w:tc>
          <w:tcPr>
            <w:tcW w:type="dxa" w:w="500"/>
            <w:tcMar>
              <w:top w:type="dxa" w:w="60"/>
              <w:left w:type="dxa" w:w="90"/>
              <w:bottom w:type="dxa" w:w="60"/>
              <w:right w:type="dxa" w:w="90"/>
            </w:tcMar>
            <w:vAlign w:val="center"/>
          </w:tcPr>
          <w:p>
            <w:r>
              <w:rPr>
                <w:b w:val="false"/>
                <w:bCs w:val="false"/>
                <w:sz w:val="18"/>
                <w:szCs w:val="18"/>
              </w:rPr>
              <w:t xml:space="preserve">17</w:t>
            </w:r>
          </w:p>
        </w:tc>
        <w:tc>
          <w:tcPr>
            <w:tcW w:type="dxa" w:w="5300"/>
            <w:tcMar>
              <w:top w:type="dxa" w:w="60"/>
              <w:left w:type="dxa" w:w="90"/>
              <w:bottom w:type="dxa" w:w="60"/>
              <w:right w:type="dxa" w:w="90"/>
            </w:tcMar>
            <w:vAlign w:val="center"/>
          </w:tcPr>
          <w:p>
            <w:r>
              <w:rPr>
                <w:b w:val="false"/>
                <w:bCs w:val="false"/>
                <w:sz w:val="18"/>
                <w:szCs w:val="18"/>
              </w:rPr>
              <w:t xml:space="preserve">Invictus: An Acton Academy — Leander, Texas</w:t>
            </w:r>
          </w:p>
        </w:tc>
        <w:tc>
          <w:tcPr>
            <w:tcW w:type="dxa" w:w="1100"/>
            <w:tcMar>
              <w:top w:type="dxa" w:w="60"/>
              <w:left w:type="dxa" w:w="90"/>
              <w:bottom w:type="dxa" w:w="60"/>
              <w:right w:type="dxa" w:w="90"/>
            </w:tcMar>
            <w:vAlign w:val="center"/>
          </w:tcPr>
          <w:p>
            <w:r>
              <w:rPr>
                <w:b w:val="false"/>
                <w:bCs w:val="false"/>
                <w:sz w:val="18"/>
                <w:szCs w:val="18"/>
              </w:rPr>
              <w:t xml:space="preserve">12</w:t>
            </w:r>
          </w:p>
        </w:tc>
        <w:tc>
          <w:tcPr>
            <w:tcW w:type="dxa" w:w="1100"/>
            <w:tcMar>
              <w:top w:type="dxa" w:w="60"/>
              <w:left w:type="dxa" w:w="90"/>
              <w:bottom w:type="dxa" w:w="60"/>
              <w:right w:type="dxa" w:w="90"/>
            </w:tcMar>
            <w:vAlign w:val="center"/>
          </w:tcPr>
          <w:p>
            <w:r>
              <w:rPr>
                <w:b w:val="false"/>
                <w:bCs w:val="false"/>
                <w:sz w:val="18"/>
                <w:szCs w:val="18"/>
              </w:rPr>
              <w:t xml:space="preserve">0.85%</w:t>
            </w:r>
          </w:p>
        </w:tc>
        <w:tc>
          <w:tcPr>
            <w:tcW w:type="dxa" w:w="1000"/>
            <w:tcMar>
              <w:top w:type="dxa" w:w="60"/>
              <w:left w:type="dxa" w:w="90"/>
              <w:bottom w:type="dxa" w:w="60"/>
              <w:right w:type="dxa" w:w="90"/>
            </w:tcMar>
            <w:vAlign w:val="center"/>
          </w:tcPr>
          <w:p>
            <w:r>
              <w:rPr>
                <w:b w:val="false"/>
                <w:bCs w:val="false"/>
                <w:sz w:val="18"/>
                <w:szCs w:val="18"/>
              </w:rPr>
              <w:t xml:space="preserve">2</w:t>
            </w:r>
          </w:p>
        </w:tc>
      </w:tr>
      <w:tr>
        <w:trPr>
          <w:cantSplit/>
        </w:trPr>
        <w:tc>
          <w:tcPr>
            <w:tcW w:type="dxa" w:w="500"/>
            <w:tcMar>
              <w:top w:type="dxa" w:w="60"/>
              <w:left w:type="dxa" w:w="90"/>
              <w:bottom w:type="dxa" w:w="60"/>
              <w:right w:type="dxa" w:w="90"/>
            </w:tcMar>
            <w:vAlign w:val="center"/>
          </w:tcPr>
          <w:p>
            <w:r>
              <w:rPr>
                <w:b w:val="false"/>
                <w:bCs w:val="false"/>
                <w:sz w:val="18"/>
                <w:szCs w:val="18"/>
              </w:rPr>
              <w:t xml:space="preserve">18</w:t>
            </w:r>
          </w:p>
        </w:tc>
        <w:tc>
          <w:tcPr>
            <w:tcW w:type="dxa" w:w="5300"/>
            <w:tcMar>
              <w:top w:type="dxa" w:w="60"/>
              <w:left w:type="dxa" w:w="90"/>
              <w:bottom w:type="dxa" w:w="60"/>
              <w:right w:type="dxa" w:w="90"/>
            </w:tcMar>
            <w:vAlign w:val="center"/>
          </w:tcPr>
          <w:p>
            <w:r>
              <w:rPr>
                <w:b w:val="false"/>
                <w:bCs w:val="false"/>
                <w:sz w:val="18"/>
                <w:szCs w:val="18"/>
              </w:rPr>
              <w:t xml:space="preserve">Slope School 2 — Holladay, Utah</w:t>
            </w:r>
          </w:p>
        </w:tc>
        <w:tc>
          <w:tcPr>
            <w:tcW w:type="dxa" w:w="1100"/>
            <w:tcMar>
              <w:top w:type="dxa" w:w="60"/>
              <w:left w:type="dxa" w:w="90"/>
              <w:bottom w:type="dxa" w:w="60"/>
              <w:right w:type="dxa" w:w="90"/>
            </w:tcMar>
            <w:vAlign w:val="center"/>
          </w:tcPr>
          <w:p>
            <w:r>
              <w:rPr>
                <w:b w:val="false"/>
                <w:bCs w:val="false"/>
                <w:sz w:val="18"/>
                <w:szCs w:val="18"/>
              </w:rPr>
              <w:t xml:space="preserve">12</w:t>
            </w:r>
          </w:p>
        </w:tc>
        <w:tc>
          <w:tcPr>
            <w:tcW w:type="dxa" w:w="1100"/>
            <w:tcMar>
              <w:top w:type="dxa" w:w="60"/>
              <w:left w:type="dxa" w:w="90"/>
              <w:bottom w:type="dxa" w:w="60"/>
              <w:right w:type="dxa" w:w="90"/>
            </w:tcMar>
            <w:vAlign w:val="center"/>
          </w:tcPr>
          <w:p>
            <w:r>
              <w:rPr>
                <w:b w:val="false"/>
                <w:bCs w:val="false"/>
                <w:sz w:val="18"/>
                <w:szCs w:val="18"/>
              </w:rPr>
              <w:t xml:space="preserve">0.85%</w:t>
            </w:r>
          </w:p>
        </w:tc>
        <w:tc>
          <w:tcPr>
            <w:tcW w:type="dxa" w:w="1000"/>
            <w:tcMar>
              <w:top w:type="dxa" w:w="60"/>
              <w:left w:type="dxa" w:w="90"/>
              <w:bottom w:type="dxa" w:w="60"/>
              <w:right w:type="dxa" w:w="90"/>
            </w:tcMar>
            <w:vAlign w:val="center"/>
          </w:tcPr>
          <w:p>
            <w:r>
              <w:rPr>
                <w:b w:val="false"/>
                <w:bCs w:val="false"/>
                <w:sz w:val="18"/>
                <w:szCs w:val="18"/>
              </w:rPr>
              <w:t xml:space="preserve">1</w:t>
            </w:r>
          </w:p>
        </w:tc>
      </w:tr>
      <w:tr>
        <w:trPr>
          <w:cantSplit/>
        </w:trPr>
        <w:tc>
          <w:tcPr>
            <w:tcW w:type="dxa" w:w="500"/>
            <w:tcMar>
              <w:top w:type="dxa" w:w="60"/>
              <w:left w:type="dxa" w:w="90"/>
              <w:bottom w:type="dxa" w:w="60"/>
              <w:right w:type="dxa" w:w="90"/>
            </w:tcMar>
            <w:vAlign w:val="center"/>
          </w:tcPr>
          <w:p>
            <w:r>
              <w:rPr>
                <w:b w:val="false"/>
                <w:bCs w:val="false"/>
                <w:sz w:val="18"/>
                <w:szCs w:val="18"/>
              </w:rPr>
              <w:t xml:space="preserve">19</w:t>
            </w:r>
          </w:p>
        </w:tc>
        <w:tc>
          <w:tcPr>
            <w:tcW w:type="dxa" w:w="5300"/>
            <w:tcMar>
              <w:top w:type="dxa" w:w="60"/>
              <w:left w:type="dxa" w:w="90"/>
              <w:bottom w:type="dxa" w:w="60"/>
              <w:right w:type="dxa" w:w="90"/>
            </w:tcMar>
            <w:vAlign w:val="center"/>
          </w:tcPr>
          <w:p>
            <w:r>
              <w:rPr>
                <w:b w:val="false"/>
                <w:bCs w:val="false"/>
                <w:sz w:val="18"/>
                <w:szCs w:val="18"/>
              </w:rPr>
              <w:t xml:space="preserve">Lexicon School — Guildford, United Kingdom</w:t>
            </w:r>
          </w:p>
        </w:tc>
        <w:tc>
          <w:tcPr>
            <w:tcW w:type="dxa" w:w="1100"/>
            <w:tcMar>
              <w:top w:type="dxa" w:w="60"/>
              <w:left w:type="dxa" w:w="90"/>
              <w:bottom w:type="dxa" w:w="60"/>
              <w:right w:type="dxa" w:w="90"/>
            </w:tcMar>
            <w:vAlign w:val="center"/>
          </w:tcPr>
          <w:p>
            <w:r>
              <w:rPr>
                <w:b w:val="false"/>
                <w:bCs w:val="false"/>
                <w:sz w:val="18"/>
                <w:szCs w:val="18"/>
              </w:rPr>
              <w:t xml:space="preserve">12</w:t>
            </w:r>
          </w:p>
        </w:tc>
        <w:tc>
          <w:tcPr>
            <w:tcW w:type="dxa" w:w="1100"/>
            <w:tcMar>
              <w:top w:type="dxa" w:w="60"/>
              <w:left w:type="dxa" w:w="90"/>
              <w:bottom w:type="dxa" w:w="60"/>
              <w:right w:type="dxa" w:w="90"/>
            </w:tcMar>
            <w:vAlign w:val="center"/>
          </w:tcPr>
          <w:p>
            <w:r>
              <w:rPr>
                <w:b w:val="false"/>
                <w:bCs w:val="false"/>
                <w:sz w:val="18"/>
                <w:szCs w:val="18"/>
              </w:rPr>
              <w:t xml:space="preserve">0.85%</w:t>
            </w:r>
          </w:p>
        </w:tc>
        <w:tc>
          <w:tcPr>
            <w:tcW w:type="dxa" w:w="1000"/>
            <w:tcMar>
              <w:top w:type="dxa" w:w="60"/>
              <w:left w:type="dxa" w:w="90"/>
              <w:bottom w:type="dxa" w:w="60"/>
              <w:right w:type="dxa" w:w="90"/>
            </w:tcMar>
            <w:vAlign w:val="center"/>
          </w:tcPr>
          <w:p>
            <w:r>
              <w:rPr>
                <w:b w:val="false"/>
                <w:bCs w:val="false"/>
                <w:sz w:val="18"/>
                <w:szCs w:val="18"/>
              </w:rPr>
              <w:t xml:space="preserve">1</w:t>
            </w:r>
          </w:p>
        </w:tc>
      </w:tr>
      <w:tr>
        <w:trPr>
          <w:cantSplit/>
        </w:trPr>
        <w:tc>
          <w:tcPr>
            <w:tcW w:type="dxa" w:w="500"/>
            <w:tcMar>
              <w:top w:type="dxa" w:w="60"/>
              <w:left w:type="dxa" w:w="90"/>
              <w:bottom w:type="dxa" w:w="60"/>
              <w:right w:type="dxa" w:w="90"/>
            </w:tcMar>
            <w:vAlign w:val="center"/>
          </w:tcPr>
          <w:p>
            <w:r>
              <w:rPr>
                <w:b w:val="false"/>
                <w:bCs w:val="false"/>
                <w:sz w:val="18"/>
                <w:szCs w:val="18"/>
              </w:rPr>
              <w:t xml:space="preserve">20</w:t>
            </w:r>
          </w:p>
        </w:tc>
        <w:tc>
          <w:tcPr>
            <w:tcW w:type="dxa" w:w="5300"/>
            <w:tcMar>
              <w:top w:type="dxa" w:w="60"/>
              <w:left w:type="dxa" w:w="90"/>
              <w:bottom w:type="dxa" w:w="60"/>
              <w:right w:type="dxa" w:w="90"/>
            </w:tcMar>
            <w:vAlign w:val="center"/>
          </w:tcPr>
          <w:p>
            <w:r>
              <w:rPr>
                <w:b w:val="false"/>
                <w:bCs w:val="false"/>
                <w:sz w:val="18"/>
                <w:szCs w:val="18"/>
              </w:rPr>
              <w:t xml:space="preserve">Acton Academy Port St. Lucie — Port St. Lucie, Florida</w:t>
            </w:r>
          </w:p>
        </w:tc>
        <w:tc>
          <w:tcPr>
            <w:tcW w:type="dxa" w:w="1100"/>
            <w:tcMar>
              <w:top w:type="dxa" w:w="60"/>
              <w:left w:type="dxa" w:w="90"/>
              <w:bottom w:type="dxa" w:w="60"/>
              <w:right w:type="dxa" w:w="90"/>
            </w:tcMar>
            <w:vAlign w:val="center"/>
          </w:tcPr>
          <w:p>
            <w:r>
              <w:rPr>
                <w:b w:val="false"/>
                <w:bCs w:val="false"/>
                <w:sz w:val="18"/>
                <w:szCs w:val="18"/>
              </w:rPr>
              <w:t xml:space="preserve">12</w:t>
            </w:r>
          </w:p>
        </w:tc>
        <w:tc>
          <w:tcPr>
            <w:tcW w:type="dxa" w:w="1100"/>
            <w:tcMar>
              <w:top w:type="dxa" w:w="60"/>
              <w:left w:type="dxa" w:w="90"/>
              <w:bottom w:type="dxa" w:w="60"/>
              <w:right w:type="dxa" w:w="90"/>
            </w:tcMar>
            <w:vAlign w:val="center"/>
          </w:tcPr>
          <w:p>
            <w:r>
              <w:rPr>
                <w:b w:val="false"/>
                <w:bCs w:val="false"/>
                <w:sz w:val="18"/>
                <w:szCs w:val="18"/>
              </w:rPr>
              <w:t xml:space="preserve">0.85%</w:t>
            </w:r>
          </w:p>
        </w:tc>
        <w:tc>
          <w:tcPr>
            <w:tcW w:type="dxa" w:w="1000"/>
            <w:tcMar>
              <w:top w:type="dxa" w:w="60"/>
              <w:left w:type="dxa" w:w="90"/>
              <w:bottom w:type="dxa" w:w="60"/>
              <w:right w:type="dxa" w:w="90"/>
            </w:tcMar>
            <w:vAlign w:val="center"/>
          </w:tcPr>
          <w:p>
            <w:r>
              <w:rPr>
                <w:b w:val="false"/>
                <w:bCs w:val="false"/>
                <w:sz w:val="18"/>
                <w:szCs w:val="18"/>
              </w:rPr>
              <w:t xml:space="preserve">1</w:t>
            </w:r>
          </w:p>
        </w:tc>
      </w:tr>
      <w:tr>
        <w:trPr>
          <w:cantSplit/>
        </w:trPr>
        <w:tc>
          <w:tcPr>
            <w:tcW w:type="dxa" w:w="500"/>
            <w:tcMar>
              <w:top w:type="dxa" w:w="60"/>
              <w:left w:type="dxa" w:w="90"/>
              <w:bottom w:type="dxa" w:w="60"/>
              <w:right w:type="dxa" w:w="90"/>
            </w:tcMar>
            <w:vAlign w:val="center"/>
          </w:tcPr>
          <w:p>
            <w:r>
              <w:rPr>
                <w:b w:val="false"/>
                <w:bCs w:val="false"/>
                <w:sz w:val="18"/>
                <w:szCs w:val="18"/>
              </w:rPr>
              <w:t xml:space="preserve">21</w:t>
            </w:r>
          </w:p>
        </w:tc>
        <w:tc>
          <w:tcPr>
            <w:tcW w:type="dxa" w:w="5300"/>
            <w:tcMar>
              <w:top w:type="dxa" w:w="60"/>
              <w:left w:type="dxa" w:w="90"/>
              <w:bottom w:type="dxa" w:w="60"/>
              <w:right w:type="dxa" w:w="90"/>
            </w:tcMar>
            <w:vAlign w:val="center"/>
          </w:tcPr>
          <w:p>
            <w:r>
              <w:rPr>
                <w:b w:val="false"/>
                <w:bCs w:val="false"/>
                <w:sz w:val="18"/>
                <w:szCs w:val="18"/>
              </w:rPr>
              <w:t xml:space="preserve">Acton Academy Morristown — Morristown, New Jersey</w:t>
            </w:r>
          </w:p>
        </w:tc>
        <w:tc>
          <w:tcPr>
            <w:tcW w:type="dxa" w:w="1100"/>
            <w:tcMar>
              <w:top w:type="dxa" w:w="60"/>
              <w:left w:type="dxa" w:w="90"/>
              <w:bottom w:type="dxa" w:w="60"/>
              <w:right w:type="dxa" w:w="90"/>
            </w:tcMar>
            <w:vAlign w:val="center"/>
          </w:tcPr>
          <w:p>
            <w:r>
              <w:rPr>
                <w:b w:val="false"/>
                <w:bCs w:val="false"/>
                <w:sz w:val="18"/>
                <w:szCs w:val="18"/>
              </w:rPr>
              <w:t xml:space="preserve">12</w:t>
            </w:r>
          </w:p>
        </w:tc>
        <w:tc>
          <w:tcPr>
            <w:tcW w:type="dxa" w:w="1100"/>
            <w:tcMar>
              <w:top w:type="dxa" w:w="60"/>
              <w:left w:type="dxa" w:w="90"/>
              <w:bottom w:type="dxa" w:w="60"/>
              <w:right w:type="dxa" w:w="90"/>
            </w:tcMar>
            <w:vAlign w:val="center"/>
          </w:tcPr>
          <w:p>
            <w:r>
              <w:rPr>
                <w:b w:val="false"/>
                <w:bCs w:val="false"/>
                <w:sz w:val="18"/>
                <w:szCs w:val="18"/>
              </w:rPr>
              <w:t xml:space="preserve">0.85%</w:t>
            </w:r>
          </w:p>
        </w:tc>
        <w:tc>
          <w:tcPr>
            <w:tcW w:type="dxa" w:w="1000"/>
            <w:tcMar>
              <w:top w:type="dxa" w:w="60"/>
              <w:left w:type="dxa" w:w="90"/>
              <w:bottom w:type="dxa" w:w="60"/>
              <w:right w:type="dxa" w:w="90"/>
            </w:tcMar>
            <w:vAlign w:val="center"/>
          </w:tcPr>
          <w:p>
            <w:r>
              <w:rPr>
                <w:b w:val="false"/>
                <w:bCs w:val="false"/>
                <w:sz w:val="18"/>
                <w:szCs w:val="18"/>
              </w:rPr>
              <w:t xml:space="preserve">1</w:t>
            </w:r>
          </w:p>
        </w:tc>
      </w:tr>
      <w:tr>
        <w:trPr>
          <w:cantSplit/>
        </w:trPr>
        <w:tc>
          <w:tcPr>
            <w:tcW w:type="dxa" w:w="500"/>
            <w:tcMar>
              <w:top w:type="dxa" w:w="60"/>
              <w:left w:type="dxa" w:w="90"/>
              <w:bottom w:type="dxa" w:w="60"/>
              <w:right w:type="dxa" w:w="90"/>
            </w:tcMar>
            <w:vAlign w:val="center"/>
          </w:tcPr>
          <w:p>
            <w:r>
              <w:rPr>
                <w:b w:val="false"/>
                <w:bCs w:val="false"/>
                <w:sz w:val="18"/>
                <w:szCs w:val="18"/>
              </w:rPr>
              <w:t xml:space="preserve">22</w:t>
            </w:r>
          </w:p>
        </w:tc>
        <w:tc>
          <w:tcPr>
            <w:tcW w:type="dxa" w:w="5300"/>
            <w:tcMar>
              <w:top w:type="dxa" w:w="60"/>
              <w:left w:type="dxa" w:w="90"/>
              <w:bottom w:type="dxa" w:w="60"/>
              <w:right w:type="dxa" w:w="90"/>
            </w:tcMar>
            <w:vAlign w:val="center"/>
          </w:tcPr>
          <w:p>
            <w:r>
              <w:rPr>
                <w:b w:val="false"/>
                <w:bCs w:val="false"/>
                <w:sz w:val="18"/>
                <w:szCs w:val="18"/>
              </w:rPr>
              <w:t xml:space="preserve">Greenfields Academy — Chicago, Illinois</w:t>
            </w:r>
          </w:p>
        </w:tc>
        <w:tc>
          <w:tcPr>
            <w:tcW w:type="dxa" w:w="1100"/>
            <w:tcMar>
              <w:top w:type="dxa" w:w="60"/>
              <w:left w:type="dxa" w:w="90"/>
              <w:bottom w:type="dxa" w:w="60"/>
              <w:right w:type="dxa" w:w="90"/>
            </w:tcMar>
            <w:vAlign w:val="center"/>
          </w:tcPr>
          <w:p>
            <w:r>
              <w:rPr>
                <w:b w:val="false"/>
                <w:bCs w:val="false"/>
                <w:sz w:val="18"/>
                <w:szCs w:val="18"/>
              </w:rPr>
              <w:t xml:space="preserve">12</w:t>
            </w:r>
          </w:p>
        </w:tc>
        <w:tc>
          <w:tcPr>
            <w:tcW w:type="dxa" w:w="1100"/>
            <w:tcMar>
              <w:top w:type="dxa" w:w="60"/>
              <w:left w:type="dxa" w:w="90"/>
              <w:bottom w:type="dxa" w:w="60"/>
              <w:right w:type="dxa" w:w="90"/>
            </w:tcMar>
            <w:vAlign w:val="center"/>
          </w:tcPr>
          <w:p>
            <w:r>
              <w:rPr>
                <w:b w:val="false"/>
                <w:bCs w:val="false"/>
                <w:sz w:val="18"/>
                <w:szCs w:val="18"/>
              </w:rPr>
              <w:t xml:space="preserve">0.85%</w:t>
            </w:r>
          </w:p>
        </w:tc>
        <w:tc>
          <w:tcPr>
            <w:tcW w:type="dxa" w:w="1000"/>
            <w:tcMar>
              <w:top w:type="dxa" w:w="60"/>
              <w:left w:type="dxa" w:w="90"/>
              <w:bottom w:type="dxa" w:w="60"/>
              <w:right w:type="dxa" w:w="90"/>
            </w:tcMar>
            <w:vAlign w:val="center"/>
          </w:tcPr>
          <w:p>
            <w:r>
              <w:rPr>
                <w:b w:val="false"/>
                <w:bCs w:val="false"/>
                <w:sz w:val="18"/>
                <w:szCs w:val="18"/>
              </w:rPr>
              <w:t xml:space="preserve">1</w:t>
            </w:r>
          </w:p>
        </w:tc>
      </w:tr>
      <w:tr>
        <w:trPr>
          <w:cantSplit/>
        </w:trPr>
        <w:tc>
          <w:tcPr>
            <w:tcW w:type="dxa" w:w="500"/>
            <w:tcMar>
              <w:top w:type="dxa" w:w="60"/>
              <w:left w:type="dxa" w:w="90"/>
              <w:bottom w:type="dxa" w:w="60"/>
              <w:right w:type="dxa" w:w="90"/>
            </w:tcMar>
            <w:vAlign w:val="center"/>
          </w:tcPr>
          <w:p>
            <w:r>
              <w:rPr>
                <w:b w:val="false"/>
                <w:bCs w:val="false"/>
                <w:sz w:val="18"/>
                <w:szCs w:val="18"/>
              </w:rPr>
              <w:t xml:space="preserve">23</w:t>
            </w:r>
          </w:p>
        </w:tc>
        <w:tc>
          <w:tcPr>
            <w:tcW w:type="dxa" w:w="5300"/>
            <w:tcMar>
              <w:top w:type="dxa" w:w="60"/>
              <w:left w:type="dxa" w:w="90"/>
              <w:bottom w:type="dxa" w:w="60"/>
              <w:right w:type="dxa" w:w="90"/>
            </w:tcMar>
            <w:vAlign w:val="center"/>
          </w:tcPr>
          <w:p>
            <w:r>
              <w:rPr>
                <w:b w:val="false"/>
                <w:bCs w:val="false"/>
                <w:sz w:val="18"/>
                <w:szCs w:val="18"/>
              </w:rPr>
              <w:t xml:space="preserve">Ascend: An Acton Academy — Milford, Pennsylvania</w:t>
            </w:r>
          </w:p>
        </w:tc>
        <w:tc>
          <w:tcPr>
            <w:tcW w:type="dxa" w:w="1100"/>
            <w:tcMar>
              <w:top w:type="dxa" w:w="60"/>
              <w:left w:type="dxa" w:w="90"/>
              <w:bottom w:type="dxa" w:w="60"/>
              <w:right w:type="dxa" w:w="90"/>
            </w:tcMar>
            <w:vAlign w:val="center"/>
          </w:tcPr>
          <w:p>
            <w:r>
              <w:rPr>
                <w:b w:val="false"/>
                <w:bCs w:val="false"/>
                <w:sz w:val="18"/>
                <w:szCs w:val="18"/>
              </w:rPr>
              <w:t xml:space="preserve">12</w:t>
            </w:r>
          </w:p>
        </w:tc>
        <w:tc>
          <w:tcPr>
            <w:tcW w:type="dxa" w:w="1100"/>
            <w:tcMar>
              <w:top w:type="dxa" w:w="60"/>
              <w:left w:type="dxa" w:w="90"/>
              <w:bottom w:type="dxa" w:w="60"/>
              <w:right w:type="dxa" w:w="90"/>
            </w:tcMar>
            <w:vAlign w:val="center"/>
          </w:tcPr>
          <w:p>
            <w:r>
              <w:rPr>
                <w:b w:val="false"/>
                <w:bCs w:val="false"/>
                <w:sz w:val="18"/>
                <w:szCs w:val="18"/>
              </w:rPr>
              <w:t xml:space="preserve">0.85%</w:t>
            </w:r>
          </w:p>
        </w:tc>
        <w:tc>
          <w:tcPr>
            <w:tcW w:type="dxa" w:w="1000"/>
            <w:tcMar>
              <w:top w:type="dxa" w:w="60"/>
              <w:left w:type="dxa" w:w="90"/>
              <w:bottom w:type="dxa" w:w="60"/>
              <w:right w:type="dxa" w:w="90"/>
            </w:tcMar>
            <w:vAlign w:val="center"/>
          </w:tcPr>
          <w:p>
            <w:r>
              <w:rPr>
                <w:b w:val="false"/>
                <w:bCs w:val="false"/>
                <w:sz w:val="18"/>
                <w:szCs w:val="18"/>
              </w:rPr>
              <w:t xml:space="preserve">1</w:t>
            </w:r>
          </w:p>
        </w:tc>
      </w:tr>
      <w:tr>
        <w:trPr>
          <w:cantSplit/>
        </w:trPr>
        <w:tc>
          <w:tcPr>
            <w:tcW w:type="dxa" w:w="500"/>
            <w:tcMar>
              <w:top w:type="dxa" w:w="60"/>
              <w:left w:type="dxa" w:w="90"/>
              <w:bottom w:type="dxa" w:w="60"/>
              <w:right w:type="dxa" w:w="90"/>
            </w:tcMar>
            <w:vAlign w:val="center"/>
          </w:tcPr>
          <w:p>
            <w:r>
              <w:rPr>
                <w:b w:val="false"/>
                <w:bCs w:val="false"/>
                <w:sz w:val="18"/>
                <w:szCs w:val="18"/>
              </w:rPr>
              <w:t xml:space="preserve">24</w:t>
            </w:r>
          </w:p>
        </w:tc>
        <w:tc>
          <w:tcPr>
            <w:tcW w:type="dxa" w:w="5300"/>
            <w:tcMar>
              <w:top w:type="dxa" w:w="60"/>
              <w:left w:type="dxa" w:w="90"/>
              <w:bottom w:type="dxa" w:w="60"/>
              <w:right w:type="dxa" w:w="90"/>
            </w:tcMar>
            <w:vAlign w:val="center"/>
          </w:tcPr>
          <w:p>
            <w:r>
              <w:rPr>
                <w:b w:val="false"/>
                <w:bCs w:val="false"/>
                <w:sz w:val="18"/>
                <w:szCs w:val="18"/>
              </w:rPr>
              <w:t xml:space="preserve">Arts Thereafter: An Acton Academy — Saint Cloud, Florida</w:t>
            </w:r>
          </w:p>
        </w:tc>
        <w:tc>
          <w:tcPr>
            <w:tcW w:type="dxa" w:w="1100"/>
            <w:tcMar>
              <w:top w:type="dxa" w:w="60"/>
              <w:left w:type="dxa" w:w="90"/>
              <w:bottom w:type="dxa" w:w="60"/>
              <w:right w:type="dxa" w:w="90"/>
            </w:tcMar>
            <w:vAlign w:val="center"/>
          </w:tcPr>
          <w:p>
            <w:r>
              <w:rPr>
                <w:b w:val="false"/>
                <w:bCs w:val="false"/>
                <w:sz w:val="18"/>
                <w:szCs w:val="18"/>
              </w:rPr>
              <w:t xml:space="preserve">12</w:t>
            </w:r>
          </w:p>
        </w:tc>
        <w:tc>
          <w:tcPr>
            <w:tcW w:type="dxa" w:w="1100"/>
            <w:tcMar>
              <w:top w:type="dxa" w:w="60"/>
              <w:left w:type="dxa" w:w="90"/>
              <w:bottom w:type="dxa" w:w="60"/>
              <w:right w:type="dxa" w:w="90"/>
            </w:tcMar>
            <w:vAlign w:val="center"/>
          </w:tcPr>
          <w:p>
            <w:r>
              <w:rPr>
                <w:b w:val="false"/>
                <w:bCs w:val="false"/>
                <w:sz w:val="18"/>
                <w:szCs w:val="18"/>
              </w:rPr>
              <w:t xml:space="preserve">0.85%</w:t>
            </w:r>
          </w:p>
        </w:tc>
        <w:tc>
          <w:tcPr>
            <w:tcW w:type="dxa" w:w="1000"/>
            <w:tcMar>
              <w:top w:type="dxa" w:w="60"/>
              <w:left w:type="dxa" w:w="90"/>
              <w:bottom w:type="dxa" w:w="60"/>
              <w:right w:type="dxa" w:w="90"/>
            </w:tcMar>
            <w:vAlign w:val="center"/>
          </w:tcPr>
          <w:p>
            <w:r>
              <w:rPr>
                <w:b w:val="false"/>
                <w:bCs w:val="false"/>
                <w:sz w:val="18"/>
                <w:szCs w:val="18"/>
              </w:rPr>
              <w:t xml:space="preserve">1</w:t>
            </w:r>
          </w:p>
        </w:tc>
      </w:tr>
      <w:tr>
        <w:trPr>
          <w:cantSplit/>
        </w:trPr>
        <w:tc>
          <w:tcPr>
            <w:tcW w:type="dxa" w:w="500"/>
            <w:tcMar>
              <w:top w:type="dxa" w:w="60"/>
              <w:left w:type="dxa" w:w="90"/>
              <w:bottom w:type="dxa" w:w="60"/>
              <w:right w:type="dxa" w:w="90"/>
            </w:tcMar>
            <w:vAlign w:val="center"/>
          </w:tcPr>
          <w:p>
            <w:r>
              <w:rPr>
                <w:b w:val="false"/>
                <w:bCs w:val="false"/>
                <w:sz w:val="18"/>
                <w:szCs w:val="18"/>
              </w:rPr>
              <w:t xml:space="preserve">25</w:t>
            </w:r>
          </w:p>
        </w:tc>
        <w:tc>
          <w:tcPr>
            <w:tcW w:type="dxa" w:w="5300"/>
            <w:tcMar>
              <w:top w:type="dxa" w:w="60"/>
              <w:left w:type="dxa" w:w="90"/>
              <w:bottom w:type="dxa" w:w="60"/>
              <w:right w:type="dxa" w:w="90"/>
            </w:tcMar>
            <w:vAlign w:val="center"/>
          </w:tcPr>
          <w:p>
            <w:r>
              <w:rPr>
                <w:b w:val="false"/>
                <w:bCs w:val="false"/>
                <w:sz w:val="18"/>
                <w:szCs w:val="18"/>
              </w:rPr>
              <w:t xml:space="preserve">Acton Academy Palatine — Chicago, Illinois</w:t>
            </w:r>
          </w:p>
        </w:tc>
        <w:tc>
          <w:tcPr>
            <w:tcW w:type="dxa" w:w="1100"/>
            <w:tcMar>
              <w:top w:type="dxa" w:w="60"/>
              <w:left w:type="dxa" w:w="90"/>
              <w:bottom w:type="dxa" w:w="60"/>
              <w:right w:type="dxa" w:w="90"/>
            </w:tcMar>
            <w:vAlign w:val="center"/>
          </w:tcPr>
          <w:p>
            <w:r>
              <w:rPr>
                <w:b w:val="false"/>
                <w:bCs w:val="false"/>
                <w:sz w:val="18"/>
                <w:szCs w:val="18"/>
              </w:rPr>
              <w:t xml:space="preserve">12</w:t>
            </w:r>
          </w:p>
        </w:tc>
        <w:tc>
          <w:tcPr>
            <w:tcW w:type="dxa" w:w="1100"/>
            <w:tcMar>
              <w:top w:type="dxa" w:w="60"/>
              <w:left w:type="dxa" w:w="90"/>
              <w:bottom w:type="dxa" w:w="60"/>
              <w:right w:type="dxa" w:w="90"/>
            </w:tcMar>
            <w:vAlign w:val="center"/>
          </w:tcPr>
          <w:p>
            <w:r>
              <w:rPr>
                <w:b w:val="false"/>
                <w:bCs w:val="false"/>
                <w:sz w:val="18"/>
                <w:szCs w:val="18"/>
              </w:rPr>
              <w:t xml:space="preserve">0.85%</w:t>
            </w:r>
          </w:p>
        </w:tc>
        <w:tc>
          <w:tcPr>
            <w:tcW w:type="dxa" w:w="1000"/>
            <w:tcMar>
              <w:top w:type="dxa" w:w="60"/>
              <w:left w:type="dxa" w:w="90"/>
              <w:bottom w:type="dxa" w:w="60"/>
              <w:right w:type="dxa" w:w="90"/>
            </w:tcMar>
            <w:vAlign w:val="center"/>
          </w:tcPr>
          <w:p>
            <w:r>
              <w:rPr>
                <w:b w:val="false"/>
                <w:bCs w:val="false"/>
                <w:sz w:val="18"/>
                <w:szCs w:val="18"/>
              </w:rPr>
              <w:t xml:space="preserve">1</w:t>
            </w:r>
          </w:p>
        </w:tc>
      </w:tr>
      <w:tr>
        <w:trPr>
          <w:cantSplit/>
        </w:trPr>
        <w:tc>
          <w:tcPr>
            <w:tcW w:type="dxa" w:w="500"/>
            <w:tcMar>
              <w:top w:type="dxa" w:w="60"/>
              <w:left w:type="dxa" w:w="90"/>
              <w:bottom w:type="dxa" w:w="60"/>
              <w:right w:type="dxa" w:w="90"/>
            </w:tcMar>
            <w:vAlign w:val="center"/>
          </w:tcPr>
          <w:p>
            <w:r>
              <w:rPr>
                <w:b w:val="false"/>
                <w:bCs w:val="false"/>
                <w:sz w:val="18"/>
                <w:szCs w:val="18"/>
              </w:rPr>
              <w:t xml:space="preserve">26</w:t>
            </w:r>
          </w:p>
        </w:tc>
        <w:tc>
          <w:tcPr>
            <w:tcW w:type="dxa" w:w="5300"/>
            <w:tcMar>
              <w:top w:type="dxa" w:w="60"/>
              <w:left w:type="dxa" w:w="90"/>
              <w:bottom w:type="dxa" w:w="60"/>
              <w:right w:type="dxa" w:w="90"/>
            </w:tcMar>
            <w:vAlign w:val="center"/>
          </w:tcPr>
          <w:p>
            <w:r>
              <w:rPr>
                <w:b w:val="false"/>
                <w:bCs w:val="false"/>
                <w:sz w:val="18"/>
                <w:szCs w:val="18"/>
              </w:rPr>
              <w:t xml:space="preserve">Threefold Schoolhouse: An Acton Academy — Harrisburg, Pennsylvania</w:t>
            </w:r>
          </w:p>
        </w:tc>
        <w:tc>
          <w:tcPr>
            <w:tcW w:type="dxa" w:w="1100"/>
            <w:tcMar>
              <w:top w:type="dxa" w:w="60"/>
              <w:left w:type="dxa" w:w="90"/>
              <w:bottom w:type="dxa" w:w="60"/>
              <w:right w:type="dxa" w:w="90"/>
            </w:tcMar>
            <w:vAlign w:val="center"/>
          </w:tcPr>
          <w:p>
            <w:r>
              <w:rPr>
                <w:b w:val="false"/>
                <w:bCs w:val="false"/>
                <w:sz w:val="18"/>
                <w:szCs w:val="18"/>
              </w:rPr>
              <w:t xml:space="preserve">12</w:t>
            </w:r>
          </w:p>
        </w:tc>
        <w:tc>
          <w:tcPr>
            <w:tcW w:type="dxa" w:w="1100"/>
            <w:tcMar>
              <w:top w:type="dxa" w:w="60"/>
              <w:left w:type="dxa" w:w="90"/>
              <w:bottom w:type="dxa" w:w="60"/>
              <w:right w:type="dxa" w:w="90"/>
            </w:tcMar>
            <w:vAlign w:val="center"/>
          </w:tcPr>
          <w:p>
            <w:r>
              <w:rPr>
                <w:b w:val="false"/>
                <w:bCs w:val="false"/>
                <w:sz w:val="18"/>
                <w:szCs w:val="18"/>
              </w:rPr>
              <w:t xml:space="preserve">0.85%</w:t>
            </w:r>
          </w:p>
        </w:tc>
        <w:tc>
          <w:tcPr>
            <w:tcW w:type="dxa" w:w="1000"/>
            <w:tcMar>
              <w:top w:type="dxa" w:w="60"/>
              <w:left w:type="dxa" w:w="90"/>
              <w:bottom w:type="dxa" w:w="60"/>
              <w:right w:type="dxa" w:w="90"/>
            </w:tcMar>
            <w:vAlign w:val="center"/>
          </w:tcPr>
          <w:p>
            <w:r>
              <w:rPr>
                <w:b w:val="false"/>
                <w:bCs w:val="false"/>
                <w:sz w:val="18"/>
                <w:szCs w:val="18"/>
              </w:rPr>
              <w:t xml:space="preserve">1</w:t>
            </w:r>
          </w:p>
        </w:tc>
      </w:tr>
      <w:tr>
        <w:trPr>
          <w:cantSplit/>
        </w:trPr>
        <w:tc>
          <w:tcPr>
            <w:tcW w:type="dxa" w:w="500"/>
            <w:tcMar>
              <w:top w:type="dxa" w:w="60"/>
              <w:left w:type="dxa" w:w="90"/>
              <w:bottom w:type="dxa" w:w="60"/>
              <w:right w:type="dxa" w:w="90"/>
            </w:tcMar>
            <w:vAlign w:val="center"/>
          </w:tcPr>
          <w:p>
            <w:r>
              <w:rPr>
                <w:b w:val="false"/>
                <w:bCs w:val="false"/>
                <w:sz w:val="18"/>
                <w:szCs w:val="18"/>
              </w:rPr>
              <w:t xml:space="preserve">27</w:t>
            </w:r>
          </w:p>
        </w:tc>
        <w:tc>
          <w:tcPr>
            <w:tcW w:type="dxa" w:w="5300"/>
            <w:tcMar>
              <w:top w:type="dxa" w:w="60"/>
              <w:left w:type="dxa" w:w="90"/>
              <w:bottom w:type="dxa" w:w="60"/>
              <w:right w:type="dxa" w:w="90"/>
            </w:tcMar>
            <w:vAlign w:val="center"/>
          </w:tcPr>
          <w:p>
            <w:r>
              <w:rPr>
                <w:b w:val="false"/>
                <w:bCs w:val="false"/>
                <w:sz w:val="18"/>
                <w:szCs w:val="18"/>
              </w:rPr>
              <w:t xml:space="preserve">Acton Academy of Whatcom County — Bellingham, Washington</w:t>
            </w:r>
          </w:p>
        </w:tc>
        <w:tc>
          <w:tcPr>
            <w:tcW w:type="dxa" w:w="1100"/>
            <w:tcMar>
              <w:top w:type="dxa" w:w="60"/>
              <w:left w:type="dxa" w:w="90"/>
              <w:bottom w:type="dxa" w:w="60"/>
              <w:right w:type="dxa" w:w="90"/>
            </w:tcMar>
            <w:vAlign w:val="center"/>
          </w:tcPr>
          <w:p>
            <w:r>
              <w:rPr>
                <w:b w:val="false"/>
                <w:bCs w:val="false"/>
                <w:sz w:val="18"/>
                <w:szCs w:val="18"/>
              </w:rPr>
              <w:t xml:space="preserve">12</w:t>
            </w:r>
          </w:p>
        </w:tc>
        <w:tc>
          <w:tcPr>
            <w:tcW w:type="dxa" w:w="1100"/>
            <w:tcMar>
              <w:top w:type="dxa" w:w="60"/>
              <w:left w:type="dxa" w:w="90"/>
              <w:bottom w:type="dxa" w:w="60"/>
              <w:right w:type="dxa" w:w="90"/>
            </w:tcMar>
            <w:vAlign w:val="center"/>
          </w:tcPr>
          <w:p>
            <w:r>
              <w:rPr>
                <w:b w:val="false"/>
                <w:bCs w:val="false"/>
                <w:sz w:val="18"/>
                <w:szCs w:val="18"/>
              </w:rPr>
              <w:t xml:space="preserve">0.85%</w:t>
            </w:r>
          </w:p>
        </w:tc>
        <w:tc>
          <w:tcPr>
            <w:tcW w:type="dxa" w:w="1000"/>
            <w:tcMar>
              <w:top w:type="dxa" w:w="60"/>
              <w:left w:type="dxa" w:w="90"/>
              <w:bottom w:type="dxa" w:w="60"/>
              <w:right w:type="dxa" w:w="90"/>
            </w:tcMar>
            <w:vAlign w:val="center"/>
          </w:tcPr>
          <w:p>
            <w:r>
              <w:rPr>
                <w:b w:val="false"/>
                <w:bCs w:val="false"/>
                <w:sz w:val="18"/>
                <w:szCs w:val="18"/>
              </w:rPr>
              <w:t xml:space="preserve">1</w:t>
            </w:r>
          </w:p>
        </w:tc>
      </w:tr>
      <w:tr>
        <w:trPr>
          <w:cantSplit/>
        </w:trPr>
        <w:tc>
          <w:tcPr>
            <w:tcW w:type="dxa" w:w="500"/>
            <w:tcMar>
              <w:top w:type="dxa" w:w="60"/>
              <w:left w:type="dxa" w:w="90"/>
              <w:bottom w:type="dxa" w:w="60"/>
              <w:right w:type="dxa" w:w="90"/>
            </w:tcMar>
            <w:vAlign w:val="center"/>
          </w:tcPr>
          <w:p>
            <w:r>
              <w:rPr>
                <w:b w:val="false"/>
                <w:bCs w:val="false"/>
                <w:sz w:val="18"/>
                <w:szCs w:val="18"/>
              </w:rPr>
              <w:t xml:space="preserve">28</w:t>
            </w:r>
          </w:p>
        </w:tc>
        <w:tc>
          <w:tcPr>
            <w:tcW w:type="dxa" w:w="5300"/>
            <w:tcMar>
              <w:top w:type="dxa" w:w="60"/>
              <w:left w:type="dxa" w:w="90"/>
              <w:bottom w:type="dxa" w:w="60"/>
              <w:right w:type="dxa" w:w="90"/>
            </w:tcMar>
            <w:vAlign w:val="center"/>
          </w:tcPr>
          <w:p>
            <w:r>
              <w:rPr>
                <w:b w:val="false"/>
                <w:bCs w:val="false"/>
                <w:sz w:val="18"/>
                <w:szCs w:val="18"/>
              </w:rPr>
              <w:t xml:space="preserve">Acton Academy Washington DC — Washington, District of Columbia</w:t>
            </w:r>
          </w:p>
        </w:tc>
        <w:tc>
          <w:tcPr>
            <w:tcW w:type="dxa" w:w="1100"/>
            <w:tcMar>
              <w:top w:type="dxa" w:w="60"/>
              <w:left w:type="dxa" w:w="90"/>
              <w:bottom w:type="dxa" w:w="60"/>
              <w:right w:type="dxa" w:w="90"/>
            </w:tcMar>
            <w:vAlign w:val="center"/>
          </w:tcPr>
          <w:p>
            <w:r>
              <w:rPr>
                <w:b w:val="false"/>
                <w:bCs w:val="false"/>
                <w:sz w:val="18"/>
                <w:szCs w:val="18"/>
              </w:rPr>
              <w:t xml:space="preserve">12</w:t>
            </w:r>
          </w:p>
        </w:tc>
        <w:tc>
          <w:tcPr>
            <w:tcW w:type="dxa" w:w="1100"/>
            <w:tcMar>
              <w:top w:type="dxa" w:w="60"/>
              <w:left w:type="dxa" w:w="90"/>
              <w:bottom w:type="dxa" w:w="60"/>
              <w:right w:type="dxa" w:w="90"/>
            </w:tcMar>
            <w:vAlign w:val="center"/>
          </w:tcPr>
          <w:p>
            <w:r>
              <w:rPr>
                <w:b w:val="false"/>
                <w:bCs w:val="false"/>
                <w:sz w:val="18"/>
                <w:szCs w:val="18"/>
              </w:rPr>
              <w:t xml:space="preserve">0.85%</w:t>
            </w:r>
          </w:p>
        </w:tc>
        <w:tc>
          <w:tcPr>
            <w:tcW w:type="dxa" w:w="1000"/>
            <w:tcMar>
              <w:top w:type="dxa" w:w="60"/>
              <w:left w:type="dxa" w:w="90"/>
              <w:bottom w:type="dxa" w:w="60"/>
              <w:right w:type="dxa" w:w="90"/>
            </w:tcMar>
            <w:vAlign w:val="center"/>
          </w:tcPr>
          <w:p>
            <w:r>
              <w:rPr>
                <w:b w:val="false"/>
                <w:bCs w:val="false"/>
                <w:sz w:val="18"/>
                <w:szCs w:val="18"/>
              </w:rPr>
              <w:t xml:space="preserve">1</w:t>
            </w:r>
          </w:p>
        </w:tc>
      </w:tr>
      <w:tr>
        <w:trPr>
          <w:cantSplit/>
        </w:trPr>
        <w:tc>
          <w:tcPr>
            <w:tcW w:type="dxa" w:w="500"/>
            <w:tcMar>
              <w:top w:type="dxa" w:w="60"/>
              <w:left w:type="dxa" w:w="90"/>
              <w:bottom w:type="dxa" w:w="60"/>
              <w:right w:type="dxa" w:w="90"/>
            </w:tcMar>
            <w:vAlign w:val="center"/>
          </w:tcPr>
          <w:p>
            <w:r>
              <w:rPr>
                <w:b w:val="false"/>
                <w:bCs w:val="false"/>
                <w:sz w:val="18"/>
                <w:szCs w:val="18"/>
              </w:rPr>
              <w:t xml:space="preserve">29</w:t>
            </w:r>
          </w:p>
        </w:tc>
        <w:tc>
          <w:tcPr>
            <w:tcW w:type="dxa" w:w="5300"/>
            <w:tcMar>
              <w:top w:type="dxa" w:w="60"/>
              <w:left w:type="dxa" w:w="90"/>
              <w:bottom w:type="dxa" w:w="60"/>
              <w:right w:type="dxa" w:w="90"/>
            </w:tcMar>
            <w:vAlign w:val="center"/>
          </w:tcPr>
          <w:p>
            <w:r>
              <w:rPr>
                <w:b w:val="false"/>
                <w:bCs w:val="false"/>
                <w:sz w:val="18"/>
                <w:szCs w:val="18"/>
              </w:rPr>
              <w:t xml:space="preserve">The School of Life: An Acton Academy — Montreal, Quebec</w:t>
            </w:r>
          </w:p>
        </w:tc>
        <w:tc>
          <w:tcPr>
            <w:tcW w:type="dxa" w:w="1100"/>
            <w:tcMar>
              <w:top w:type="dxa" w:w="60"/>
              <w:left w:type="dxa" w:w="90"/>
              <w:bottom w:type="dxa" w:w="60"/>
              <w:right w:type="dxa" w:w="90"/>
            </w:tcMar>
            <w:vAlign w:val="center"/>
          </w:tcPr>
          <w:p>
            <w:r>
              <w:rPr>
                <w:b w:val="false"/>
                <w:bCs w:val="false"/>
                <w:sz w:val="18"/>
                <w:szCs w:val="18"/>
              </w:rPr>
              <w:t xml:space="preserve">12</w:t>
            </w:r>
          </w:p>
        </w:tc>
        <w:tc>
          <w:tcPr>
            <w:tcW w:type="dxa" w:w="1100"/>
            <w:tcMar>
              <w:top w:type="dxa" w:w="60"/>
              <w:left w:type="dxa" w:w="90"/>
              <w:bottom w:type="dxa" w:w="60"/>
              <w:right w:type="dxa" w:w="90"/>
            </w:tcMar>
            <w:vAlign w:val="center"/>
          </w:tcPr>
          <w:p>
            <w:r>
              <w:rPr>
                <w:b w:val="false"/>
                <w:bCs w:val="false"/>
                <w:sz w:val="18"/>
                <w:szCs w:val="18"/>
              </w:rPr>
              <w:t xml:space="preserve">0.85%</w:t>
            </w:r>
          </w:p>
        </w:tc>
        <w:tc>
          <w:tcPr>
            <w:tcW w:type="dxa" w:w="1000"/>
            <w:tcMar>
              <w:top w:type="dxa" w:w="60"/>
              <w:left w:type="dxa" w:w="90"/>
              <w:bottom w:type="dxa" w:w="60"/>
              <w:right w:type="dxa" w:w="90"/>
            </w:tcMar>
            <w:vAlign w:val="center"/>
          </w:tcPr>
          <w:p>
            <w:r>
              <w:rPr>
                <w:b w:val="false"/>
                <w:bCs w:val="false"/>
                <w:sz w:val="18"/>
                <w:szCs w:val="18"/>
              </w:rPr>
              <w:t xml:space="preserve">1</w:t>
            </w:r>
          </w:p>
        </w:tc>
      </w:tr>
      <w:tr>
        <w:trPr>
          <w:cantSplit/>
        </w:trPr>
        <w:tc>
          <w:tcPr>
            <w:tcW w:type="dxa" w:w="500"/>
            <w:tcMar>
              <w:top w:type="dxa" w:w="60"/>
              <w:left w:type="dxa" w:w="90"/>
              <w:bottom w:type="dxa" w:w="60"/>
              <w:right w:type="dxa" w:w="90"/>
            </w:tcMar>
            <w:vAlign w:val="center"/>
          </w:tcPr>
          <w:p>
            <w:r>
              <w:rPr>
                <w:b w:val="false"/>
                <w:bCs w:val="false"/>
                <w:sz w:val="18"/>
                <w:szCs w:val="18"/>
              </w:rPr>
              <w:t xml:space="preserve">30</w:t>
            </w:r>
          </w:p>
        </w:tc>
        <w:tc>
          <w:tcPr>
            <w:tcW w:type="dxa" w:w="5300"/>
            <w:tcMar>
              <w:top w:type="dxa" w:w="60"/>
              <w:left w:type="dxa" w:w="90"/>
              <w:bottom w:type="dxa" w:w="60"/>
              <w:right w:type="dxa" w:w="90"/>
            </w:tcMar>
            <w:vAlign w:val="center"/>
          </w:tcPr>
          <w:p>
            <w:r>
              <w:rPr>
                <w:b w:val="false"/>
                <w:bCs w:val="false"/>
                <w:sz w:val="18"/>
                <w:szCs w:val="18"/>
              </w:rPr>
              <w:t xml:space="preserve">Vine Academy (North Dallas/Fort Worth) — Grapevine, Texas</w:t>
            </w:r>
          </w:p>
        </w:tc>
        <w:tc>
          <w:tcPr>
            <w:tcW w:type="dxa" w:w="1100"/>
            <w:tcMar>
              <w:top w:type="dxa" w:w="60"/>
              <w:left w:type="dxa" w:w="90"/>
              <w:bottom w:type="dxa" w:w="60"/>
              <w:right w:type="dxa" w:w="90"/>
            </w:tcMar>
            <w:vAlign w:val="center"/>
          </w:tcPr>
          <w:p>
            <w:r>
              <w:rPr>
                <w:b w:val="false"/>
                <w:bCs w:val="false"/>
                <w:sz w:val="18"/>
                <w:szCs w:val="18"/>
              </w:rPr>
              <w:t xml:space="preserve">12</w:t>
            </w:r>
          </w:p>
        </w:tc>
        <w:tc>
          <w:tcPr>
            <w:tcW w:type="dxa" w:w="1100"/>
            <w:tcMar>
              <w:top w:type="dxa" w:w="60"/>
              <w:left w:type="dxa" w:w="90"/>
              <w:bottom w:type="dxa" w:w="60"/>
              <w:right w:type="dxa" w:w="90"/>
            </w:tcMar>
            <w:vAlign w:val="center"/>
          </w:tcPr>
          <w:p>
            <w:r>
              <w:rPr>
                <w:b w:val="false"/>
                <w:bCs w:val="false"/>
                <w:sz w:val="18"/>
                <w:szCs w:val="18"/>
              </w:rPr>
              <w:t xml:space="preserve">0.85%</w:t>
            </w:r>
          </w:p>
        </w:tc>
        <w:tc>
          <w:tcPr>
            <w:tcW w:type="dxa" w:w="1000"/>
            <w:tcMar>
              <w:top w:type="dxa" w:w="60"/>
              <w:left w:type="dxa" w:w="90"/>
              <w:bottom w:type="dxa" w:w="60"/>
              <w:right w:type="dxa" w:w="90"/>
            </w:tcMar>
            <w:vAlign w:val="center"/>
          </w:tcPr>
          <w:p>
            <w:r>
              <w:rPr>
                <w:b w:val="false"/>
                <w:bCs w:val="false"/>
                <w:sz w:val="18"/>
                <w:szCs w:val="18"/>
              </w:rPr>
              <w:t xml:space="preserve">1</w:t>
            </w:r>
          </w:p>
        </w:tc>
      </w:tr>
      <w:tr>
        <w:trPr>
          <w:cantSplit/>
        </w:trPr>
        <w:tc>
          <w:tcPr>
            <w:tcW w:type="dxa" w:w="500"/>
            <w:tcMar>
              <w:top w:type="dxa" w:w="60"/>
              <w:left w:type="dxa" w:w="90"/>
              <w:bottom w:type="dxa" w:w="60"/>
              <w:right w:type="dxa" w:w="90"/>
            </w:tcMar>
            <w:vAlign w:val="center"/>
          </w:tcPr>
          <w:p>
            <w:r>
              <w:rPr>
                <w:b w:val="false"/>
                <w:bCs w:val="false"/>
                <w:sz w:val="18"/>
                <w:szCs w:val="18"/>
              </w:rPr>
              <w:t xml:space="preserve">31</w:t>
            </w:r>
          </w:p>
        </w:tc>
        <w:tc>
          <w:tcPr>
            <w:tcW w:type="dxa" w:w="5300"/>
            <w:tcMar>
              <w:top w:type="dxa" w:w="60"/>
              <w:left w:type="dxa" w:w="90"/>
              <w:bottom w:type="dxa" w:w="60"/>
              <w:right w:type="dxa" w:w="90"/>
            </w:tcMar>
            <w:vAlign w:val="center"/>
          </w:tcPr>
          <w:p>
            <w:r>
              <w:rPr>
                <w:b w:val="false"/>
                <w:bCs w:val="false"/>
                <w:sz w:val="18"/>
                <w:szCs w:val="18"/>
              </w:rPr>
              <w:t xml:space="preserve">Acton Academy Fort Worth — Fort Worth, Texas</w:t>
            </w:r>
          </w:p>
        </w:tc>
        <w:tc>
          <w:tcPr>
            <w:tcW w:type="dxa" w:w="1100"/>
            <w:tcMar>
              <w:top w:type="dxa" w:w="60"/>
              <w:left w:type="dxa" w:w="90"/>
              <w:bottom w:type="dxa" w:w="60"/>
              <w:right w:type="dxa" w:w="90"/>
            </w:tcMar>
            <w:vAlign w:val="center"/>
          </w:tcPr>
          <w:p>
            <w:r>
              <w:rPr>
                <w:b w:val="false"/>
                <w:bCs w:val="false"/>
                <w:sz w:val="18"/>
                <w:szCs w:val="18"/>
              </w:rPr>
              <w:t xml:space="preserve">12</w:t>
            </w:r>
          </w:p>
        </w:tc>
        <w:tc>
          <w:tcPr>
            <w:tcW w:type="dxa" w:w="1100"/>
            <w:tcMar>
              <w:top w:type="dxa" w:w="60"/>
              <w:left w:type="dxa" w:w="90"/>
              <w:bottom w:type="dxa" w:w="60"/>
              <w:right w:type="dxa" w:w="90"/>
            </w:tcMar>
            <w:vAlign w:val="center"/>
          </w:tcPr>
          <w:p>
            <w:r>
              <w:rPr>
                <w:b w:val="false"/>
                <w:bCs w:val="false"/>
                <w:sz w:val="18"/>
                <w:szCs w:val="18"/>
              </w:rPr>
              <w:t xml:space="preserve">0.85%</w:t>
            </w:r>
          </w:p>
        </w:tc>
        <w:tc>
          <w:tcPr>
            <w:tcW w:type="dxa" w:w="1000"/>
            <w:tcMar>
              <w:top w:type="dxa" w:w="60"/>
              <w:left w:type="dxa" w:w="90"/>
              <w:bottom w:type="dxa" w:w="60"/>
              <w:right w:type="dxa" w:w="90"/>
            </w:tcMar>
            <w:vAlign w:val="center"/>
          </w:tcPr>
          <w:p>
            <w:r>
              <w:rPr>
                <w:b w:val="false"/>
                <w:bCs w:val="false"/>
                <w:sz w:val="18"/>
                <w:szCs w:val="18"/>
              </w:rPr>
              <w:t xml:space="preserve">1</w:t>
            </w:r>
          </w:p>
        </w:tc>
      </w:tr>
      <w:tr>
        <w:trPr>
          <w:cantSplit/>
        </w:trPr>
        <w:tc>
          <w:tcPr>
            <w:tcW w:type="dxa" w:w="500"/>
            <w:tcMar>
              <w:top w:type="dxa" w:w="60"/>
              <w:left w:type="dxa" w:w="90"/>
              <w:bottom w:type="dxa" w:w="60"/>
              <w:right w:type="dxa" w:w="90"/>
            </w:tcMar>
            <w:vAlign w:val="center"/>
          </w:tcPr>
          <w:p>
            <w:r>
              <w:rPr>
                <w:b w:val="false"/>
                <w:bCs w:val="false"/>
                <w:sz w:val="18"/>
                <w:szCs w:val="18"/>
              </w:rPr>
              <w:t xml:space="preserve">32</w:t>
            </w:r>
          </w:p>
        </w:tc>
        <w:tc>
          <w:tcPr>
            <w:tcW w:type="dxa" w:w="5300"/>
            <w:tcMar>
              <w:top w:type="dxa" w:w="60"/>
              <w:left w:type="dxa" w:w="90"/>
              <w:bottom w:type="dxa" w:w="60"/>
              <w:right w:type="dxa" w:w="90"/>
            </w:tcMar>
            <w:vAlign w:val="center"/>
          </w:tcPr>
          <w:p>
            <w:r>
              <w:rPr>
                <w:b w:val="false"/>
                <w:bCs w:val="false"/>
                <w:sz w:val="18"/>
                <w:szCs w:val="18"/>
              </w:rPr>
              <w:t xml:space="preserve">Acton Academy Toronto — Toronto, Ontario</w:t>
            </w:r>
          </w:p>
        </w:tc>
        <w:tc>
          <w:tcPr>
            <w:tcW w:type="dxa" w:w="1100"/>
            <w:tcMar>
              <w:top w:type="dxa" w:w="60"/>
              <w:left w:type="dxa" w:w="90"/>
              <w:bottom w:type="dxa" w:w="60"/>
              <w:right w:type="dxa" w:w="90"/>
            </w:tcMar>
            <w:vAlign w:val="center"/>
          </w:tcPr>
          <w:p>
            <w:r>
              <w:rPr>
                <w:b w:val="false"/>
                <w:bCs w:val="false"/>
                <w:sz w:val="18"/>
                <w:szCs w:val="18"/>
              </w:rPr>
              <w:t xml:space="preserve">12</w:t>
            </w:r>
          </w:p>
        </w:tc>
        <w:tc>
          <w:tcPr>
            <w:tcW w:type="dxa" w:w="1100"/>
            <w:tcMar>
              <w:top w:type="dxa" w:w="60"/>
              <w:left w:type="dxa" w:w="90"/>
              <w:bottom w:type="dxa" w:w="60"/>
              <w:right w:type="dxa" w:w="90"/>
            </w:tcMar>
            <w:vAlign w:val="center"/>
          </w:tcPr>
          <w:p>
            <w:r>
              <w:rPr>
                <w:b w:val="false"/>
                <w:bCs w:val="false"/>
                <w:sz w:val="18"/>
                <w:szCs w:val="18"/>
              </w:rPr>
              <w:t xml:space="preserve">0.85%</w:t>
            </w:r>
          </w:p>
        </w:tc>
        <w:tc>
          <w:tcPr>
            <w:tcW w:type="dxa" w:w="1000"/>
            <w:tcMar>
              <w:top w:type="dxa" w:w="60"/>
              <w:left w:type="dxa" w:w="90"/>
              <w:bottom w:type="dxa" w:w="60"/>
              <w:right w:type="dxa" w:w="90"/>
            </w:tcMar>
            <w:vAlign w:val="center"/>
          </w:tcPr>
          <w:p>
            <w:r>
              <w:rPr>
                <w:b w:val="false"/>
                <w:bCs w:val="false"/>
                <w:sz w:val="18"/>
                <w:szCs w:val="18"/>
              </w:rPr>
              <w:t xml:space="preserve">1</w:t>
            </w:r>
          </w:p>
        </w:tc>
      </w:tr>
      <w:tr>
        <w:trPr>
          <w:cantSplit/>
        </w:trPr>
        <w:tc>
          <w:tcPr>
            <w:tcW w:type="dxa" w:w="500"/>
            <w:tcMar>
              <w:top w:type="dxa" w:w="60"/>
              <w:left w:type="dxa" w:w="90"/>
              <w:bottom w:type="dxa" w:w="60"/>
              <w:right w:type="dxa" w:w="90"/>
            </w:tcMar>
            <w:vAlign w:val="center"/>
          </w:tcPr>
          <w:p>
            <w:r>
              <w:rPr>
                <w:b w:val="false"/>
                <w:bCs w:val="false"/>
                <w:sz w:val="18"/>
                <w:szCs w:val="18"/>
              </w:rPr>
              <w:t xml:space="preserve">33</w:t>
            </w:r>
          </w:p>
        </w:tc>
        <w:tc>
          <w:tcPr>
            <w:tcW w:type="dxa" w:w="5300"/>
            <w:tcMar>
              <w:top w:type="dxa" w:w="60"/>
              <w:left w:type="dxa" w:w="90"/>
              <w:bottom w:type="dxa" w:w="60"/>
              <w:right w:type="dxa" w:w="90"/>
            </w:tcMar>
            <w:vAlign w:val="center"/>
          </w:tcPr>
          <w:p>
            <w:r>
              <w:rPr>
                <w:b w:val="false"/>
                <w:bCs w:val="false"/>
                <w:sz w:val="18"/>
                <w:szCs w:val="18"/>
              </w:rPr>
              <w:t xml:space="preserve">Odyssey An Acton Academy — Carrollton, Georgia</w:t>
            </w:r>
          </w:p>
        </w:tc>
        <w:tc>
          <w:tcPr>
            <w:tcW w:type="dxa" w:w="1100"/>
            <w:tcMar>
              <w:top w:type="dxa" w:w="60"/>
              <w:left w:type="dxa" w:w="90"/>
              <w:bottom w:type="dxa" w:w="60"/>
              <w:right w:type="dxa" w:w="90"/>
            </w:tcMar>
            <w:vAlign w:val="center"/>
          </w:tcPr>
          <w:p>
            <w:r>
              <w:rPr>
                <w:b w:val="false"/>
                <w:bCs w:val="false"/>
                <w:sz w:val="18"/>
                <w:szCs w:val="18"/>
              </w:rPr>
              <w:t xml:space="preserve">12</w:t>
            </w:r>
          </w:p>
        </w:tc>
        <w:tc>
          <w:tcPr>
            <w:tcW w:type="dxa" w:w="1100"/>
            <w:tcMar>
              <w:top w:type="dxa" w:w="60"/>
              <w:left w:type="dxa" w:w="90"/>
              <w:bottom w:type="dxa" w:w="60"/>
              <w:right w:type="dxa" w:w="90"/>
            </w:tcMar>
            <w:vAlign w:val="center"/>
          </w:tcPr>
          <w:p>
            <w:r>
              <w:rPr>
                <w:b w:val="false"/>
                <w:bCs w:val="false"/>
                <w:sz w:val="18"/>
                <w:szCs w:val="18"/>
              </w:rPr>
              <w:t xml:space="preserve">0.85%</w:t>
            </w:r>
          </w:p>
        </w:tc>
        <w:tc>
          <w:tcPr>
            <w:tcW w:type="dxa" w:w="1000"/>
            <w:tcMar>
              <w:top w:type="dxa" w:w="60"/>
              <w:left w:type="dxa" w:w="90"/>
              <w:bottom w:type="dxa" w:w="60"/>
              <w:right w:type="dxa" w:w="90"/>
            </w:tcMar>
            <w:vAlign w:val="center"/>
          </w:tcPr>
          <w:p>
            <w:r>
              <w:rPr>
                <w:b w:val="false"/>
                <w:bCs w:val="false"/>
                <w:sz w:val="18"/>
                <w:szCs w:val="18"/>
              </w:rPr>
              <w:t xml:space="preserve">1</w:t>
            </w:r>
          </w:p>
        </w:tc>
      </w:tr>
      <w:tr>
        <w:trPr>
          <w:cantSplit/>
        </w:trPr>
        <w:tc>
          <w:tcPr>
            <w:tcW w:type="dxa" w:w="500"/>
            <w:tcMar>
              <w:top w:type="dxa" w:w="60"/>
              <w:left w:type="dxa" w:w="90"/>
              <w:bottom w:type="dxa" w:w="60"/>
              <w:right w:type="dxa" w:w="90"/>
            </w:tcMar>
            <w:vAlign w:val="center"/>
          </w:tcPr>
          <w:p>
            <w:r>
              <w:rPr>
                <w:b w:val="false"/>
                <w:bCs w:val="false"/>
                <w:sz w:val="18"/>
                <w:szCs w:val="18"/>
              </w:rPr>
              <w:t xml:space="preserve">34</w:t>
            </w:r>
          </w:p>
        </w:tc>
        <w:tc>
          <w:tcPr>
            <w:tcW w:type="dxa" w:w="5300"/>
            <w:tcMar>
              <w:top w:type="dxa" w:w="60"/>
              <w:left w:type="dxa" w:w="90"/>
              <w:bottom w:type="dxa" w:w="60"/>
              <w:right w:type="dxa" w:w="90"/>
            </w:tcMar>
            <w:vAlign w:val="center"/>
          </w:tcPr>
          <w:p>
            <w:r>
              <w:rPr>
                <w:b w:val="false"/>
                <w:bCs w:val="false"/>
                <w:sz w:val="18"/>
                <w:szCs w:val="18"/>
              </w:rPr>
              <w:t xml:space="preserve">Summit School: An Acton Academy — Waco, Texas</w:t>
            </w:r>
          </w:p>
        </w:tc>
        <w:tc>
          <w:tcPr>
            <w:tcW w:type="dxa" w:w="1100"/>
            <w:tcMar>
              <w:top w:type="dxa" w:w="60"/>
              <w:left w:type="dxa" w:w="90"/>
              <w:bottom w:type="dxa" w:w="60"/>
              <w:right w:type="dxa" w:w="90"/>
            </w:tcMar>
            <w:vAlign w:val="center"/>
          </w:tcPr>
          <w:p>
            <w:r>
              <w:rPr>
                <w:b w:val="false"/>
                <w:bCs w:val="false"/>
                <w:sz w:val="18"/>
                <w:szCs w:val="18"/>
              </w:rPr>
              <w:t xml:space="preserve">12</w:t>
            </w:r>
          </w:p>
        </w:tc>
        <w:tc>
          <w:tcPr>
            <w:tcW w:type="dxa" w:w="1100"/>
            <w:tcMar>
              <w:top w:type="dxa" w:w="60"/>
              <w:left w:type="dxa" w:w="90"/>
              <w:bottom w:type="dxa" w:w="60"/>
              <w:right w:type="dxa" w:w="90"/>
            </w:tcMar>
            <w:vAlign w:val="center"/>
          </w:tcPr>
          <w:p>
            <w:r>
              <w:rPr>
                <w:b w:val="false"/>
                <w:bCs w:val="false"/>
                <w:sz w:val="18"/>
                <w:szCs w:val="18"/>
              </w:rPr>
              <w:t xml:space="preserve">0.85%</w:t>
            </w:r>
          </w:p>
        </w:tc>
        <w:tc>
          <w:tcPr>
            <w:tcW w:type="dxa" w:w="1000"/>
            <w:tcMar>
              <w:top w:type="dxa" w:w="60"/>
              <w:left w:type="dxa" w:w="90"/>
              <w:bottom w:type="dxa" w:w="60"/>
              <w:right w:type="dxa" w:w="90"/>
            </w:tcMar>
            <w:vAlign w:val="center"/>
          </w:tcPr>
          <w:p>
            <w:r>
              <w:rPr>
                <w:b w:val="false"/>
                <w:bCs w:val="false"/>
                <w:sz w:val="18"/>
                <w:szCs w:val="18"/>
              </w:rPr>
              <w:t xml:space="preserve">1</w:t>
            </w:r>
          </w:p>
        </w:tc>
      </w:tr>
      <w:tr>
        <w:trPr>
          <w:cantSplit/>
        </w:trPr>
        <w:tc>
          <w:tcPr>
            <w:tcW w:type="dxa" w:w="500"/>
            <w:tcMar>
              <w:top w:type="dxa" w:w="60"/>
              <w:left w:type="dxa" w:w="90"/>
              <w:bottom w:type="dxa" w:w="60"/>
              <w:right w:type="dxa" w:w="90"/>
            </w:tcMar>
            <w:vAlign w:val="center"/>
          </w:tcPr>
          <w:p>
            <w:r>
              <w:rPr>
                <w:b w:val="false"/>
                <w:bCs w:val="false"/>
                <w:sz w:val="18"/>
                <w:szCs w:val="18"/>
              </w:rPr>
              <w:t xml:space="preserve">35</w:t>
            </w:r>
          </w:p>
        </w:tc>
        <w:tc>
          <w:tcPr>
            <w:tcW w:type="dxa" w:w="5300"/>
            <w:tcMar>
              <w:top w:type="dxa" w:w="60"/>
              <w:left w:type="dxa" w:w="90"/>
              <w:bottom w:type="dxa" w:w="60"/>
              <w:right w:type="dxa" w:w="90"/>
            </w:tcMar>
            <w:vAlign w:val="center"/>
          </w:tcPr>
          <w:p>
            <w:r>
              <w:rPr>
                <w:b w:val="false"/>
                <w:bCs w:val="false"/>
                <w:sz w:val="18"/>
                <w:szCs w:val="18"/>
              </w:rPr>
              <w:t xml:space="preserve">Revel Academy — Ottawa, Ontario</w:t>
            </w:r>
          </w:p>
        </w:tc>
        <w:tc>
          <w:tcPr>
            <w:tcW w:type="dxa" w:w="1100"/>
            <w:tcMar>
              <w:top w:type="dxa" w:w="60"/>
              <w:left w:type="dxa" w:w="90"/>
              <w:bottom w:type="dxa" w:w="60"/>
              <w:right w:type="dxa" w:w="90"/>
            </w:tcMar>
            <w:vAlign w:val="center"/>
          </w:tcPr>
          <w:p>
            <w:r>
              <w:rPr>
                <w:b w:val="false"/>
                <w:bCs w:val="false"/>
                <w:sz w:val="18"/>
                <w:szCs w:val="18"/>
              </w:rPr>
              <w:t xml:space="preserve">12</w:t>
            </w:r>
          </w:p>
        </w:tc>
        <w:tc>
          <w:tcPr>
            <w:tcW w:type="dxa" w:w="1100"/>
            <w:tcMar>
              <w:top w:type="dxa" w:w="60"/>
              <w:left w:type="dxa" w:w="90"/>
              <w:bottom w:type="dxa" w:w="60"/>
              <w:right w:type="dxa" w:w="90"/>
            </w:tcMar>
            <w:vAlign w:val="center"/>
          </w:tcPr>
          <w:p>
            <w:r>
              <w:rPr>
                <w:b w:val="false"/>
                <w:bCs w:val="false"/>
                <w:sz w:val="18"/>
                <w:szCs w:val="18"/>
              </w:rPr>
              <w:t xml:space="preserve">0.85%</w:t>
            </w:r>
          </w:p>
        </w:tc>
        <w:tc>
          <w:tcPr>
            <w:tcW w:type="dxa" w:w="1000"/>
            <w:tcMar>
              <w:top w:type="dxa" w:w="60"/>
              <w:left w:type="dxa" w:w="90"/>
              <w:bottom w:type="dxa" w:w="60"/>
              <w:right w:type="dxa" w:w="90"/>
            </w:tcMar>
            <w:vAlign w:val="center"/>
          </w:tcPr>
          <w:p>
            <w:r>
              <w:rPr>
                <w:b w:val="false"/>
                <w:bCs w:val="false"/>
                <w:sz w:val="18"/>
                <w:szCs w:val="18"/>
              </w:rPr>
              <w:t xml:space="preserve">1</w:t>
            </w:r>
          </w:p>
        </w:tc>
      </w:tr>
      <w:tr>
        <w:trPr>
          <w:cantSplit/>
        </w:trPr>
        <w:tc>
          <w:tcPr>
            <w:tcW w:type="dxa" w:w="500"/>
            <w:tcMar>
              <w:top w:type="dxa" w:w="60"/>
              <w:left w:type="dxa" w:w="90"/>
              <w:bottom w:type="dxa" w:w="60"/>
              <w:right w:type="dxa" w:w="90"/>
            </w:tcMar>
            <w:vAlign w:val="center"/>
          </w:tcPr>
          <w:p>
            <w:r>
              <w:rPr>
                <w:b w:val="false"/>
                <w:bCs w:val="false"/>
                <w:sz w:val="18"/>
                <w:szCs w:val="18"/>
              </w:rPr>
              <w:t xml:space="preserve">36</w:t>
            </w:r>
          </w:p>
        </w:tc>
        <w:tc>
          <w:tcPr>
            <w:tcW w:type="dxa" w:w="5300"/>
            <w:tcMar>
              <w:top w:type="dxa" w:w="60"/>
              <w:left w:type="dxa" w:w="90"/>
              <w:bottom w:type="dxa" w:w="60"/>
              <w:right w:type="dxa" w:w="90"/>
            </w:tcMar>
            <w:vAlign w:val="center"/>
          </w:tcPr>
          <w:p>
            <w:r>
              <w:rPr>
                <w:b w:val="false"/>
                <w:bCs w:val="false"/>
                <w:sz w:val="18"/>
                <w:szCs w:val="18"/>
              </w:rPr>
              <w:t xml:space="preserve">Acton Academy Islamabad — Islamabad, Pakistan</w:t>
            </w:r>
          </w:p>
        </w:tc>
        <w:tc>
          <w:tcPr>
            <w:tcW w:type="dxa" w:w="1100"/>
            <w:tcMar>
              <w:top w:type="dxa" w:w="60"/>
              <w:left w:type="dxa" w:w="90"/>
              <w:bottom w:type="dxa" w:w="60"/>
              <w:right w:type="dxa" w:w="90"/>
            </w:tcMar>
            <w:vAlign w:val="center"/>
          </w:tcPr>
          <w:p>
            <w:r>
              <w:rPr>
                <w:b w:val="false"/>
                <w:bCs w:val="false"/>
                <w:sz w:val="18"/>
                <w:szCs w:val="18"/>
              </w:rPr>
              <w:t xml:space="preserve">12</w:t>
            </w:r>
          </w:p>
        </w:tc>
        <w:tc>
          <w:tcPr>
            <w:tcW w:type="dxa" w:w="1100"/>
            <w:tcMar>
              <w:top w:type="dxa" w:w="60"/>
              <w:left w:type="dxa" w:w="90"/>
              <w:bottom w:type="dxa" w:w="60"/>
              <w:right w:type="dxa" w:w="90"/>
            </w:tcMar>
            <w:vAlign w:val="center"/>
          </w:tcPr>
          <w:p>
            <w:r>
              <w:rPr>
                <w:b w:val="false"/>
                <w:bCs w:val="false"/>
                <w:sz w:val="18"/>
                <w:szCs w:val="18"/>
              </w:rPr>
              <w:t xml:space="preserve">0.85%</w:t>
            </w:r>
          </w:p>
        </w:tc>
        <w:tc>
          <w:tcPr>
            <w:tcW w:type="dxa" w:w="1000"/>
            <w:tcMar>
              <w:top w:type="dxa" w:w="60"/>
              <w:left w:type="dxa" w:w="90"/>
              <w:bottom w:type="dxa" w:w="60"/>
              <w:right w:type="dxa" w:w="90"/>
            </w:tcMar>
            <w:vAlign w:val="center"/>
          </w:tcPr>
          <w:p>
            <w:r>
              <w:rPr>
                <w:b w:val="false"/>
                <w:bCs w:val="false"/>
                <w:sz w:val="18"/>
                <w:szCs w:val="18"/>
              </w:rPr>
              <w:t xml:space="preserve">1</w:t>
            </w:r>
          </w:p>
        </w:tc>
      </w:tr>
      <w:tr>
        <w:trPr>
          <w:cantSplit/>
        </w:trPr>
        <w:tc>
          <w:tcPr>
            <w:tcW w:type="dxa" w:w="500"/>
            <w:tcMar>
              <w:top w:type="dxa" w:w="60"/>
              <w:left w:type="dxa" w:w="90"/>
              <w:bottom w:type="dxa" w:w="60"/>
              <w:right w:type="dxa" w:w="90"/>
            </w:tcMar>
            <w:vAlign w:val="center"/>
          </w:tcPr>
          <w:p>
            <w:r>
              <w:rPr>
                <w:b w:val="false"/>
                <w:bCs w:val="false"/>
                <w:sz w:val="18"/>
                <w:szCs w:val="18"/>
              </w:rPr>
              <w:t xml:space="preserve">37</w:t>
            </w:r>
          </w:p>
        </w:tc>
        <w:tc>
          <w:tcPr>
            <w:tcW w:type="dxa" w:w="5300"/>
            <w:tcMar>
              <w:top w:type="dxa" w:w="60"/>
              <w:left w:type="dxa" w:w="90"/>
              <w:bottom w:type="dxa" w:w="60"/>
              <w:right w:type="dxa" w:w="90"/>
            </w:tcMar>
            <w:vAlign w:val="center"/>
          </w:tcPr>
          <w:p>
            <w:r>
              <w:rPr>
                <w:b w:val="false"/>
                <w:bCs w:val="false"/>
                <w:sz w:val="18"/>
                <w:szCs w:val="18"/>
              </w:rPr>
              <w:t xml:space="preserve">Acton Academy East Bay — Livermore, California</w:t>
            </w:r>
          </w:p>
        </w:tc>
        <w:tc>
          <w:tcPr>
            <w:tcW w:type="dxa" w:w="1100"/>
            <w:tcMar>
              <w:top w:type="dxa" w:w="60"/>
              <w:left w:type="dxa" w:w="90"/>
              <w:bottom w:type="dxa" w:w="60"/>
              <w:right w:type="dxa" w:w="90"/>
            </w:tcMar>
            <w:vAlign w:val="center"/>
          </w:tcPr>
          <w:p>
            <w:r>
              <w:rPr>
                <w:b w:val="false"/>
                <w:bCs w:val="false"/>
                <w:sz w:val="18"/>
                <w:szCs w:val="18"/>
              </w:rPr>
              <w:t xml:space="preserve">12</w:t>
            </w:r>
          </w:p>
        </w:tc>
        <w:tc>
          <w:tcPr>
            <w:tcW w:type="dxa" w:w="1100"/>
            <w:tcMar>
              <w:top w:type="dxa" w:w="60"/>
              <w:left w:type="dxa" w:w="90"/>
              <w:bottom w:type="dxa" w:w="60"/>
              <w:right w:type="dxa" w:w="90"/>
            </w:tcMar>
            <w:vAlign w:val="center"/>
          </w:tcPr>
          <w:p>
            <w:r>
              <w:rPr>
                <w:b w:val="false"/>
                <w:bCs w:val="false"/>
                <w:sz w:val="18"/>
                <w:szCs w:val="18"/>
              </w:rPr>
              <w:t xml:space="preserve">0.85%</w:t>
            </w:r>
          </w:p>
        </w:tc>
        <w:tc>
          <w:tcPr>
            <w:tcW w:type="dxa" w:w="1000"/>
            <w:tcMar>
              <w:top w:type="dxa" w:w="60"/>
              <w:left w:type="dxa" w:w="90"/>
              <w:bottom w:type="dxa" w:w="60"/>
              <w:right w:type="dxa" w:w="90"/>
            </w:tcMar>
            <w:vAlign w:val="center"/>
          </w:tcPr>
          <w:p>
            <w:r>
              <w:rPr>
                <w:b w:val="false"/>
                <w:bCs w:val="false"/>
                <w:sz w:val="18"/>
                <w:szCs w:val="18"/>
              </w:rPr>
              <w:t xml:space="preserve">1</w:t>
            </w:r>
          </w:p>
        </w:tc>
      </w:tr>
      <w:tr>
        <w:trPr>
          <w:cantSplit/>
        </w:trPr>
        <w:tc>
          <w:tcPr>
            <w:tcW w:type="dxa" w:w="500"/>
            <w:tcMar>
              <w:top w:type="dxa" w:w="60"/>
              <w:left w:type="dxa" w:w="90"/>
              <w:bottom w:type="dxa" w:w="60"/>
              <w:right w:type="dxa" w:w="90"/>
            </w:tcMar>
            <w:vAlign w:val="center"/>
          </w:tcPr>
          <w:p>
            <w:r>
              <w:rPr>
                <w:b w:val="false"/>
                <w:bCs w:val="false"/>
                <w:sz w:val="18"/>
                <w:szCs w:val="18"/>
              </w:rPr>
              <w:t xml:space="preserve">38</w:t>
            </w:r>
          </w:p>
        </w:tc>
        <w:tc>
          <w:tcPr>
            <w:tcW w:type="dxa" w:w="5300"/>
            <w:tcMar>
              <w:top w:type="dxa" w:w="60"/>
              <w:left w:type="dxa" w:w="90"/>
              <w:bottom w:type="dxa" w:w="60"/>
              <w:right w:type="dxa" w:w="90"/>
            </w:tcMar>
            <w:vAlign w:val="center"/>
          </w:tcPr>
          <w:p>
            <w:r>
              <w:rPr>
                <w:b w:val="false"/>
                <w:bCs w:val="false"/>
                <w:sz w:val="18"/>
                <w:szCs w:val="18"/>
              </w:rPr>
              <w:t xml:space="preserve">Acton Academy Placer County — Placer County, California</w:t>
            </w:r>
          </w:p>
        </w:tc>
        <w:tc>
          <w:tcPr>
            <w:tcW w:type="dxa" w:w="1100"/>
            <w:tcMar>
              <w:top w:type="dxa" w:w="60"/>
              <w:left w:type="dxa" w:w="90"/>
              <w:bottom w:type="dxa" w:w="60"/>
              <w:right w:type="dxa" w:w="90"/>
            </w:tcMar>
            <w:vAlign w:val="center"/>
          </w:tcPr>
          <w:p>
            <w:r>
              <w:rPr>
                <w:b w:val="false"/>
                <w:bCs w:val="false"/>
                <w:sz w:val="18"/>
                <w:szCs w:val="18"/>
              </w:rPr>
              <w:t xml:space="preserve">12</w:t>
            </w:r>
          </w:p>
        </w:tc>
        <w:tc>
          <w:tcPr>
            <w:tcW w:type="dxa" w:w="1100"/>
            <w:tcMar>
              <w:top w:type="dxa" w:w="60"/>
              <w:left w:type="dxa" w:w="90"/>
              <w:bottom w:type="dxa" w:w="60"/>
              <w:right w:type="dxa" w:w="90"/>
            </w:tcMar>
            <w:vAlign w:val="center"/>
          </w:tcPr>
          <w:p>
            <w:r>
              <w:rPr>
                <w:b w:val="false"/>
                <w:bCs w:val="false"/>
                <w:sz w:val="18"/>
                <w:szCs w:val="18"/>
              </w:rPr>
              <w:t xml:space="preserve">0.85%</w:t>
            </w:r>
          </w:p>
        </w:tc>
        <w:tc>
          <w:tcPr>
            <w:tcW w:type="dxa" w:w="1000"/>
            <w:tcMar>
              <w:top w:type="dxa" w:w="60"/>
              <w:left w:type="dxa" w:w="90"/>
              <w:bottom w:type="dxa" w:w="60"/>
              <w:right w:type="dxa" w:w="90"/>
            </w:tcMar>
            <w:vAlign w:val="center"/>
          </w:tcPr>
          <w:p>
            <w:r>
              <w:rPr>
                <w:b w:val="false"/>
                <w:bCs w:val="false"/>
                <w:sz w:val="18"/>
                <w:szCs w:val="18"/>
              </w:rPr>
              <w:t xml:space="preserve">1</w:t>
            </w:r>
          </w:p>
        </w:tc>
      </w:tr>
      <w:tr>
        <w:trPr>
          <w:cantSplit/>
        </w:trPr>
        <w:tc>
          <w:tcPr>
            <w:tcW w:type="dxa" w:w="500"/>
            <w:tcMar>
              <w:top w:type="dxa" w:w="60"/>
              <w:left w:type="dxa" w:w="90"/>
              <w:bottom w:type="dxa" w:w="60"/>
              <w:right w:type="dxa" w:w="90"/>
            </w:tcMar>
            <w:vAlign w:val="center"/>
          </w:tcPr>
          <w:p>
            <w:r>
              <w:rPr>
                <w:b w:val="false"/>
                <w:bCs w:val="false"/>
                <w:sz w:val="18"/>
                <w:szCs w:val="18"/>
              </w:rPr>
              <w:t xml:space="preserve">39</w:t>
            </w:r>
          </w:p>
        </w:tc>
        <w:tc>
          <w:tcPr>
            <w:tcW w:type="dxa" w:w="5300"/>
            <w:tcMar>
              <w:top w:type="dxa" w:w="60"/>
              <w:left w:type="dxa" w:w="90"/>
              <w:bottom w:type="dxa" w:w="60"/>
              <w:right w:type="dxa" w:w="90"/>
            </w:tcMar>
            <w:vAlign w:val="center"/>
          </w:tcPr>
          <w:p>
            <w:r>
              <w:rPr>
                <w:b w:val="false"/>
                <w:bCs w:val="false"/>
                <w:sz w:val="18"/>
                <w:szCs w:val="18"/>
              </w:rPr>
              <w:t xml:space="preserve">Acton Academy Taipei — Taipei, Taiwan</w:t>
            </w:r>
          </w:p>
        </w:tc>
        <w:tc>
          <w:tcPr>
            <w:tcW w:type="dxa" w:w="1100"/>
            <w:tcMar>
              <w:top w:type="dxa" w:w="60"/>
              <w:left w:type="dxa" w:w="90"/>
              <w:bottom w:type="dxa" w:w="60"/>
              <w:right w:type="dxa" w:w="90"/>
            </w:tcMar>
            <w:vAlign w:val="center"/>
          </w:tcPr>
          <w:p>
            <w:r>
              <w:rPr>
                <w:b w:val="false"/>
                <w:bCs w:val="false"/>
                <w:sz w:val="18"/>
                <w:szCs w:val="18"/>
              </w:rPr>
              <w:t xml:space="preserve">12</w:t>
            </w:r>
          </w:p>
        </w:tc>
        <w:tc>
          <w:tcPr>
            <w:tcW w:type="dxa" w:w="1100"/>
            <w:tcMar>
              <w:top w:type="dxa" w:w="60"/>
              <w:left w:type="dxa" w:w="90"/>
              <w:bottom w:type="dxa" w:w="60"/>
              <w:right w:type="dxa" w:w="90"/>
            </w:tcMar>
            <w:vAlign w:val="center"/>
          </w:tcPr>
          <w:p>
            <w:r>
              <w:rPr>
                <w:b w:val="false"/>
                <w:bCs w:val="false"/>
                <w:sz w:val="18"/>
                <w:szCs w:val="18"/>
              </w:rPr>
              <w:t xml:space="preserve">0.85%</w:t>
            </w:r>
          </w:p>
        </w:tc>
        <w:tc>
          <w:tcPr>
            <w:tcW w:type="dxa" w:w="1000"/>
            <w:tcMar>
              <w:top w:type="dxa" w:w="60"/>
              <w:left w:type="dxa" w:w="90"/>
              <w:bottom w:type="dxa" w:w="60"/>
              <w:right w:type="dxa" w:w="90"/>
            </w:tcMar>
            <w:vAlign w:val="center"/>
          </w:tcPr>
          <w:p>
            <w:r>
              <w:rPr>
                <w:b w:val="false"/>
                <w:bCs w:val="false"/>
                <w:sz w:val="18"/>
                <w:szCs w:val="18"/>
              </w:rPr>
              <w:t xml:space="preserve">1</w:t>
            </w:r>
          </w:p>
        </w:tc>
      </w:tr>
      <w:tr>
        <w:trPr>
          <w:cantSplit/>
        </w:trPr>
        <w:tc>
          <w:tcPr>
            <w:tcW w:type="dxa" w:w="500"/>
            <w:tcMar>
              <w:top w:type="dxa" w:w="60"/>
              <w:left w:type="dxa" w:w="90"/>
              <w:bottom w:type="dxa" w:w="60"/>
              <w:right w:type="dxa" w:w="90"/>
            </w:tcMar>
            <w:vAlign w:val="center"/>
          </w:tcPr>
          <w:p>
            <w:r>
              <w:rPr>
                <w:b w:val="false"/>
                <w:bCs w:val="false"/>
                <w:sz w:val="18"/>
                <w:szCs w:val="18"/>
              </w:rPr>
              <w:t xml:space="preserve">40</w:t>
            </w:r>
          </w:p>
        </w:tc>
        <w:tc>
          <w:tcPr>
            <w:tcW w:type="dxa" w:w="5300"/>
            <w:tcMar>
              <w:top w:type="dxa" w:w="60"/>
              <w:left w:type="dxa" w:w="90"/>
              <w:bottom w:type="dxa" w:w="60"/>
              <w:right w:type="dxa" w:w="90"/>
            </w:tcMar>
            <w:vAlign w:val="center"/>
          </w:tcPr>
          <w:p>
            <w:r>
              <w:rPr>
                <w:b w:val="false"/>
                <w:bCs w:val="false"/>
                <w:sz w:val="18"/>
                <w:szCs w:val="18"/>
              </w:rPr>
              <w:t xml:space="preserve">Volcano Academy — Antigua, Guatemala</w:t>
            </w:r>
          </w:p>
        </w:tc>
        <w:tc>
          <w:tcPr>
            <w:tcW w:type="dxa" w:w="1100"/>
            <w:tcMar>
              <w:top w:type="dxa" w:w="60"/>
              <w:left w:type="dxa" w:w="90"/>
              <w:bottom w:type="dxa" w:w="60"/>
              <w:right w:type="dxa" w:w="90"/>
            </w:tcMar>
            <w:vAlign w:val="center"/>
          </w:tcPr>
          <w:p>
            <w:r>
              <w:rPr>
                <w:b w:val="false"/>
                <w:bCs w:val="false"/>
                <w:sz w:val="18"/>
                <w:szCs w:val="18"/>
              </w:rPr>
              <w:t xml:space="preserve">12</w:t>
            </w:r>
          </w:p>
        </w:tc>
        <w:tc>
          <w:tcPr>
            <w:tcW w:type="dxa" w:w="1100"/>
            <w:tcMar>
              <w:top w:type="dxa" w:w="60"/>
              <w:left w:type="dxa" w:w="90"/>
              <w:bottom w:type="dxa" w:w="60"/>
              <w:right w:type="dxa" w:w="90"/>
            </w:tcMar>
            <w:vAlign w:val="center"/>
          </w:tcPr>
          <w:p>
            <w:r>
              <w:rPr>
                <w:b w:val="false"/>
                <w:bCs w:val="false"/>
                <w:sz w:val="18"/>
                <w:szCs w:val="18"/>
              </w:rPr>
              <w:t xml:space="preserve">0.85%</w:t>
            </w:r>
          </w:p>
        </w:tc>
        <w:tc>
          <w:tcPr>
            <w:tcW w:type="dxa" w:w="1000"/>
            <w:tcMar>
              <w:top w:type="dxa" w:w="60"/>
              <w:left w:type="dxa" w:w="90"/>
              <w:bottom w:type="dxa" w:w="60"/>
              <w:right w:type="dxa" w:w="90"/>
            </w:tcMar>
            <w:vAlign w:val="center"/>
          </w:tcPr>
          <w:p>
            <w:r>
              <w:rPr>
                <w:b w:val="false"/>
                <w:bCs w:val="false"/>
                <w:sz w:val="18"/>
                <w:szCs w:val="18"/>
              </w:rPr>
              <w:t xml:space="preserve">1</w:t>
            </w:r>
          </w:p>
        </w:tc>
      </w:tr>
      <w:tr>
        <w:trPr>
          <w:cantSplit/>
        </w:trPr>
        <w:tc>
          <w:tcPr>
            <w:tcW w:type="dxa" w:w="500"/>
            <w:tcMar>
              <w:top w:type="dxa" w:w="60"/>
              <w:left w:type="dxa" w:w="90"/>
              <w:bottom w:type="dxa" w:w="60"/>
              <w:right w:type="dxa" w:w="90"/>
            </w:tcMar>
            <w:vAlign w:val="center"/>
          </w:tcPr>
          <w:p>
            <w:r>
              <w:rPr>
                <w:b w:val="false"/>
                <w:bCs w:val="false"/>
                <w:sz w:val="18"/>
                <w:szCs w:val="18"/>
              </w:rPr>
              <w:t xml:space="preserve">41</w:t>
            </w:r>
          </w:p>
        </w:tc>
        <w:tc>
          <w:tcPr>
            <w:tcW w:type="dxa" w:w="5300"/>
            <w:tcMar>
              <w:top w:type="dxa" w:w="60"/>
              <w:left w:type="dxa" w:w="90"/>
              <w:bottom w:type="dxa" w:w="60"/>
              <w:right w:type="dxa" w:w="90"/>
            </w:tcMar>
            <w:vAlign w:val="center"/>
          </w:tcPr>
          <w:p>
            <w:r>
              <w:rPr>
                <w:b w:val="false"/>
                <w:bCs w:val="false"/>
                <w:sz w:val="18"/>
                <w:szCs w:val="18"/>
              </w:rPr>
              <w:t xml:space="preserve">Acton Academy Tyler — Tyler, Texas</w:t>
            </w:r>
          </w:p>
        </w:tc>
        <w:tc>
          <w:tcPr>
            <w:tcW w:type="dxa" w:w="1100"/>
            <w:tcMar>
              <w:top w:type="dxa" w:w="60"/>
              <w:left w:type="dxa" w:w="90"/>
              <w:bottom w:type="dxa" w:w="60"/>
              <w:right w:type="dxa" w:w="90"/>
            </w:tcMar>
            <w:vAlign w:val="center"/>
          </w:tcPr>
          <w:p>
            <w:r>
              <w:rPr>
                <w:b w:val="false"/>
                <w:bCs w:val="false"/>
                <w:sz w:val="18"/>
                <w:szCs w:val="18"/>
              </w:rPr>
              <w:t xml:space="preserve">12</w:t>
            </w:r>
          </w:p>
        </w:tc>
        <w:tc>
          <w:tcPr>
            <w:tcW w:type="dxa" w:w="1100"/>
            <w:tcMar>
              <w:top w:type="dxa" w:w="60"/>
              <w:left w:type="dxa" w:w="90"/>
              <w:bottom w:type="dxa" w:w="60"/>
              <w:right w:type="dxa" w:w="90"/>
            </w:tcMar>
            <w:vAlign w:val="center"/>
          </w:tcPr>
          <w:p>
            <w:r>
              <w:rPr>
                <w:b w:val="false"/>
                <w:bCs w:val="false"/>
                <w:sz w:val="18"/>
                <w:szCs w:val="18"/>
              </w:rPr>
              <w:t xml:space="preserve">0.85%</w:t>
            </w:r>
          </w:p>
        </w:tc>
        <w:tc>
          <w:tcPr>
            <w:tcW w:type="dxa" w:w="1000"/>
            <w:tcMar>
              <w:top w:type="dxa" w:w="60"/>
              <w:left w:type="dxa" w:w="90"/>
              <w:bottom w:type="dxa" w:w="60"/>
              <w:right w:type="dxa" w:w="90"/>
            </w:tcMar>
            <w:vAlign w:val="center"/>
          </w:tcPr>
          <w:p>
            <w:r>
              <w:rPr>
                <w:b w:val="false"/>
                <w:bCs w:val="false"/>
                <w:sz w:val="18"/>
                <w:szCs w:val="18"/>
              </w:rPr>
              <w:t xml:space="preserve">1</w:t>
            </w:r>
          </w:p>
        </w:tc>
      </w:tr>
      <w:tr>
        <w:trPr>
          <w:cantSplit/>
        </w:trPr>
        <w:tc>
          <w:tcPr>
            <w:tcW w:type="dxa" w:w="500"/>
            <w:tcMar>
              <w:top w:type="dxa" w:w="60"/>
              <w:left w:type="dxa" w:w="90"/>
              <w:bottom w:type="dxa" w:w="60"/>
              <w:right w:type="dxa" w:w="90"/>
            </w:tcMar>
            <w:vAlign w:val="center"/>
          </w:tcPr>
          <w:p>
            <w:r>
              <w:rPr>
                <w:b w:val="false"/>
                <w:bCs w:val="false"/>
                <w:sz w:val="18"/>
                <w:szCs w:val="18"/>
              </w:rPr>
              <w:t xml:space="preserve">42</w:t>
            </w:r>
          </w:p>
        </w:tc>
        <w:tc>
          <w:tcPr>
            <w:tcW w:type="dxa" w:w="5300"/>
            <w:tcMar>
              <w:top w:type="dxa" w:w="60"/>
              <w:left w:type="dxa" w:w="90"/>
              <w:bottom w:type="dxa" w:w="60"/>
              <w:right w:type="dxa" w:w="90"/>
            </w:tcMar>
            <w:vAlign w:val="center"/>
          </w:tcPr>
          <w:p>
            <w:r>
              <w:rPr>
                <w:b w:val="false"/>
                <w:bCs w:val="false"/>
                <w:sz w:val="18"/>
                <w:szCs w:val="18"/>
              </w:rPr>
              <w:t xml:space="preserve">Acton Academy Praha, Prague, Czech Republic — Prague, Czech Republic</w:t>
            </w:r>
          </w:p>
        </w:tc>
        <w:tc>
          <w:tcPr>
            <w:tcW w:type="dxa" w:w="1100"/>
            <w:tcMar>
              <w:top w:type="dxa" w:w="60"/>
              <w:left w:type="dxa" w:w="90"/>
              <w:bottom w:type="dxa" w:w="60"/>
              <w:right w:type="dxa" w:w="90"/>
            </w:tcMar>
            <w:vAlign w:val="center"/>
          </w:tcPr>
          <w:p>
            <w:r>
              <w:rPr>
                <w:b w:val="false"/>
                <w:bCs w:val="false"/>
                <w:sz w:val="18"/>
                <w:szCs w:val="18"/>
              </w:rPr>
              <w:t xml:space="preserve">12</w:t>
            </w:r>
          </w:p>
        </w:tc>
        <w:tc>
          <w:tcPr>
            <w:tcW w:type="dxa" w:w="1100"/>
            <w:tcMar>
              <w:top w:type="dxa" w:w="60"/>
              <w:left w:type="dxa" w:w="90"/>
              <w:bottom w:type="dxa" w:w="60"/>
              <w:right w:type="dxa" w:w="90"/>
            </w:tcMar>
            <w:vAlign w:val="center"/>
          </w:tcPr>
          <w:p>
            <w:r>
              <w:rPr>
                <w:b w:val="false"/>
                <w:bCs w:val="false"/>
                <w:sz w:val="18"/>
                <w:szCs w:val="18"/>
              </w:rPr>
              <w:t xml:space="preserve">0.85%</w:t>
            </w:r>
          </w:p>
        </w:tc>
        <w:tc>
          <w:tcPr>
            <w:tcW w:type="dxa" w:w="1000"/>
            <w:tcMar>
              <w:top w:type="dxa" w:w="60"/>
              <w:left w:type="dxa" w:w="90"/>
              <w:bottom w:type="dxa" w:w="60"/>
              <w:right w:type="dxa" w:w="90"/>
            </w:tcMar>
            <w:vAlign w:val="center"/>
          </w:tcPr>
          <w:p>
            <w:r>
              <w:rPr>
                <w:b w:val="false"/>
                <w:bCs w:val="false"/>
                <w:sz w:val="18"/>
                <w:szCs w:val="18"/>
              </w:rPr>
              <w:t xml:space="preserve">1</w:t>
            </w:r>
          </w:p>
        </w:tc>
      </w:tr>
      <w:tr>
        <w:trPr>
          <w:cantSplit/>
        </w:trPr>
        <w:tc>
          <w:tcPr>
            <w:tcW w:type="dxa" w:w="500"/>
            <w:tcMar>
              <w:top w:type="dxa" w:w="60"/>
              <w:left w:type="dxa" w:w="90"/>
              <w:bottom w:type="dxa" w:w="60"/>
              <w:right w:type="dxa" w:w="90"/>
            </w:tcMar>
            <w:vAlign w:val="center"/>
          </w:tcPr>
          <w:p>
            <w:r>
              <w:rPr>
                <w:b w:val="false"/>
                <w:bCs w:val="false"/>
                <w:sz w:val="18"/>
                <w:szCs w:val="18"/>
              </w:rPr>
              <w:t xml:space="preserve">43</w:t>
            </w:r>
          </w:p>
        </w:tc>
        <w:tc>
          <w:tcPr>
            <w:tcW w:type="dxa" w:w="5300"/>
            <w:tcMar>
              <w:top w:type="dxa" w:w="60"/>
              <w:left w:type="dxa" w:w="90"/>
              <w:bottom w:type="dxa" w:w="60"/>
              <w:right w:type="dxa" w:w="90"/>
            </w:tcMar>
            <w:vAlign w:val="center"/>
          </w:tcPr>
          <w:p>
            <w:r>
              <w:rPr>
                <w:b w:val="false"/>
                <w:bCs w:val="false"/>
                <w:sz w:val="18"/>
                <w:szCs w:val="18"/>
              </w:rPr>
              <w:t xml:space="preserve">Acton Academy Red Rock — Las Vegas (Red Rock area), Nevada</w:t>
            </w:r>
          </w:p>
        </w:tc>
        <w:tc>
          <w:tcPr>
            <w:tcW w:type="dxa" w:w="1100"/>
            <w:tcMar>
              <w:top w:type="dxa" w:w="60"/>
              <w:left w:type="dxa" w:w="90"/>
              <w:bottom w:type="dxa" w:w="60"/>
              <w:right w:type="dxa" w:w="90"/>
            </w:tcMar>
            <w:vAlign w:val="center"/>
          </w:tcPr>
          <w:p>
            <w:r>
              <w:rPr>
                <w:b w:val="false"/>
                <w:bCs w:val="false"/>
                <w:sz w:val="18"/>
                <w:szCs w:val="18"/>
              </w:rPr>
              <w:t xml:space="preserve">12</w:t>
            </w:r>
          </w:p>
        </w:tc>
        <w:tc>
          <w:tcPr>
            <w:tcW w:type="dxa" w:w="1100"/>
            <w:tcMar>
              <w:top w:type="dxa" w:w="60"/>
              <w:left w:type="dxa" w:w="90"/>
              <w:bottom w:type="dxa" w:w="60"/>
              <w:right w:type="dxa" w:w="90"/>
            </w:tcMar>
            <w:vAlign w:val="center"/>
          </w:tcPr>
          <w:p>
            <w:r>
              <w:rPr>
                <w:b w:val="false"/>
                <w:bCs w:val="false"/>
                <w:sz w:val="18"/>
                <w:szCs w:val="18"/>
              </w:rPr>
              <w:t xml:space="preserve">0.85%</w:t>
            </w:r>
          </w:p>
        </w:tc>
        <w:tc>
          <w:tcPr>
            <w:tcW w:type="dxa" w:w="1000"/>
            <w:tcMar>
              <w:top w:type="dxa" w:w="60"/>
              <w:left w:type="dxa" w:w="90"/>
              <w:bottom w:type="dxa" w:w="60"/>
              <w:right w:type="dxa" w:w="90"/>
            </w:tcMar>
            <w:vAlign w:val="center"/>
          </w:tcPr>
          <w:p>
            <w:r>
              <w:rPr>
                <w:b w:val="false"/>
                <w:bCs w:val="false"/>
                <w:sz w:val="18"/>
                <w:szCs w:val="18"/>
              </w:rPr>
              <w:t xml:space="preserve">1</w:t>
            </w:r>
          </w:p>
        </w:tc>
      </w:tr>
      <w:tr>
        <w:trPr>
          <w:cantSplit/>
        </w:trPr>
        <w:tc>
          <w:tcPr>
            <w:tcW w:type="dxa" w:w="500"/>
            <w:tcMar>
              <w:top w:type="dxa" w:w="60"/>
              <w:left w:type="dxa" w:w="90"/>
              <w:bottom w:type="dxa" w:w="60"/>
              <w:right w:type="dxa" w:w="90"/>
            </w:tcMar>
            <w:vAlign w:val="center"/>
          </w:tcPr>
          <w:p>
            <w:r>
              <w:rPr>
                <w:b w:val="false"/>
                <w:bCs w:val="false"/>
                <w:sz w:val="18"/>
                <w:szCs w:val="18"/>
              </w:rPr>
              <w:t xml:space="preserve">44</w:t>
            </w:r>
          </w:p>
        </w:tc>
        <w:tc>
          <w:tcPr>
            <w:tcW w:type="dxa" w:w="5300"/>
            <w:tcMar>
              <w:top w:type="dxa" w:w="60"/>
              <w:left w:type="dxa" w:w="90"/>
              <w:bottom w:type="dxa" w:w="60"/>
              <w:right w:type="dxa" w:w="90"/>
            </w:tcMar>
            <w:vAlign w:val="center"/>
          </w:tcPr>
          <w:p>
            <w:r>
              <w:rPr>
                <w:b w:val="false"/>
                <w:bCs w:val="false"/>
                <w:sz w:val="18"/>
                <w:szCs w:val="18"/>
              </w:rPr>
              <w:t xml:space="preserve">Acton Academy Orange County — Orange County, California</w:t>
            </w:r>
          </w:p>
        </w:tc>
        <w:tc>
          <w:tcPr>
            <w:tcW w:type="dxa" w:w="1100"/>
            <w:tcMar>
              <w:top w:type="dxa" w:w="60"/>
              <w:left w:type="dxa" w:w="90"/>
              <w:bottom w:type="dxa" w:w="60"/>
              <w:right w:type="dxa" w:w="90"/>
            </w:tcMar>
            <w:vAlign w:val="center"/>
          </w:tcPr>
          <w:p>
            <w:r>
              <w:rPr>
                <w:b w:val="false"/>
                <w:bCs w:val="false"/>
                <w:sz w:val="18"/>
                <w:szCs w:val="18"/>
              </w:rPr>
              <w:t xml:space="preserve">12</w:t>
            </w:r>
          </w:p>
        </w:tc>
        <w:tc>
          <w:tcPr>
            <w:tcW w:type="dxa" w:w="1100"/>
            <w:tcMar>
              <w:top w:type="dxa" w:w="60"/>
              <w:left w:type="dxa" w:w="90"/>
              <w:bottom w:type="dxa" w:w="60"/>
              <w:right w:type="dxa" w:w="90"/>
            </w:tcMar>
            <w:vAlign w:val="center"/>
          </w:tcPr>
          <w:p>
            <w:r>
              <w:rPr>
                <w:b w:val="false"/>
                <w:bCs w:val="false"/>
                <w:sz w:val="18"/>
                <w:szCs w:val="18"/>
              </w:rPr>
              <w:t xml:space="preserve">0.85%</w:t>
            </w:r>
          </w:p>
        </w:tc>
        <w:tc>
          <w:tcPr>
            <w:tcW w:type="dxa" w:w="1000"/>
            <w:tcMar>
              <w:top w:type="dxa" w:w="60"/>
              <w:left w:type="dxa" w:w="90"/>
              <w:bottom w:type="dxa" w:w="60"/>
              <w:right w:type="dxa" w:w="90"/>
            </w:tcMar>
            <w:vAlign w:val="center"/>
          </w:tcPr>
          <w:p>
            <w:r>
              <w:rPr>
                <w:b w:val="false"/>
                <w:bCs w:val="false"/>
                <w:sz w:val="18"/>
                <w:szCs w:val="18"/>
              </w:rPr>
              <w:t xml:space="preserve">1</w:t>
            </w:r>
          </w:p>
        </w:tc>
      </w:tr>
      <w:tr>
        <w:trPr>
          <w:cantSplit/>
        </w:trPr>
        <w:tc>
          <w:tcPr>
            <w:tcW w:type="dxa" w:w="500"/>
            <w:tcMar>
              <w:top w:type="dxa" w:w="60"/>
              <w:left w:type="dxa" w:w="90"/>
              <w:bottom w:type="dxa" w:w="60"/>
              <w:right w:type="dxa" w:w="90"/>
            </w:tcMar>
            <w:vAlign w:val="center"/>
          </w:tcPr>
          <w:p>
            <w:r>
              <w:rPr>
                <w:b w:val="false"/>
                <w:bCs w:val="false"/>
                <w:sz w:val="18"/>
                <w:szCs w:val="18"/>
              </w:rPr>
              <w:t xml:space="preserve">45</w:t>
            </w:r>
          </w:p>
        </w:tc>
        <w:tc>
          <w:tcPr>
            <w:tcW w:type="dxa" w:w="5300"/>
            <w:tcMar>
              <w:top w:type="dxa" w:w="60"/>
              <w:left w:type="dxa" w:w="90"/>
              <w:bottom w:type="dxa" w:w="60"/>
              <w:right w:type="dxa" w:w="90"/>
            </w:tcMar>
            <w:vAlign w:val="center"/>
          </w:tcPr>
          <w:p>
            <w:r>
              <w:rPr>
                <w:b w:val="false"/>
                <w:bCs w:val="false"/>
                <w:sz w:val="18"/>
                <w:szCs w:val="18"/>
              </w:rPr>
              <w:t xml:space="preserve">Acton Academy Aljezur — Aljezur, Portugal</w:t>
            </w:r>
          </w:p>
        </w:tc>
        <w:tc>
          <w:tcPr>
            <w:tcW w:type="dxa" w:w="1100"/>
            <w:tcMar>
              <w:top w:type="dxa" w:w="60"/>
              <w:left w:type="dxa" w:w="90"/>
              <w:bottom w:type="dxa" w:w="60"/>
              <w:right w:type="dxa" w:w="90"/>
            </w:tcMar>
            <w:vAlign w:val="center"/>
          </w:tcPr>
          <w:p>
            <w:r>
              <w:rPr>
                <w:b w:val="false"/>
                <w:bCs w:val="false"/>
                <w:sz w:val="18"/>
                <w:szCs w:val="18"/>
              </w:rPr>
              <w:t xml:space="preserve">12</w:t>
            </w:r>
          </w:p>
        </w:tc>
        <w:tc>
          <w:tcPr>
            <w:tcW w:type="dxa" w:w="1100"/>
            <w:tcMar>
              <w:top w:type="dxa" w:w="60"/>
              <w:left w:type="dxa" w:w="90"/>
              <w:bottom w:type="dxa" w:w="60"/>
              <w:right w:type="dxa" w:w="90"/>
            </w:tcMar>
            <w:vAlign w:val="center"/>
          </w:tcPr>
          <w:p>
            <w:r>
              <w:rPr>
                <w:b w:val="false"/>
                <w:bCs w:val="false"/>
                <w:sz w:val="18"/>
                <w:szCs w:val="18"/>
              </w:rPr>
              <w:t xml:space="preserve">0.85%</w:t>
            </w:r>
          </w:p>
        </w:tc>
        <w:tc>
          <w:tcPr>
            <w:tcW w:type="dxa" w:w="1000"/>
            <w:tcMar>
              <w:top w:type="dxa" w:w="60"/>
              <w:left w:type="dxa" w:w="90"/>
              <w:bottom w:type="dxa" w:w="60"/>
              <w:right w:type="dxa" w:w="90"/>
            </w:tcMar>
            <w:vAlign w:val="center"/>
          </w:tcPr>
          <w:p>
            <w:r>
              <w:rPr>
                <w:b w:val="false"/>
                <w:bCs w:val="false"/>
                <w:sz w:val="18"/>
                <w:szCs w:val="18"/>
              </w:rPr>
              <w:t xml:space="preserve">1</w:t>
            </w:r>
          </w:p>
        </w:tc>
      </w:tr>
      <w:tr>
        <w:trPr>
          <w:cantSplit/>
        </w:trPr>
        <w:tc>
          <w:tcPr>
            <w:tcW w:type="dxa" w:w="500"/>
            <w:tcMar>
              <w:top w:type="dxa" w:w="60"/>
              <w:left w:type="dxa" w:w="90"/>
              <w:bottom w:type="dxa" w:w="60"/>
              <w:right w:type="dxa" w:w="90"/>
            </w:tcMar>
            <w:vAlign w:val="center"/>
          </w:tcPr>
          <w:p>
            <w:r>
              <w:rPr>
                <w:b w:val="false"/>
                <w:bCs w:val="false"/>
                <w:sz w:val="18"/>
                <w:szCs w:val="18"/>
              </w:rPr>
              <w:t xml:space="preserve">46</w:t>
            </w:r>
          </w:p>
        </w:tc>
        <w:tc>
          <w:tcPr>
            <w:tcW w:type="dxa" w:w="5300"/>
            <w:tcMar>
              <w:top w:type="dxa" w:w="60"/>
              <w:left w:type="dxa" w:w="90"/>
              <w:bottom w:type="dxa" w:w="60"/>
              <w:right w:type="dxa" w:w="90"/>
            </w:tcMar>
            <w:vAlign w:val="center"/>
          </w:tcPr>
          <w:p>
            <w:r>
              <w:rPr>
                <w:b w:val="false"/>
                <w:bCs w:val="false"/>
                <w:sz w:val="18"/>
                <w:szCs w:val="18"/>
              </w:rPr>
              <w:t xml:space="preserve">Little River Academy — Knoxville, Tennessee</w:t>
            </w:r>
          </w:p>
        </w:tc>
        <w:tc>
          <w:tcPr>
            <w:tcW w:type="dxa" w:w="1100"/>
            <w:tcMar>
              <w:top w:type="dxa" w:w="60"/>
              <w:left w:type="dxa" w:w="90"/>
              <w:bottom w:type="dxa" w:w="60"/>
              <w:right w:type="dxa" w:w="90"/>
            </w:tcMar>
            <w:vAlign w:val="center"/>
          </w:tcPr>
          <w:p>
            <w:r>
              <w:rPr>
                <w:b w:val="false"/>
                <w:bCs w:val="false"/>
                <w:sz w:val="18"/>
                <w:szCs w:val="18"/>
              </w:rPr>
              <w:t xml:space="preserve">12</w:t>
            </w:r>
          </w:p>
        </w:tc>
        <w:tc>
          <w:tcPr>
            <w:tcW w:type="dxa" w:w="1100"/>
            <w:tcMar>
              <w:top w:type="dxa" w:w="60"/>
              <w:left w:type="dxa" w:w="90"/>
              <w:bottom w:type="dxa" w:w="60"/>
              <w:right w:type="dxa" w:w="90"/>
            </w:tcMar>
            <w:vAlign w:val="center"/>
          </w:tcPr>
          <w:p>
            <w:r>
              <w:rPr>
                <w:b w:val="false"/>
                <w:bCs w:val="false"/>
                <w:sz w:val="18"/>
                <w:szCs w:val="18"/>
              </w:rPr>
              <w:t xml:space="preserve">0.85%</w:t>
            </w:r>
          </w:p>
        </w:tc>
        <w:tc>
          <w:tcPr>
            <w:tcW w:type="dxa" w:w="1000"/>
            <w:tcMar>
              <w:top w:type="dxa" w:w="60"/>
              <w:left w:type="dxa" w:w="90"/>
              <w:bottom w:type="dxa" w:w="60"/>
              <w:right w:type="dxa" w:w="90"/>
            </w:tcMar>
            <w:vAlign w:val="center"/>
          </w:tcPr>
          <w:p>
            <w:r>
              <w:rPr>
                <w:b w:val="false"/>
                <w:bCs w:val="false"/>
                <w:sz w:val="18"/>
                <w:szCs w:val="18"/>
              </w:rPr>
              <w:t xml:space="preserve">1</w:t>
            </w:r>
          </w:p>
        </w:tc>
      </w:tr>
      <w:tr>
        <w:trPr>
          <w:cantSplit/>
        </w:trPr>
        <w:tc>
          <w:tcPr>
            <w:tcW w:type="dxa" w:w="500"/>
            <w:tcMar>
              <w:top w:type="dxa" w:w="60"/>
              <w:left w:type="dxa" w:w="90"/>
              <w:bottom w:type="dxa" w:w="60"/>
              <w:right w:type="dxa" w:w="90"/>
            </w:tcMar>
            <w:vAlign w:val="center"/>
          </w:tcPr>
          <w:p>
            <w:r>
              <w:rPr>
                <w:b w:val="false"/>
                <w:bCs w:val="false"/>
                <w:sz w:val="18"/>
                <w:szCs w:val="18"/>
              </w:rPr>
              <w:t xml:space="preserve">47</w:t>
            </w:r>
          </w:p>
        </w:tc>
        <w:tc>
          <w:tcPr>
            <w:tcW w:type="dxa" w:w="5300"/>
            <w:tcMar>
              <w:top w:type="dxa" w:w="60"/>
              <w:left w:type="dxa" w:w="90"/>
              <w:bottom w:type="dxa" w:w="60"/>
              <w:right w:type="dxa" w:w="90"/>
            </w:tcMar>
            <w:vAlign w:val="center"/>
          </w:tcPr>
          <w:p>
            <w:r>
              <w:rPr>
                <w:b w:val="false"/>
                <w:bCs w:val="false"/>
                <w:sz w:val="18"/>
                <w:szCs w:val="18"/>
              </w:rPr>
              <w:t xml:space="preserve">Acton Academy São Paulo - Morumbi — Sao Paulo, Brazil</w:t>
            </w:r>
          </w:p>
        </w:tc>
        <w:tc>
          <w:tcPr>
            <w:tcW w:type="dxa" w:w="1100"/>
            <w:tcMar>
              <w:top w:type="dxa" w:w="60"/>
              <w:left w:type="dxa" w:w="90"/>
              <w:bottom w:type="dxa" w:w="60"/>
              <w:right w:type="dxa" w:w="90"/>
            </w:tcMar>
            <w:vAlign w:val="center"/>
          </w:tcPr>
          <w:p>
            <w:r>
              <w:rPr>
                <w:b w:val="false"/>
                <w:bCs w:val="false"/>
                <w:sz w:val="18"/>
                <w:szCs w:val="18"/>
              </w:rPr>
              <w:t xml:space="preserve">12</w:t>
            </w:r>
          </w:p>
        </w:tc>
        <w:tc>
          <w:tcPr>
            <w:tcW w:type="dxa" w:w="1100"/>
            <w:tcMar>
              <w:top w:type="dxa" w:w="60"/>
              <w:left w:type="dxa" w:w="90"/>
              <w:bottom w:type="dxa" w:w="60"/>
              <w:right w:type="dxa" w:w="90"/>
            </w:tcMar>
            <w:vAlign w:val="center"/>
          </w:tcPr>
          <w:p>
            <w:r>
              <w:rPr>
                <w:b w:val="false"/>
                <w:bCs w:val="false"/>
                <w:sz w:val="18"/>
                <w:szCs w:val="18"/>
              </w:rPr>
              <w:t xml:space="preserve">0.85%</w:t>
            </w:r>
          </w:p>
        </w:tc>
        <w:tc>
          <w:tcPr>
            <w:tcW w:type="dxa" w:w="1000"/>
            <w:tcMar>
              <w:top w:type="dxa" w:w="60"/>
              <w:left w:type="dxa" w:w="90"/>
              <w:bottom w:type="dxa" w:w="60"/>
              <w:right w:type="dxa" w:w="90"/>
            </w:tcMar>
            <w:vAlign w:val="center"/>
          </w:tcPr>
          <w:p>
            <w:r>
              <w:rPr>
                <w:b w:val="false"/>
                <w:bCs w:val="false"/>
                <w:sz w:val="18"/>
                <w:szCs w:val="18"/>
              </w:rPr>
              <w:t xml:space="preserve">1</w:t>
            </w:r>
          </w:p>
        </w:tc>
      </w:tr>
      <w:tr>
        <w:trPr>
          <w:cantSplit/>
        </w:trPr>
        <w:tc>
          <w:tcPr>
            <w:tcW w:type="dxa" w:w="500"/>
            <w:tcMar>
              <w:top w:type="dxa" w:w="60"/>
              <w:left w:type="dxa" w:w="90"/>
              <w:bottom w:type="dxa" w:w="60"/>
              <w:right w:type="dxa" w:w="90"/>
            </w:tcMar>
            <w:vAlign w:val="center"/>
          </w:tcPr>
          <w:p>
            <w:r>
              <w:rPr>
                <w:b w:val="false"/>
                <w:bCs w:val="false"/>
                <w:sz w:val="18"/>
                <w:szCs w:val="18"/>
              </w:rPr>
              <w:t xml:space="preserve">48</w:t>
            </w:r>
          </w:p>
        </w:tc>
        <w:tc>
          <w:tcPr>
            <w:tcW w:type="dxa" w:w="5300"/>
            <w:tcMar>
              <w:top w:type="dxa" w:w="60"/>
              <w:left w:type="dxa" w:w="90"/>
              <w:bottom w:type="dxa" w:w="60"/>
              <w:right w:type="dxa" w:w="90"/>
            </w:tcMar>
            <w:vAlign w:val="center"/>
          </w:tcPr>
          <w:p>
            <w:r>
              <w:rPr>
                <w:b w:val="false"/>
                <w:bCs w:val="false"/>
                <w:sz w:val="18"/>
                <w:szCs w:val="18"/>
              </w:rPr>
              <w:t xml:space="preserve">Acton Academy Sea Cliff — Sea Cliff, New York</w:t>
            </w:r>
          </w:p>
        </w:tc>
        <w:tc>
          <w:tcPr>
            <w:tcW w:type="dxa" w:w="1100"/>
            <w:tcMar>
              <w:top w:type="dxa" w:w="60"/>
              <w:left w:type="dxa" w:w="90"/>
              <w:bottom w:type="dxa" w:w="60"/>
              <w:right w:type="dxa" w:w="90"/>
            </w:tcMar>
            <w:vAlign w:val="center"/>
          </w:tcPr>
          <w:p>
            <w:r>
              <w:rPr>
                <w:b w:val="false"/>
                <w:bCs w:val="false"/>
                <w:sz w:val="18"/>
                <w:szCs w:val="18"/>
              </w:rPr>
              <w:t xml:space="preserve">12</w:t>
            </w:r>
          </w:p>
        </w:tc>
        <w:tc>
          <w:tcPr>
            <w:tcW w:type="dxa" w:w="1100"/>
            <w:tcMar>
              <w:top w:type="dxa" w:w="60"/>
              <w:left w:type="dxa" w:w="90"/>
              <w:bottom w:type="dxa" w:w="60"/>
              <w:right w:type="dxa" w:w="90"/>
            </w:tcMar>
            <w:vAlign w:val="center"/>
          </w:tcPr>
          <w:p>
            <w:r>
              <w:rPr>
                <w:b w:val="false"/>
                <w:bCs w:val="false"/>
                <w:sz w:val="18"/>
                <w:szCs w:val="18"/>
              </w:rPr>
              <w:t xml:space="preserve">0.85%</w:t>
            </w:r>
          </w:p>
        </w:tc>
        <w:tc>
          <w:tcPr>
            <w:tcW w:type="dxa" w:w="1000"/>
            <w:tcMar>
              <w:top w:type="dxa" w:w="60"/>
              <w:left w:type="dxa" w:w="90"/>
              <w:bottom w:type="dxa" w:w="60"/>
              <w:right w:type="dxa" w:w="90"/>
            </w:tcMar>
            <w:vAlign w:val="center"/>
          </w:tcPr>
          <w:p>
            <w:r>
              <w:rPr>
                <w:b w:val="false"/>
                <w:bCs w:val="false"/>
                <w:sz w:val="18"/>
                <w:szCs w:val="18"/>
              </w:rPr>
              <w:t xml:space="preserve">1</w:t>
            </w:r>
          </w:p>
        </w:tc>
      </w:tr>
      <w:tr>
        <w:trPr>
          <w:cantSplit/>
        </w:trPr>
        <w:tc>
          <w:tcPr>
            <w:tcW w:type="dxa" w:w="500"/>
            <w:tcMar>
              <w:top w:type="dxa" w:w="60"/>
              <w:left w:type="dxa" w:w="90"/>
              <w:bottom w:type="dxa" w:w="60"/>
              <w:right w:type="dxa" w:w="90"/>
            </w:tcMar>
            <w:vAlign w:val="center"/>
          </w:tcPr>
          <w:p>
            <w:r>
              <w:rPr>
                <w:b w:val="false"/>
                <w:bCs w:val="false"/>
                <w:sz w:val="18"/>
                <w:szCs w:val="18"/>
              </w:rPr>
              <w:t xml:space="preserve">49</w:t>
            </w:r>
          </w:p>
        </w:tc>
        <w:tc>
          <w:tcPr>
            <w:tcW w:type="dxa" w:w="5300"/>
            <w:tcMar>
              <w:top w:type="dxa" w:w="60"/>
              <w:left w:type="dxa" w:w="90"/>
              <w:bottom w:type="dxa" w:w="60"/>
              <w:right w:type="dxa" w:w="90"/>
            </w:tcMar>
            <w:vAlign w:val="center"/>
          </w:tcPr>
          <w:p>
            <w:r>
              <w:rPr>
                <w:b w:val="false"/>
                <w:bCs w:val="false"/>
                <w:sz w:val="18"/>
                <w:szCs w:val="18"/>
              </w:rPr>
              <w:t xml:space="preserve">The Forest School — Atlanta (Pinewood), Georgia</w:t>
            </w:r>
          </w:p>
        </w:tc>
        <w:tc>
          <w:tcPr>
            <w:tcW w:type="dxa" w:w="1100"/>
            <w:tcMar>
              <w:top w:type="dxa" w:w="60"/>
              <w:left w:type="dxa" w:w="90"/>
              <w:bottom w:type="dxa" w:w="60"/>
              <w:right w:type="dxa" w:w="90"/>
            </w:tcMar>
            <w:vAlign w:val="center"/>
          </w:tcPr>
          <w:p>
            <w:r>
              <w:rPr>
                <w:b w:val="false"/>
                <w:bCs w:val="false"/>
                <w:sz w:val="18"/>
                <w:szCs w:val="18"/>
              </w:rPr>
              <w:t xml:space="preserve">12</w:t>
            </w:r>
          </w:p>
        </w:tc>
        <w:tc>
          <w:tcPr>
            <w:tcW w:type="dxa" w:w="1100"/>
            <w:tcMar>
              <w:top w:type="dxa" w:w="60"/>
              <w:left w:type="dxa" w:w="90"/>
              <w:bottom w:type="dxa" w:w="60"/>
              <w:right w:type="dxa" w:w="90"/>
            </w:tcMar>
            <w:vAlign w:val="center"/>
          </w:tcPr>
          <w:p>
            <w:r>
              <w:rPr>
                <w:b w:val="false"/>
                <w:bCs w:val="false"/>
                <w:sz w:val="18"/>
                <w:szCs w:val="18"/>
              </w:rPr>
              <w:t xml:space="preserve">0.85%</w:t>
            </w:r>
          </w:p>
        </w:tc>
        <w:tc>
          <w:tcPr>
            <w:tcW w:type="dxa" w:w="1000"/>
            <w:tcMar>
              <w:top w:type="dxa" w:w="60"/>
              <w:left w:type="dxa" w:w="90"/>
              <w:bottom w:type="dxa" w:w="60"/>
              <w:right w:type="dxa" w:w="90"/>
            </w:tcMar>
            <w:vAlign w:val="center"/>
          </w:tcPr>
          <w:p>
            <w:r>
              <w:rPr>
                <w:b w:val="false"/>
                <w:bCs w:val="false"/>
                <w:sz w:val="18"/>
                <w:szCs w:val="18"/>
              </w:rPr>
              <w:t xml:space="preserve">1</w:t>
            </w:r>
          </w:p>
        </w:tc>
      </w:tr>
      <w:tr>
        <w:trPr>
          <w:cantSplit/>
        </w:trPr>
        <w:tc>
          <w:tcPr>
            <w:tcW w:type="dxa" w:w="500"/>
            <w:tcMar>
              <w:top w:type="dxa" w:w="60"/>
              <w:left w:type="dxa" w:w="90"/>
              <w:bottom w:type="dxa" w:w="60"/>
              <w:right w:type="dxa" w:w="90"/>
            </w:tcMar>
            <w:vAlign w:val="center"/>
          </w:tcPr>
          <w:p>
            <w:r>
              <w:rPr>
                <w:b w:val="false"/>
                <w:bCs w:val="false"/>
                <w:sz w:val="18"/>
                <w:szCs w:val="18"/>
              </w:rPr>
              <w:t xml:space="preserve">50</w:t>
            </w:r>
          </w:p>
        </w:tc>
        <w:tc>
          <w:tcPr>
            <w:tcW w:type="dxa" w:w="5300"/>
            <w:tcMar>
              <w:top w:type="dxa" w:w="60"/>
              <w:left w:type="dxa" w:w="90"/>
              <w:bottom w:type="dxa" w:w="60"/>
              <w:right w:type="dxa" w:w="90"/>
            </w:tcMar>
            <w:vAlign w:val="center"/>
          </w:tcPr>
          <w:p>
            <w:r>
              <w:rPr>
                <w:b w:val="false"/>
                <w:bCs w:val="false"/>
                <w:sz w:val="18"/>
                <w:szCs w:val="18"/>
              </w:rPr>
              <w:t xml:space="preserve">Acton Academy Ilhabela — Ilhabela, Brazil</w:t>
            </w:r>
          </w:p>
        </w:tc>
        <w:tc>
          <w:tcPr>
            <w:tcW w:type="dxa" w:w="1100"/>
            <w:tcMar>
              <w:top w:type="dxa" w:w="60"/>
              <w:left w:type="dxa" w:w="90"/>
              <w:bottom w:type="dxa" w:w="60"/>
              <w:right w:type="dxa" w:w="90"/>
            </w:tcMar>
            <w:vAlign w:val="center"/>
          </w:tcPr>
          <w:p>
            <w:r>
              <w:rPr>
                <w:b w:val="false"/>
                <w:bCs w:val="false"/>
                <w:sz w:val="18"/>
                <w:szCs w:val="18"/>
              </w:rPr>
              <w:t xml:space="preserve">12</w:t>
            </w:r>
          </w:p>
        </w:tc>
        <w:tc>
          <w:tcPr>
            <w:tcW w:type="dxa" w:w="1100"/>
            <w:tcMar>
              <w:top w:type="dxa" w:w="60"/>
              <w:left w:type="dxa" w:w="90"/>
              <w:bottom w:type="dxa" w:w="60"/>
              <w:right w:type="dxa" w:w="90"/>
            </w:tcMar>
            <w:vAlign w:val="center"/>
          </w:tcPr>
          <w:p>
            <w:r>
              <w:rPr>
                <w:b w:val="false"/>
                <w:bCs w:val="false"/>
                <w:sz w:val="18"/>
                <w:szCs w:val="18"/>
              </w:rPr>
              <w:t xml:space="preserve">0.85%</w:t>
            </w:r>
          </w:p>
        </w:tc>
        <w:tc>
          <w:tcPr>
            <w:tcW w:type="dxa" w:w="1000"/>
            <w:tcMar>
              <w:top w:type="dxa" w:w="60"/>
              <w:left w:type="dxa" w:w="90"/>
              <w:bottom w:type="dxa" w:w="60"/>
              <w:right w:type="dxa" w:w="90"/>
            </w:tcMar>
            <w:vAlign w:val="center"/>
          </w:tcPr>
          <w:p>
            <w:r>
              <w:rPr>
                <w:b w:val="false"/>
                <w:bCs w:val="false"/>
                <w:sz w:val="18"/>
                <w:szCs w:val="18"/>
              </w:rPr>
              <w:t xml:space="preserve">1</w:t>
            </w:r>
          </w:p>
        </w:tc>
      </w:tr>
    </w:tbl>
    <w:p>
      <w:pPr>
        <w:spacing w:after="160" w:before="160"/>
      </w:pPr>
      <w:r>
        <w:t xml:space="preserve">Sum check: the 50 campuses' learner counts total 1,420. The Stratified allocation column's 50 values total exactly 142 (see Appendix C for how the rounding was reconciled).</w:t>
      </w:r>
    </w:p>
    <w:p>
      <w:pPr>
        <w:pStyle w:val="Heading3"/>
        <w:spacing w:after="120" w:before="260"/>
      </w:pPr>
      <w:r>
        <w:t xml:space="preserve">Appendix C — Computing Each Method</w:t>
      </w:r>
    </w:p>
    <w:p>
      <w:pPr>
        <w:spacing w:after="120"/>
      </w:pPr>
      <w:r>
        <w:rPr>
          <w:b/>
          <w:bCs/>
        </w:rPr>
        <w:t xml:space="preserve">Option A, Simple Random Sample — probability a campus is shut out entirely.</w:t>
      </w:r>
    </w:p>
    <w:p>
      <w:pPr>
        <w:spacing w:after="160"/>
      </w:pPr>
      <w:r>
        <w:t xml:space="preserve">Drawing 142 learners at random from all 1,420, without regard to which campus anyone belongs to, is a hypergeometric sampling problem: the chance that zero of a given campus's Nᵢ learners land in the sample of n = 142 drawn from the full population of N = 1,420 is:</w:t>
      </w:r>
    </w:p>
    <w:p>
      <w:pPr>
        <w:spacing w:after="160"/>
        <w:ind w:left="576"/>
      </w:pPr>
      <w:r>
        <w:rPr>
          <w:i/>
          <w:iCs/>
          <w:sz w:val="22"/>
          <w:szCs w:val="22"/>
        </w:rPr>
        <w:t xml:space="preserve">P(zero from campus i) = C(N − Nᵢ, n) / C(N, n)</w:t>
      </w:r>
    </w:p>
    <w:p>
      <w:pPr>
        <w:spacing w:after="160"/>
      </w:pPr>
      <w:r>
        <w:t xml:space="preserve">This is the hypergeometric distribution — the correct probability model any time you're drawing a fixed-size sample from a finite population without putting anything back, which is exactly what a phone survey does (you don't call the same learner twice) [S2].</w:t>
      </w:r>
    </w:p>
    <w:p>
      <w:pPr>
        <w:spacing w:after="160"/>
      </w:pPr>
      <w:r>
        <w:t xml:space="preserve">Summing that probability across all fifty campuses gives the expected number of campuses that receive zero calls under Option A — a real number, not a worst case, because it is the average outcome over every possible random draw.</w:t>
      </w:r>
    </w:p>
    <w:p>
      <w:pPr>
        <w:spacing w:after="120" w:before="120"/>
      </w:pPr>
      <w:r>
        <w:rPr>
          <w:b/>
          <w:bCs/>
        </w:rPr>
        <w:t xml:space="preserve">Option B, Stratified Sample — proportional allocation.</w:t>
      </w:r>
    </w:p>
    <w:p>
      <w:pPr>
        <w:spacing w:after="160"/>
        <w:ind w:left="576"/>
      </w:pPr>
      <w:r>
        <w:rPr>
          <w:i/>
          <w:iCs/>
          <w:sz w:val="22"/>
          <w:szCs w:val="22"/>
        </w:rPr>
        <w:t xml:space="preserve">nᵢ = round(142 × Nᵢ / 1,420)</w:t>
      </w:r>
    </w:p>
    <w:p>
      <w:pPr>
        <w:spacing w:after="160"/>
      </w:pPr>
      <w:r>
        <w:t xml:space="preserve">applied to every campus. Because 142 does not divide evenly across fifty campuses of different sizes, rounding every campus's raw share independently does not sum back to exactly 142 — the largest-remainder method (also called Hamilton's method, first used to apportion the real U.S. House of Representatives) [S3] fixes this: round every campus down first, then hand the leftover seats, one at a time, to whichever campuses had the largest rounded-off remainder, until the total reaches 142 exactly.</w:t>
      </w:r>
    </w:p>
    <w:p>
      <w:pPr>
        <w:pStyle w:val="Heading3"/>
        <w:spacing w:after="120" w:before="260"/>
      </w:pPr>
      <w:r>
        <w:t xml:space="preserve">Appendix D — Jeff's Call-Time Budget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00"/>
      </w:tblGrid>
      <w:tr>
        <w:trPr>
          <w:tblHeader/>
        </w:trPr>
        <w:tc>
          <w:tcPr>
            <w:tcW w:type="dxa" w:w="2200"/>
            <w:shd w:fill="1A3A5C" w:color="auto" w:val="clear"/>
            <w:tcMar>
              <w:top w:type="dxa" w:w="60"/>
              <w:left w:type="dxa" w:w="90"/>
              <w:bottom w:type="dxa" w:w="60"/>
              <w:right w:type="dxa" w:w="90"/>
            </w:tcMar>
            <w:vAlign w:val="center"/>
          </w:tcPr>
          <w:p>
            <w:r>
              <w:rPr>
                <w:b/>
                <w:bCs/>
                <w:color w:val="FFFFFF"/>
                <w:sz w:val="18"/>
                <w:szCs w:val="18"/>
              </w:rPr>
              <w:t xml:space="preserve">Call type</w:t>
            </w:r>
          </w:p>
        </w:tc>
        <w:tc>
          <w:tcPr>
            <w:tcW w:type="dxa" w:w="3600"/>
            <w:shd w:fill="1A3A5C" w:color="auto" w:val="clear"/>
            <w:tcMar>
              <w:top w:type="dxa" w:w="60"/>
              <w:left w:type="dxa" w:w="90"/>
              <w:bottom w:type="dxa" w:w="60"/>
              <w:right w:type="dxa" w:w="90"/>
            </w:tcMar>
            <w:vAlign w:val="center"/>
          </w:tcPr>
          <w:p>
            <w:r>
              <w:rPr>
                <w:b/>
                <w:bCs/>
                <w:color w:val="FFFFFF"/>
                <w:sz w:val="18"/>
                <w:szCs w:val="18"/>
              </w:rPr>
              <w:t xml:space="preserve">Who it's with</w:t>
            </w:r>
          </w:p>
        </w:tc>
        <w:tc>
          <w:tcPr>
            <w:tcW w:type="dxa" w:w="3200"/>
            <w:shd w:fill="1A3A5C" w:color="auto" w:val="clear"/>
            <w:tcMar>
              <w:top w:type="dxa" w:w="60"/>
              <w:left w:type="dxa" w:w="90"/>
              <w:bottom w:type="dxa" w:w="60"/>
              <w:right w:type="dxa" w:w="90"/>
            </w:tcMar>
            <w:vAlign w:val="center"/>
          </w:tcPr>
          <w:p>
            <w:r>
              <w:rPr>
                <w:b/>
                <w:bCs/>
                <w:color w:val="FFFFFF"/>
                <w:sz w:val="18"/>
                <w:szCs w:val="18"/>
              </w:rPr>
              <w:t xml:space="preserve">Length</w:t>
            </w:r>
          </w:p>
        </w:tc>
      </w:tr>
      <w:tr>
        <w:trPr>
          <w:cantSplit/>
        </w:trPr>
        <w:tc>
          <w:tcPr>
            <w:tcW w:type="dxa" w:w="2200"/>
            <w:tcMar>
              <w:top w:type="dxa" w:w="60"/>
              <w:left w:type="dxa" w:w="90"/>
              <w:bottom w:type="dxa" w:w="60"/>
              <w:right w:type="dxa" w:w="90"/>
            </w:tcMar>
            <w:vAlign w:val="center"/>
          </w:tcPr>
          <w:p>
            <w:r>
              <w:rPr>
                <w:b w:val="false"/>
                <w:bCs w:val="false"/>
                <w:sz w:val="18"/>
                <w:szCs w:val="18"/>
              </w:rPr>
              <w:t xml:space="preserve">Learner interview</w:t>
            </w:r>
          </w:p>
        </w:tc>
        <w:tc>
          <w:tcPr>
            <w:tcW w:type="dxa" w:w="3600"/>
            <w:tcMar>
              <w:top w:type="dxa" w:w="60"/>
              <w:left w:type="dxa" w:w="90"/>
              <w:bottom w:type="dxa" w:w="60"/>
              <w:right w:type="dxa" w:w="90"/>
            </w:tcMar>
            <w:vAlign w:val="center"/>
          </w:tcPr>
          <w:p>
            <w:r>
              <w:rPr>
                <w:b w:val="false"/>
                <w:bCs w:val="false"/>
                <w:sz w:val="18"/>
                <w:szCs w:val="18"/>
              </w:rPr>
              <w:t xml:space="preserve">The learner (via their guide)</w:t>
            </w:r>
          </w:p>
        </w:tc>
        <w:tc>
          <w:tcPr>
            <w:tcW w:type="dxa" w:w="3200"/>
            <w:tcMar>
              <w:top w:type="dxa" w:w="60"/>
              <w:left w:type="dxa" w:w="90"/>
              <w:bottom w:type="dxa" w:w="60"/>
              <w:right w:type="dxa" w:w="90"/>
            </w:tcMar>
            <w:vAlign w:val="center"/>
          </w:tcPr>
          <w:p>
            <w:r>
              <w:rPr>
                <w:b w:val="false"/>
                <w:bCs w:val="false"/>
                <w:sz w:val="18"/>
                <w:szCs w:val="18"/>
              </w:rPr>
              <w:t xml:space="preserve">15–20 min (this case uses 17.5 min, the midpoint — MA2, Appendix E)</w:t>
            </w:r>
          </w:p>
        </w:tc>
      </w:tr>
      <w:tr>
        <w:trPr>
          <w:cantSplit/>
        </w:trPr>
        <w:tc>
          <w:tcPr>
            <w:tcW w:type="dxa" w:w="2200"/>
            <w:tcMar>
              <w:top w:type="dxa" w:w="60"/>
              <w:left w:type="dxa" w:w="90"/>
              <w:bottom w:type="dxa" w:w="60"/>
              <w:right w:type="dxa" w:w="90"/>
            </w:tcMar>
            <w:vAlign w:val="center"/>
          </w:tcPr>
          <w:p>
            <w:r>
              <w:rPr>
                <w:b w:val="false"/>
                <w:bCs w:val="false"/>
                <w:sz w:val="18"/>
                <w:szCs w:val="18"/>
              </w:rPr>
              <w:t xml:space="preserve">Guide coordination call</w:t>
            </w:r>
          </w:p>
        </w:tc>
        <w:tc>
          <w:tcPr>
            <w:tcW w:type="dxa" w:w="3600"/>
            <w:tcMar>
              <w:top w:type="dxa" w:w="60"/>
              <w:left w:type="dxa" w:w="90"/>
              <w:bottom w:type="dxa" w:w="60"/>
              <w:right w:type="dxa" w:w="90"/>
            </w:tcMar>
            <w:vAlign w:val="center"/>
          </w:tcPr>
          <w:p>
            <w:r>
              <w:rPr>
                <w:b w:val="false"/>
                <w:bCs w:val="false"/>
                <w:sz w:val="18"/>
                <w:szCs w:val="18"/>
              </w:rPr>
              <w:t xml:space="preserve">The campus guide, to schedule that campus's block of learner calls</w:t>
            </w:r>
          </w:p>
        </w:tc>
        <w:tc>
          <w:tcPr>
            <w:tcW w:type="dxa" w:w="3200"/>
            <w:tcMar>
              <w:top w:type="dxa" w:w="60"/>
              <w:left w:type="dxa" w:w="90"/>
              <w:bottom w:type="dxa" w:w="60"/>
              <w:right w:type="dxa" w:w="90"/>
            </w:tcMar>
            <w:vAlign w:val="center"/>
          </w:tcPr>
          <w:p>
            <w:r>
              <w:rPr>
                <w:b w:val="false"/>
                <w:bCs w:val="false"/>
                <w:sz w:val="18"/>
                <w:szCs w:val="18"/>
              </w:rPr>
              <w:t xml:space="preserve">15 min (MA1, Appendix E)</w:t>
            </w:r>
          </w:p>
        </w:tc>
      </w:tr>
    </w:tbl>
    <w:p>
      <w:pPr>
        <w:pStyle w:val="ListParagraph"/>
        <w:numPr>
          <w:ilvl w:val="0"/>
          <w:numId w:val="2"/>
        </w:numPr>
        <w:spacing w:after="100"/>
      </w:pPr>
      <w:r>
        <w:t xml:space="preserve">Every campus a method actually reaches needs exactly one guide-coordination call, regardless of how many of that campus's learners end up interviewed.</w:t>
      </w:r>
    </w:p>
    <w:p>
      <w:pPr>
        <w:pStyle w:val="ListParagraph"/>
        <w:numPr>
          <w:ilvl w:val="0"/>
          <w:numId w:val="2"/>
        </w:numPr>
        <w:spacing w:after="100"/>
      </w:pPr>
      <w:r>
        <w:t xml:space="preserve">Option B reaches all 50 campuses by construction (Appendix C) — 50 guide-coordination calls, guaranteed.</w:t>
      </w:r>
    </w:p>
    <w:p>
      <w:pPr>
        <w:pStyle w:val="ListParagraph"/>
        <w:numPr>
          <w:ilvl w:val="0"/>
          <w:numId w:val="2"/>
        </w:numPr>
        <w:spacing w:after="100"/>
      </w:pPr>
      <w:r>
        <w:t xml:space="preserve">Option A reaches only however many campuses happen to have at least one learner drawn into the random sample — use your Appendix C(A) expected-shutout figure to estimate how many campuses that is, on average.</w:t>
      </w:r>
    </w:p>
    <w:p>
      <w:pPr>
        <w:pStyle w:val="ListParagraph"/>
        <w:numPr>
          <w:ilvl w:val="0"/>
          <w:numId w:val="2"/>
        </w:numPr>
        <w:spacing w:after="100"/>
      </w:pPr>
      <w:r>
        <w:t xml:space="preserve">Learner-interview time is identical either way: 142 interviews × 17.5 minutes.</w:t>
      </w:r>
    </w:p>
    <w:p>
      <w:pPr>
        <w:pStyle w:val="ListParagraph"/>
        <w:numPr>
          <w:ilvl w:val="0"/>
          <w:numId w:val="2"/>
        </w:numPr>
        <w:spacing w:after="100"/>
      </w:pPr>
      <w:r>
        <w:t xml:space="preserve">Total call time = learner-interview time + guide-coordination time, converted to hours, checked against Jeff's 3-month runway.</w:t>
      </w:r>
    </w:p>
    <w:p>
      <w:pPr>
        <w:pStyle w:val="Heading3"/>
        <w:spacing w:after="120" w:before="260"/>
      </w:pPr>
      <w:r>
        <w:t xml:space="preserve">Appendix E — Modeling Assumptions</w:t>
      </w:r>
    </w:p>
    <w:p>
      <w:pPr>
        <w:pBdr>
          <w:left w:val="single" w:color="C9A227" w:sz="12" w:space="8"/>
        </w:pBdr>
        <w:spacing w:after="200"/>
        <w:ind w:left="215"/>
      </w:pPr>
      <w:r>
        <w:rPr>
          <w:i/>
          <w:iCs/>
          <w:color w:val="5B6472"/>
        </w:rPr>
        <w:t xml:space="preserve">These figures are not sourced. They are stated scenario assumptions chosen by the case author, each with a real basis. A Hero may challenge any of them in discussion — that is a legitimate move.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1700"/>
        <w:gridCol w:w="3400"/>
        <w:gridCol w:w="1700"/>
      </w:tblGrid>
      <w:tr>
        <w:trPr>
          <w:tblHeader/>
        </w:trPr>
        <w:tc>
          <w:tcPr>
            <w:tcW w:type="dxa" w:w="500"/>
            <w:shd w:fill="1A3A5C" w:color="auto" w:val="clear"/>
            <w:tcMar>
              <w:top w:type="dxa" w:w="60"/>
              <w:left w:type="dxa" w:w="90"/>
              <w:bottom w:type="dxa" w:w="60"/>
              <w:right w:type="dxa" w:w="90"/>
            </w:tcMar>
            <w:vAlign w:val="center"/>
          </w:tcPr>
          <w:p>
            <w:r>
              <w:rPr>
                <w:b/>
                <w:bCs/>
                <w:color w:val="FFFFFF"/>
                <w:sz w:val="18"/>
                <w:szCs w:val="18"/>
              </w:rPr>
              <w:t xml:space="preserve">#</w:t>
            </w:r>
          </w:p>
        </w:tc>
        <w:tc>
          <w:tcPr>
            <w:tcW w:type="dxa" w:w="1700"/>
            <w:shd w:fill="1A3A5C" w:color="auto" w:val="clear"/>
            <w:tcMar>
              <w:top w:type="dxa" w:w="60"/>
              <w:left w:type="dxa" w:w="90"/>
              <w:bottom w:type="dxa" w:w="60"/>
              <w:right w:type="dxa" w:w="90"/>
            </w:tcMar>
            <w:vAlign w:val="center"/>
          </w:tcPr>
          <w:p>
            <w:r>
              <w:rPr>
                <w:b/>
                <w:bCs/>
                <w:color w:val="FFFFFF"/>
                <w:sz w:val="18"/>
                <w:szCs w:val="18"/>
              </w:rPr>
              <w:t xml:space="preserve">Assumption</w:t>
            </w:r>
          </w:p>
        </w:tc>
        <w:tc>
          <w:tcPr>
            <w:tcW w:type="dxa" w:w="1700"/>
            <w:shd w:fill="1A3A5C" w:color="auto" w:val="clear"/>
            <w:tcMar>
              <w:top w:type="dxa" w:w="60"/>
              <w:left w:type="dxa" w:w="90"/>
              <w:bottom w:type="dxa" w:w="60"/>
              <w:right w:type="dxa" w:w="90"/>
            </w:tcMar>
            <w:vAlign w:val="center"/>
          </w:tcPr>
          <w:p>
            <w:r>
              <w:rPr>
                <w:b/>
                <w:bCs/>
                <w:color w:val="FFFFFF"/>
                <w:sz w:val="18"/>
                <w:szCs w:val="18"/>
              </w:rPr>
              <w:t xml:space="preserve">Value used</w:t>
            </w:r>
          </w:p>
        </w:tc>
        <w:tc>
          <w:tcPr>
            <w:tcW w:type="dxa" w:w="3400"/>
            <w:shd w:fill="1A3A5C" w:color="auto" w:val="clear"/>
            <w:tcMar>
              <w:top w:type="dxa" w:w="60"/>
              <w:left w:type="dxa" w:w="90"/>
              <w:bottom w:type="dxa" w:w="60"/>
              <w:right w:type="dxa" w:w="90"/>
            </w:tcMar>
            <w:vAlign w:val="center"/>
          </w:tcPr>
          <w:p>
            <w:r>
              <w:rPr>
                <w:b/>
                <w:bCs/>
                <w:color w:val="FFFFFF"/>
                <w:sz w:val="18"/>
                <w:szCs w:val="18"/>
              </w:rPr>
              <w:t xml:space="preserve">Basis</w:t>
            </w:r>
          </w:p>
        </w:tc>
        <w:tc>
          <w:tcPr>
            <w:tcW w:type="dxa" w:w="1700"/>
            <w:shd w:fill="1A3A5C" w:color="auto" w:val="clear"/>
            <w:tcMar>
              <w:top w:type="dxa" w:w="60"/>
              <w:left w:type="dxa" w:w="90"/>
              <w:bottom w:type="dxa" w:w="60"/>
              <w:right w:type="dxa" w:w="90"/>
            </w:tcMar>
            <w:vAlign w:val="center"/>
          </w:tcPr>
          <w:p>
            <w:r>
              <w:rPr>
                <w:b/>
                <w:bCs/>
                <w:color w:val="FFFFFF"/>
                <w:sz w:val="18"/>
                <w:szCs w:val="18"/>
              </w:rPr>
              <w:t xml:space="preserve">Sensitivity</w:t>
            </w:r>
          </w:p>
        </w:tc>
      </w:tr>
      <w:tr>
        <w:trPr>
          <w:cantSplit/>
        </w:trPr>
        <w:tc>
          <w:tcPr>
            <w:tcW w:type="dxa" w:w="500"/>
            <w:tcMar>
              <w:top w:type="dxa" w:w="60"/>
              <w:left w:type="dxa" w:w="90"/>
              <w:bottom w:type="dxa" w:w="60"/>
              <w:right w:type="dxa" w:w="90"/>
            </w:tcMar>
            <w:vAlign w:val="center"/>
          </w:tcPr>
          <w:p>
            <w:r>
              <w:rPr>
                <w:b w:val="false"/>
                <w:bCs w:val="false"/>
                <w:sz w:val="18"/>
                <w:szCs w:val="18"/>
              </w:rPr>
              <w:t xml:space="preserve">MA1</w:t>
            </w:r>
          </w:p>
        </w:tc>
        <w:tc>
          <w:tcPr>
            <w:tcW w:type="dxa" w:w="1700"/>
            <w:tcMar>
              <w:top w:type="dxa" w:w="60"/>
              <w:left w:type="dxa" w:w="90"/>
              <w:bottom w:type="dxa" w:w="60"/>
              <w:right w:type="dxa" w:w="90"/>
            </w:tcMar>
            <w:vAlign w:val="center"/>
          </w:tcPr>
          <w:p>
            <w:r>
              <w:rPr>
                <w:b w:val="false"/>
                <w:bCs w:val="false"/>
                <w:sz w:val="18"/>
                <w:szCs w:val="18"/>
              </w:rPr>
              <w:t xml:space="preserve">Guide-coordination call length</w:t>
            </w:r>
          </w:p>
        </w:tc>
        <w:tc>
          <w:tcPr>
            <w:tcW w:type="dxa" w:w="1700"/>
            <w:tcMar>
              <w:top w:type="dxa" w:w="60"/>
              <w:left w:type="dxa" w:w="90"/>
              <w:bottom w:type="dxa" w:w="60"/>
              <w:right w:type="dxa" w:w="90"/>
            </w:tcMar>
            <w:vAlign w:val="center"/>
          </w:tcPr>
          <w:p>
            <w:r>
              <w:rPr>
                <w:b w:val="false"/>
                <w:bCs w:val="false"/>
                <w:sz w:val="18"/>
                <w:szCs w:val="18"/>
              </w:rPr>
              <w:t xml:space="preserve">15 min</w:t>
            </w:r>
          </w:p>
        </w:tc>
        <w:tc>
          <w:tcPr>
            <w:tcW w:type="dxa" w:w="3400"/>
            <w:tcMar>
              <w:top w:type="dxa" w:w="60"/>
              <w:left w:type="dxa" w:w="90"/>
              <w:bottom w:type="dxa" w:w="60"/>
              <w:right w:type="dxa" w:w="90"/>
            </w:tcMar>
            <w:vAlign w:val="center"/>
          </w:tcPr>
          <w:p>
            <w:r>
              <w:rPr>
                <w:b w:val="false"/>
                <w:bCs w:val="false"/>
                <w:sz w:val="18"/>
                <w:szCs w:val="18"/>
              </w:rPr>
              <w:t xml:space="preserve">No public figure exists for an internal school-scheduling call of this kind. This case uses the low end of the case's own real, stated 15–20 minute learner-call bracket (Appendix A), since a coordination call has no interview content — it is purely logistics — and is realistically shorter than a full learner interview.</w:t>
            </w:r>
          </w:p>
        </w:tc>
        <w:tc>
          <w:tcPr>
            <w:tcW w:type="dxa" w:w="1700"/>
            <w:tcMar>
              <w:top w:type="dxa" w:w="60"/>
              <w:left w:type="dxa" w:w="90"/>
              <w:bottom w:type="dxa" w:w="60"/>
              <w:right w:type="dxa" w:w="90"/>
            </w:tcMar>
            <w:vAlign w:val="center"/>
          </w:tcPr>
          <w:p>
            <w:r>
              <w:rPr>
                <w:b w:val="false"/>
                <w:bCs w:val="false"/>
                <w:sz w:val="18"/>
                <w:szCs w:val="18"/>
              </w:rPr>
              <w:t xml:space="preserve">The answer is sensitive to this value — see sensitivity_model.py.</w:t>
            </w:r>
          </w:p>
        </w:tc>
      </w:tr>
      <w:tr>
        <w:trPr>
          <w:cantSplit/>
        </w:trPr>
        <w:tc>
          <w:tcPr>
            <w:tcW w:type="dxa" w:w="500"/>
            <w:tcMar>
              <w:top w:type="dxa" w:w="60"/>
              <w:left w:type="dxa" w:w="90"/>
              <w:bottom w:type="dxa" w:w="60"/>
              <w:right w:type="dxa" w:w="90"/>
            </w:tcMar>
            <w:vAlign w:val="center"/>
          </w:tcPr>
          <w:p>
            <w:r>
              <w:rPr>
                <w:b w:val="false"/>
                <w:bCs w:val="false"/>
                <w:sz w:val="18"/>
                <w:szCs w:val="18"/>
              </w:rPr>
              <w:t xml:space="preserve">MA2</w:t>
            </w:r>
          </w:p>
        </w:tc>
        <w:tc>
          <w:tcPr>
            <w:tcW w:type="dxa" w:w="1700"/>
            <w:tcMar>
              <w:top w:type="dxa" w:w="60"/>
              <w:left w:type="dxa" w:w="90"/>
              <w:bottom w:type="dxa" w:w="60"/>
              <w:right w:type="dxa" w:w="90"/>
            </w:tcMar>
            <w:vAlign w:val="center"/>
          </w:tcPr>
          <w:p>
            <w:r>
              <w:rPr>
                <w:b w:val="false"/>
                <w:bCs w:val="false"/>
                <w:sz w:val="18"/>
                <w:szCs w:val="18"/>
              </w:rPr>
              <w:t xml:space="preserve">Learner-interview call length used for arithmetic</w:t>
            </w:r>
          </w:p>
        </w:tc>
        <w:tc>
          <w:tcPr>
            <w:tcW w:type="dxa" w:w="1700"/>
            <w:tcMar>
              <w:top w:type="dxa" w:w="60"/>
              <w:left w:type="dxa" w:w="90"/>
              <w:bottom w:type="dxa" w:w="60"/>
              <w:right w:type="dxa" w:w="90"/>
            </w:tcMar>
            <w:vAlign w:val="center"/>
          </w:tcPr>
          <w:p>
            <w:r>
              <w:rPr>
                <w:b w:val="false"/>
                <w:bCs w:val="false"/>
                <w:sz w:val="18"/>
                <w:szCs w:val="18"/>
              </w:rPr>
              <w:t xml:space="preserve">17.5 min (the midpoint of the case's own real 15–20 minute range, Appendix A)</w:t>
            </w:r>
          </w:p>
        </w:tc>
        <w:tc>
          <w:tcPr>
            <w:tcW w:type="dxa" w:w="3400"/>
            <w:tcMar>
              <w:top w:type="dxa" w:w="60"/>
              <w:left w:type="dxa" w:w="90"/>
              <w:bottom w:type="dxa" w:w="60"/>
              <w:right w:type="dxa" w:w="90"/>
            </w:tcMar>
            <w:vAlign w:val="center"/>
          </w:tcPr>
          <w:p>
            <w:r>
              <w:rPr>
                <w:b w:val="false"/>
                <w:bCs w:val="false"/>
                <w:sz w:val="18"/>
                <w:szCs w:val="18"/>
              </w:rPr>
              <w:t xml:space="preserve">The case states a real range, not a single number; the case author picked the midpoint as a representative planning figure rather than either endpoint.</w:t>
            </w:r>
          </w:p>
        </w:tc>
        <w:tc>
          <w:tcPr>
            <w:tcW w:type="dxa" w:w="1700"/>
            <w:tcMar>
              <w:top w:type="dxa" w:w="60"/>
              <w:left w:type="dxa" w:w="90"/>
              <w:bottom w:type="dxa" w:w="60"/>
              <w:right w:type="dxa" w:w="90"/>
            </w:tcMar>
            <w:vAlign w:val="center"/>
          </w:tcPr>
          <w:p>
            <w:r>
              <w:rPr>
                <w:b w:val="false"/>
                <w:bCs w:val="false"/>
                <w:sz w:val="18"/>
                <w:szCs w:val="18"/>
              </w:rPr>
              <w:t xml:space="preserve">The answer is sensitive to this value — see sensitivity_model.py.</w:t>
            </w:r>
          </w:p>
        </w:tc>
      </w:tr>
    </w:tbl>
    <w:p>
      <w:pPr>
        <w:pStyle w:val="Heading3"/>
        <w:spacing w:after="120" w:before="260"/>
      </w:pPr>
      <w:r>
        <w:t xml:space="preserve">Appendix F — Sources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1900"/>
        <w:gridCol w:w="2900"/>
        <w:gridCol w:w="1300"/>
        <w:gridCol w:w="900"/>
      </w:tblGrid>
      <w:tr>
        <w:trPr>
          <w:tblHeader/>
        </w:trPr>
        <w:tc>
          <w:tcPr>
            <w:tcW w:type="dxa" w:w="500"/>
            <w:shd w:fill="1A3A5C" w:color="auto" w:val="clear"/>
            <w:tcMar>
              <w:top w:type="dxa" w:w="60"/>
              <w:left w:type="dxa" w:w="90"/>
              <w:bottom w:type="dxa" w:w="60"/>
              <w:right w:type="dxa" w:w="90"/>
            </w:tcMar>
            <w:vAlign w:val="center"/>
          </w:tcPr>
          <w:p>
            <w:r>
              <w:rPr>
                <w:b/>
                <w:bCs/>
                <w:color w:val="FFFFFF"/>
                <w:sz w:val="18"/>
                <w:szCs w:val="18"/>
              </w:rPr>
              <w:t xml:space="preserve">#</w:t>
            </w:r>
          </w:p>
        </w:tc>
        <w:tc>
          <w:tcPr>
            <w:tcW w:type="dxa" w:w="2900"/>
            <w:shd w:fill="1A3A5C" w:color="auto" w:val="clear"/>
            <w:tcMar>
              <w:top w:type="dxa" w:w="60"/>
              <w:left w:type="dxa" w:w="90"/>
              <w:bottom w:type="dxa" w:w="60"/>
              <w:right w:type="dxa" w:w="90"/>
            </w:tcMar>
            <w:vAlign w:val="center"/>
          </w:tcPr>
          <w:p>
            <w:r>
              <w:rPr>
                <w:b/>
                <w:bCs/>
                <w:color w:val="FFFFFF"/>
                <w:sz w:val="18"/>
                <w:szCs w:val="18"/>
              </w:rPr>
              <w:t xml:space="preserve">Claim</w:t>
            </w:r>
          </w:p>
        </w:tc>
        <w:tc>
          <w:tcPr>
            <w:tcW w:type="dxa" w:w="1900"/>
            <w:shd w:fill="1A3A5C" w:color="auto" w:val="clear"/>
            <w:tcMar>
              <w:top w:type="dxa" w:w="60"/>
              <w:left w:type="dxa" w:w="90"/>
              <w:bottom w:type="dxa" w:w="60"/>
              <w:right w:type="dxa" w:w="90"/>
            </w:tcMar>
            <w:vAlign w:val="center"/>
          </w:tcPr>
          <w:p>
            <w:r>
              <w:rPr>
                <w:b/>
                <w:bCs/>
                <w:color w:val="FFFFFF"/>
                <w:sz w:val="18"/>
                <w:szCs w:val="18"/>
              </w:rPr>
              <w:t xml:space="preserve">Value</w:t>
            </w:r>
          </w:p>
        </w:tc>
        <w:tc>
          <w:tcPr>
            <w:tcW w:type="dxa" w:w="2900"/>
            <w:shd w:fill="1A3A5C" w:color="auto" w:val="clear"/>
            <w:tcMar>
              <w:top w:type="dxa" w:w="60"/>
              <w:left w:type="dxa" w:w="90"/>
              <w:bottom w:type="dxa" w:w="60"/>
              <w:right w:type="dxa" w:w="90"/>
            </w:tcMar>
            <w:vAlign w:val="center"/>
          </w:tcPr>
          <w:p>
            <w:r>
              <w:rPr>
                <w:b/>
                <w:bCs/>
                <w:color w:val="FFFFFF"/>
                <w:sz w:val="18"/>
                <w:szCs w:val="18"/>
              </w:rPr>
              <w:t xml:space="preserve">Source</w:t>
            </w:r>
          </w:p>
        </w:tc>
        <w:tc>
          <w:tcPr>
            <w:tcW w:type="dxa" w:w="1300"/>
            <w:shd w:fill="1A3A5C" w:color="auto" w:val="clear"/>
            <w:tcMar>
              <w:top w:type="dxa" w:w="60"/>
              <w:left w:type="dxa" w:w="90"/>
              <w:bottom w:type="dxa" w:w="60"/>
              <w:right w:type="dxa" w:w="90"/>
            </w:tcMar>
            <w:vAlign w:val="center"/>
          </w:tcPr>
          <w:p>
            <w:r>
              <w:rPr>
                <w:b/>
                <w:bCs/>
                <w:color w:val="FFFFFF"/>
                <w:sz w:val="18"/>
                <w:szCs w:val="18"/>
              </w:rPr>
              <w:t xml:space="preserve">Date</w:t>
            </w:r>
          </w:p>
        </w:tc>
        <w:tc>
          <w:tcPr>
            <w:tcW w:type="dxa" w:w="900"/>
            <w:shd w:fill="1A3A5C" w:color="auto" w:val="clear"/>
            <w:tcMar>
              <w:top w:type="dxa" w:w="60"/>
              <w:left w:type="dxa" w:w="90"/>
              <w:bottom w:type="dxa" w:w="60"/>
              <w:right w:type="dxa" w:w="90"/>
            </w:tcMar>
            <w:vAlign w:val="center"/>
          </w:tcPr>
          <w:p>
            <w:r>
              <w:rPr>
                <w:b/>
                <w:bCs/>
                <w:color w:val="FFFFFF"/>
                <w:sz w:val="18"/>
                <w:szCs w:val="18"/>
              </w:rPr>
              <w:t xml:space="preserve">Confidence</w:t>
            </w:r>
          </w:p>
        </w:tc>
      </w:tr>
      <w:tr>
        <w:trPr>
          <w:cantSplit/>
        </w:trPr>
        <w:tc>
          <w:tcPr>
            <w:tcW w:type="dxa" w:w="500"/>
            <w:tcMar>
              <w:top w:type="dxa" w:w="60"/>
              <w:left w:type="dxa" w:w="90"/>
              <w:bottom w:type="dxa" w:w="60"/>
              <w:right w:type="dxa" w:w="90"/>
            </w:tcMar>
            <w:vAlign w:val="center"/>
          </w:tcPr>
          <w:p>
            <w:r>
              <w:rPr>
                <w:b w:val="false"/>
                <w:bCs w:val="false"/>
                <w:sz w:val="18"/>
                <w:szCs w:val="18"/>
              </w:rPr>
              <w:t xml:space="preserve">S1</w:t>
            </w:r>
          </w:p>
        </w:tc>
        <w:tc>
          <w:tcPr>
            <w:tcW w:type="dxa" w:w="2900"/>
            <w:tcMar>
              <w:top w:type="dxa" w:w="60"/>
              <w:left w:type="dxa" w:w="90"/>
              <w:bottom w:type="dxa" w:w="60"/>
              <w:right w:type="dxa" w:w="90"/>
            </w:tcMar>
            <w:vAlign w:val="center"/>
          </w:tcPr>
          <w:p>
            <w:r>
              <w:rPr>
                <w:b w:val="false"/>
                <w:bCs w:val="false"/>
                <w:sz w:val="18"/>
                <w:szCs w:val="18"/>
              </w:rPr>
              <w:t xml:space="preserve">Real 2021 Acton network learner roster (ID, gender, age, campus), 1,420 learners across 50 eligible campuses</w:t>
            </w:r>
          </w:p>
        </w:tc>
        <w:tc>
          <w:tcPr>
            <w:tcW w:type="dxa" w:w="1900"/>
            <w:tcMar>
              <w:top w:type="dxa" w:w="60"/>
              <w:left w:type="dxa" w:w="90"/>
              <w:bottom w:type="dxa" w:w="60"/>
              <w:right w:type="dxa" w:w="90"/>
            </w:tcMar>
            <w:vAlign w:val="center"/>
          </w:tcPr>
          <w:p>
            <w:r>
              <w:rPr>
                <w:b w:val="false"/>
                <w:bCs w:val="false"/>
                <w:sz w:val="18"/>
                <w:szCs w:val="18"/>
              </w:rPr>
              <w:t xml:space="preserve">1,420 learners, 50 campuses</w:t>
            </w:r>
          </w:p>
        </w:tc>
        <w:tc>
          <w:tcPr>
            <w:tcW w:type="dxa" w:w="2900"/>
            <w:tcMar>
              <w:top w:type="dxa" w:w="60"/>
              <w:left w:type="dxa" w:w="90"/>
              <w:bottom w:type="dxa" w:w="60"/>
              <w:right w:type="dxa" w:w="90"/>
            </w:tcMar>
            <w:vAlign w:val="center"/>
          </w:tcPr>
          <w:p>
            <w:r>
              <w:rPr>
                <w:b w:val="false"/>
                <w:bCs w:val="false"/>
                <w:sz w:val="18"/>
                <w:szCs w:val="18"/>
              </w:rPr>
              <w:t xml:space="preserve">“2021 Learners At Campuses With At Least Two Studios: ID Numbers, Gender, Age and Location,” original internal Journey Tracker export, preserved from the source case study materials</w:t>
            </w:r>
          </w:p>
        </w:tc>
        <w:tc>
          <w:tcPr>
            <w:tcW w:type="dxa" w:w="1300"/>
            <w:tcMar>
              <w:top w:type="dxa" w:w="60"/>
              <w:left w:type="dxa" w:w="90"/>
              <w:bottom w:type="dxa" w:w="60"/>
              <w:right w:type="dxa" w:w="90"/>
            </w:tcMar>
            <w:vAlign w:val="center"/>
          </w:tcPr>
          <w:p>
            <w:r>
              <w:rPr>
                <w:b w:val="false"/>
                <w:bCs w:val="false"/>
                <w:sz w:val="18"/>
                <w:szCs w:val="18"/>
              </w:rPr>
              <w:t xml:space="preserve">2021 (historical)</w:t>
            </w:r>
          </w:p>
        </w:tc>
        <w:tc>
          <w:tcPr>
            <w:tcW w:type="dxa" w:w="900"/>
            <w:tcMar>
              <w:top w:type="dxa" w:w="60"/>
              <w:left w:type="dxa" w:w="90"/>
              <w:bottom w:type="dxa" w:w="60"/>
              <w:right w:type="dxa" w:w="90"/>
            </w:tcMar>
            <w:vAlign w:val="center"/>
          </w:tcPr>
          <w:p>
            <w:r>
              <w:rPr>
                <w:b w:val="false"/>
                <w:bCs w:val="false"/>
                <w:sz w:val="18"/>
                <w:szCs w:val="18"/>
              </w:rPr>
              <w:t xml:space="preserve">HIGH</w:t>
            </w:r>
          </w:p>
        </w:tc>
      </w:tr>
      <w:tr>
        <w:trPr>
          <w:cantSplit/>
        </w:trPr>
        <w:tc>
          <w:tcPr>
            <w:tcW w:type="dxa" w:w="500"/>
            <w:tcMar>
              <w:top w:type="dxa" w:w="60"/>
              <w:left w:type="dxa" w:w="90"/>
              <w:bottom w:type="dxa" w:w="60"/>
              <w:right w:type="dxa" w:w="90"/>
            </w:tcMar>
            <w:vAlign w:val="center"/>
          </w:tcPr>
          <w:p>
            <w:r>
              <w:rPr>
                <w:b w:val="false"/>
                <w:bCs w:val="false"/>
                <w:sz w:val="18"/>
                <w:szCs w:val="18"/>
              </w:rPr>
              <w:t xml:space="preserve">S2</w:t>
            </w:r>
          </w:p>
        </w:tc>
        <w:tc>
          <w:tcPr>
            <w:tcW w:type="dxa" w:w="2900"/>
            <w:tcMar>
              <w:top w:type="dxa" w:w="60"/>
              <w:left w:type="dxa" w:w="90"/>
              <w:bottom w:type="dxa" w:w="60"/>
              <w:right w:type="dxa" w:w="90"/>
            </w:tcMar>
            <w:vAlign w:val="center"/>
          </w:tcPr>
          <w:p>
            <w:r>
              <w:rPr>
                <w:b w:val="false"/>
                <w:bCs w:val="false"/>
                <w:sz w:val="18"/>
                <w:szCs w:val="18"/>
              </w:rPr>
              <w:t xml:space="preserve">Hypergeometric distribution — the correct probability model for sampling a fixed-size subset without replacement from a finite population, expressed as a ratio of combinations</w:t>
            </w:r>
          </w:p>
        </w:tc>
        <w:tc>
          <w:tcPr>
            <w:tcW w:type="dxa" w:w="1900"/>
            <w:tcMar>
              <w:top w:type="dxa" w:w="60"/>
              <w:left w:type="dxa" w:w="90"/>
              <w:bottom w:type="dxa" w:w="60"/>
              <w:right w:type="dxa" w:w="90"/>
            </w:tcMar>
            <w:vAlign w:val="center"/>
          </w:tcPr>
          <w:p>
            <w:r>
              <w:rPr>
                <w:b w:val="false"/>
                <w:bCs w:val="false"/>
                <w:sz w:val="18"/>
                <w:szCs w:val="18"/>
              </w:rPr>
              <w:t xml:space="preserve">P(X=k) = C(K,k)·C(N−K,n−k) / C(N,n)</w:t>
            </w:r>
          </w:p>
        </w:tc>
        <w:tc>
          <w:tcPr>
            <w:tcW w:type="dxa" w:w="2900"/>
            <w:tcMar>
              <w:top w:type="dxa" w:w="60"/>
              <w:left w:type="dxa" w:w="90"/>
              <w:bottom w:type="dxa" w:w="60"/>
              <w:right w:type="dxa" w:w="90"/>
            </w:tcMar>
            <w:vAlign w:val="center"/>
          </w:tcPr>
          <w:p>
            <w:r>
              <w:rPr>
                <w:b w:val="false"/>
                <w:bCs w:val="false"/>
                <w:sz w:val="18"/>
                <w:szCs w:val="18"/>
              </w:rPr>
              <w:t xml:space="preserve">Rachel Webb (Portland State University), Mostly Harmless Statistics, §5.5 “Hypergeometric Distribution,” Statistics LibreTexts</w:t>
            </w:r>
          </w:p>
        </w:tc>
        <w:tc>
          <w:tcPr>
            <w:tcW w:type="dxa" w:w="1300"/>
            <w:tcMar>
              <w:top w:type="dxa" w:w="60"/>
              <w:left w:type="dxa" w:w="90"/>
              <w:bottom w:type="dxa" w:w="60"/>
              <w:right w:type="dxa" w:w="90"/>
            </w:tcMar>
            <w:vAlign w:val="center"/>
          </w:tcPr>
          <w:p>
            <w:r>
              <w:rPr>
                <w:b w:val="false"/>
                <w:bCs w:val="false"/>
                <w:sz w:val="18"/>
                <w:szCs w:val="18"/>
              </w:rPr>
              <w:t xml:space="preserve">accessed 2026-08-20</w:t>
            </w:r>
          </w:p>
        </w:tc>
        <w:tc>
          <w:tcPr>
            <w:tcW w:type="dxa" w:w="900"/>
            <w:tcMar>
              <w:top w:type="dxa" w:w="60"/>
              <w:left w:type="dxa" w:w="90"/>
              <w:bottom w:type="dxa" w:w="60"/>
              <w:right w:type="dxa" w:w="90"/>
            </w:tcMar>
            <w:vAlign w:val="center"/>
          </w:tcPr>
          <w:p>
            <w:r>
              <w:rPr>
                <w:b w:val="false"/>
                <w:bCs w:val="false"/>
                <w:sz w:val="18"/>
                <w:szCs w:val="18"/>
              </w:rPr>
              <w:t xml:space="preserve">HIGH</w:t>
            </w:r>
          </w:p>
        </w:tc>
      </w:tr>
      <w:tr>
        <w:trPr>
          <w:cantSplit/>
        </w:trPr>
        <w:tc>
          <w:tcPr>
            <w:tcW w:type="dxa" w:w="500"/>
            <w:tcMar>
              <w:top w:type="dxa" w:w="60"/>
              <w:left w:type="dxa" w:w="90"/>
              <w:bottom w:type="dxa" w:w="60"/>
              <w:right w:type="dxa" w:w="90"/>
            </w:tcMar>
            <w:vAlign w:val="center"/>
          </w:tcPr>
          <w:p>
            <w:r>
              <w:rPr>
                <w:b w:val="false"/>
                <w:bCs w:val="false"/>
                <w:sz w:val="18"/>
                <w:szCs w:val="18"/>
              </w:rPr>
              <w:t xml:space="preserve">S3</w:t>
            </w:r>
          </w:p>
        </w:tc>
        <w:tc>
          <w:tcPr>
            <w:tcW w:type="dxa" w:w="2900"/>
            <w:tcMar>
              <w:top w:type="dxa" w:w="60"/>
              <w:left w:type="dxa" w:w="90"/>
              <w:bottom w:type="dxa" w:w="60"/>
              <w:right w:type="dxa" w:w="90"/>
            </w:tcMar>
            <w:vAlign w:val="center"/>
          </w:tcPr>
          <w:p>
            <w:r>
              <w:rPr>
                <w:b w:val="false"/>
                <w:bCs w:val="false"/>
                <w:sz w:val="18"/>
                <w:szCs w:val="18"/>
              </w:rPr>
              <w:t xml:space="preserve">Largest-remainder / Hamilton apportionment method — round every group down, then distribute the leftover units to the groups with the largest fractional remainders, until the total is reached</w:t>
            </w:r>
          </w:p>
        </w:tc>
        <w:tc>
          <w:tcPr>
            <w:tcW w:type="dxa" w:w="1900"/>
            <w:tcMar>
              <w:top w:type="dxa" w:w="60"/>
              <w:left w:type="dxa" w:w="90"/>
              <w:bottom w:type="dxa" w:w="60"/>
              <w:right w:type="dxa" w:w="90"/>
            </w:tcMar>
            <w:vAlign w:val="center"/>
          </w:tcPr>
          <w:p>
            <w:r>
              <w:rPr>
                <w:b w:val="false"/>
                <w:bCs w:val="false"/>
                <w:sz w:val="18"/>
                <w:szCs w:val="18"/>
              </w:rPr>
              <w:t xml:space="preserve">procedure, not a single numeric value</w:t>
            </w:r>
          </w:p>
        </w:tc>
        <w:tc>
          <w:tcPr>
            <w:tcW w:type="dxa" w:w="2900"/>
            <w:tcMar>
              <w:top w:type="dxa" w:w="60"/>
              <w:left w:type="dxa" w:w="90"/>
              <w:bottom w:type="dxa" w:w="60"/>
              <w:right w:type="dxa" w:w="90"/>
            </w:tcMar>
            <w:vAlign w:val="center"/>
          </w:tcPr>
          <w:p>
            <w:r>
              <w:rPr>
                <w:b w:val="false"/>
                <w:bCs w:val="false"/>
                <w:sz w:val="18"/>
                <w:szCs w:val="18"/>
              </w:rPr>
              <w:t xml:space="preserve">“Section 7.12: Apportionment – Hamilton's Method,” Mathematics LibreTexts (Orange Coast College, Math in Plain Sight)</w:t>
            </w:r>
          </w:p>
        </w:tc>
        <w:tc>
          <w:tcPr>
            <w:tcW w:type="dxa" w:w="1300"/>
            <w:tcMar>
              <w:top w:type="dxa" w:w="60"/>
              <w:left w:type="dxa" w:w="90"/>
              <w:bottom w:type="dxa" w:w="60"/>
              <w:right w:type="dxa" w:w="90"/>
            </w:tcMar>
            <w:vAlign w:val="center"/>
          </w:tcPr>
          <w:p>
            <w:r>
              <w:rPr>
                <w:b w:val="false"/>
                <w:bCs w:val="false"/>
                <w:sz w:val="18"/>
                <w:szCs w:val="18"/>
              </w:rPr>
              <w:t xml:space="preserve">accessed 2026-08-20</w:t>
            </w:r>
          </w:p>
        </w:tc>
        <w:tc>
          <w:tcPr>
            <w:tcW w:type="dxa" w:w="900"/>
            <w:tcMar>
              <w:top w:type="dxa" w:w="60"/>
              <w:left w:type="dxa" w:w="90"/>
              <w:bottom w:type="dxa" w:w="60"/>
              <w:right w:type="dxa" w:w="90"/>
            </w:tcMar>
            <w:vAlign w:val="center"/>
          </w:tcPr>
          <w:p>
            <w:r>
              <w:rPr>
                <w:b w:val="false"/>
                <w:bCs w:val="false"/>
                <w:sz w:val="18"/>
                <w:szCs w:val="18"/>
              </w:rPr>
              <w:t xml:space="preserve">HIGH</w:t>
            </w:r>
          </w:p>
        </w:tc>
      </w:tr>
    </w:tbl>
    <w:p>
      <w:pPr>
        <w:pStyle w:val="Heading3"/>
        <w:spacing w:after="120" w:before="260"/>
      </w:pPr>
      <w:r>
        <w:t xml:space="preserve">Appendix G — “How To…” Math Questions To Research</w:t>
      </w:r>
    </w:p>
    <w:p>
      <w:pPr>
        <w:spacing w:after="100"/>
      </w:pPr>
      <w:r>
        <w:rPr>
          <w:b/>
          <w:bCs/>
        </w:rPr>
        <w:t xml:space="preserve">Vocabulary terms</w:t>
      </w:r>
    </w:p>
    <w:p>
      <w:pPr>
        <w:pStyle w:val="ListParagraph"/>
        <w:numPr>
          <w:ilvl w:val="0"/>
          <w:numId w:val="2"/>
        </w:numPr>
        <w:spacing w:after="100"/>
      </w:pPr>
      <w:r>
        <w:t xml:space="preserve">Population</w:t>
      </w:r>
    </w:p>
    <w:p>
      <w:pPr>
        <w:pStyle w:val="ListParagraph"/>
        <w:numPr>
          <w:ilvl w:val="0"/>
          <w:numId w:val="2"/>
        </w:numPr>
        <w:spacing w:after="100"/>
      </w:pPr>
      <w:r>
        <w:t xml:space="preserve">Sample</w:t>
      </w:r>
    </w:p>
    <w:p>
      <w:pPr>
        <w:pStyle w:val="ListParagraph"/>
        <w:numPr>
          <w:ilvl w:val="0"/>
          <w:numId w:val="2"/>
        </w:numPr>
        <w:spacing w:after="100"/>
      </w:pPr>
      <w:r>
        <w:t xml:space="preserve">Sample Size</w:t>
      </w:r>
    </w:p>
    <w:p>
      <w:pPr>
        <w:pStyle w:val="ListParagraph"/>
        <w:numPr>
          <w:ilvl w:val="0"/>
          <w:numId w:val="2"/>
        </w:numPr>
        <w:spacing w:after="100"/>
      </w:pPr>
      <w:r>
        <w:t xml:space="preserve">Random</w:t>
      </w:r>
    </w:p>
    <w:p>
      <w:pPr>
        <w:pStyle w:val="ListParagraph"/>
        <w:numPr>
          <w:ilvl w:val="0"/>
          <w:numId w:val="2"/>
        </w:numPr>
        <w:spacing w:after="100"/>
      </w:pPr>
      <w:r>
        <w:t xml:space="preserve">Simple Random Sampling</w:t>
      </w:r>
    </w:p>
    <w:p>
      <w:pPr>
        <w:pStyle w:val="ListParagraph"/>
        <w:numPr>
          <w:ilvl w:val="0"/>
          <w:numId w:val="2"/>
        </w:numPr>
        <w:spacing w:after="100"/>
      </w:pPr>
      <w:r>
        <w:t xml:space="preserve">Stratified Sampling</w:t>
      </w:r>
    </w:p>
    <w:p>
      <w:pPr>
        <w:pStyle w:val="ListParagraph"/>
        <w:numPr>
          <w:ilvl w:val="0"/>
          <w:numId w:val="2"/>
        </w:numPr>
        <w:spacing w:after="100"/>
      </w:pPr>
      <w:r>
        <w:t xml:space="preserve">Combination</w:t>
      </w:r>
    </w:p>
    <w:p>
      <w:pPr>
        <w:pStyle w:val="ListParagraph"/>
        <w:numPr>
          <w:ilvl w:val="0"/>
          <w:numId w:val="2"/>
        </w:numPr>
        <w:spacing w:after="100"/>
      </w:pPr>
      <w:r>
        <w:t xml:space="preserve">Percent</w:t>
      </w:r>
    </w:p>
    <w:p>
      <w:pPr>
        <w:pStyle w:val="ListParagraph"/>
        <w:numPr>
          <w:ilvl w:val="0"/>
          <w:numId w:val="2"/>
        </w:numPr>
        <w:spacing w:after="100"/>
      </w:pPr>
      <w:r>
        <w:t xml:space="preserve">Ratio</w:t>
      </w:r>
    </w:p>
    <w:p>
      <w:pPr>
        <w:pStyle w:val="ListParagraph"/>
        <w:numPr>
          <w:ilvl w:val="0"/>
          <w:numId w:val="2"/>
        </w:numPr>
        <w:spacing w:after="100"/>
      </w:pPr>
      <w:r>
        <w:t xml:space="preserve">Proportion</w:t>
      </w:r>
    </w:p>
    <w:p>
      <w:pPr>
        <w:pStyle w:val="ListParagraph"/>
        <w:numPr>
          <w:ilvl w:val="0"/>
          <w:numId w:val="2"/>
        </w:numPr>
        <w:spacing w:after="100"/>
      </w:pPr>
      <w:r>
        <w:t xml:space="preserve">Rounding</w:t>
      </w:r>
    </w:p>
    <w:p>
      <w:pPr>
        <w:pStyle w:val="ListParagraph"/>
        <w:numPr>
          <w:ilvl w:val="0"/>
          <w:numId w:val="2"/>
        </w:numPr>
        <w:spacing w:after="100"/>
      </w:pPr>
      <w:r>
        <w:t xml:space="preserve">Time</w:t>
      </w:r>
    </w:p>
    <w:p>
      <w:pPr>
        <w:pStyle w:val="ListParagraph"/>
        <w:numPr>
          <w:ilvl w:val="0"/>
          <w:numId w:val="2"/>
        </w:numPr>
        <w:spacing w:after="100"/>
      </w:pPr>
      <w:r>
        <w:t xml:space="preserve">Bar Graph</w:t>
      </w:r>
    </w:p>
    <w:p>
      <w:pPr>
        <w:pStyle w:val="ListParagraph"/>
        <w:numPr>
          <w:ilvl w:val="0"/>
          <w:numId w:val="2"/>
        </w:numPr>
        <w:spacing w:after="100"/>
      </w:pPr>
      <w:r>
        <w:t xml:space="preserve">Pie Chart</w:t>
      </w:r>
    </w:p>
    <w:p>
      <w:pPr>
        <w:pStyle w:val="ListParagraph"/>
        <w:numPr>
          <w:ilvl w:val="0"/>
          <w:numId w:val="2"/>
        </w:numPr>
        <w:spacing w:after="100"/>
      </w:pPr>
      <w:r>
        <w:t xml:space="preserve">Addition</w:t>
      </w:r>
    </w:p>
    <w:p>
      <w:pPr>
        <w:pStyle w:val="ListParagraph"/>
        <w:numPr>
          <w:ilvl w:val="0"/>
          <w:numId w:val="2"/>
        </w:numPr>
        <w:spacing w:after="100"/>
      </w:pPr>
      <w:r>
        <w:t xml:space="preserve">Multiplication</w:t>
      </w:r>
    </w:p>
    <w:p>
      <w:pPr>
        <w:spacing w:after="100" w:before="200"/>
      </w:pPr>
      <w:r>
        <w:rPr>
          <w:b/>
          <w:bCs/>
        </w:rPr>
        <w:t xml:space="preserve">“How to…” questions</w:t>
      </w:r>
    </w:p>
    <w:p>
      <w:pPr>
        <w:pStyle w:val="ListParagraph"/>
        <w:numPr>
          <w:ilvl w:val="0"/>
          <w:numId w:val="2"/>
        </w:numPr>
        <w:spacing w:after="100"/>
      </w:pPr>
      <w:r>
        <w:t xml:space="preserve">How to find the percent of a number</w:t>
      </w:r>
    </w:p>
    <w:p>
      <w:pPr>
        <w:pStyle w:val="ListParagraph"/>
        <w:numPr>
          <w:ilvl w:val="0"/>
          <w:numId w:val="2"/>
        </w:numPr>
        <w:spacing w:after="100"/>
      </w:pPr>
      <w:r>
        <w:t xml:space="preserve">How to convert numbers to percents</w:t>
      </w:r>
    </w:p>
    <w:p>
      <w:pPr>
        <w:pStyle w:val="ListParagraph"/>
        <w:numPr>
          <w:ilvl w:val="0"/>
          <w:numId w:val="2"/>
        </w:numPr>
        <w:spacing w:after="100"/>
      </w:pPr>
      <w:r>
        <w:t xml:space="preserve">How to find a missing amount in a proportion</w:t>
      </w:r>
    </w:p>
    <w:p>
      <w:pPr>
        <w:pStyle w:val="ListParagraph"/>
        <w:numPr>
          <w:ilvl w:val="0"/>
          <w:numId w:val="2"/>
        </w:numPr>
        <w:spacing w:after="100"/>
      </w:pPr>
      <w:r>
        <w:t xml:space="preserve">How to round a number to a specified place value</w:t>
      </w:r>
    </w:p>
    <w:p>
      <w:pPr>
        <w:pStyle w:val="ListParagraph"/>
        <w:numPr>
          <w:ilvl w:val="0"/>
          <w:numId w:val="2"/>
        </w:numPr>
        <w:spacing w:after="100"/>
      </w:pPr>
      <w:r>
        <w:t xml:space="preserve">How to convert between units of time</w:t>
      </w:r>
    </w:p>
    <w:p>
      <w:pPr>
        <w:pStyle w:val="ListParagraph"/>
        <w:numPr>
          <w:ilvl w:val="0"/>
          <w:numId w:val="2"/>
        </w:numPr>
        <w:spacing w:after="100"/>
      </w:pPr>
      <w:r>
        <w:t xml:space="preserve">How to add multi-digit numbers</w:t>
      </w:r>
    </w:p>
    <w:p>
      <w:pPr>
        <w:pStyle w:val="ListParagraph"/>
        <w:numPr>
          <w:ilvl w:val="0"/>
          <w:numId w:val="2"/>
        </w:numPr>
        <w:spacing w:after="100"/>
      </w:pPr>
      <w:r>
        <w:t xml:space="preserve">How to multiply any two numbers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2026-08-20T22:13:27.322Z</dcterms:created>
  <dcterms:modified xsi:type="dcterms:W3CDTF">2026-08-20T22:13:27.323Z</dcterms:modified>
</cp:coreProperties>
</file>

<file path=docProps/custom.xml><?xml version="1.0" encoding="utf-8"?>
<Properties xmlns="http://schemas.openxmlformats.org/officeDocument/2006/custom-properties" xmlns:vt="http://schemas.openxmlformats.org/officeDocument/2006/docPropsVTypes"/>
</file>