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Facilitator Guide: Acton Survey</w:t>
      </w:r>
    </w:p>
    <w:p>
      <w:pPr>
        <w:spacing w:after="220"/>
      </w:pPr>
      <w:r>
        <w:rPr>
          <w:i/>
          <w:iCs/>
          <w:color w:val="5B6472"/>
          <w:sz w:val="22"/>
          <w:szCs w:val="22"/>
        </w:rPr>
        <w:t xml:space="preserve">MS | Math | Case Study | 2026-27 | Launchpad</w:t>
      </w:r>
    </w:p>
    <w:p>
      <w:pPr>
        <w:spacing w:after="260"/>
      </w:pPr>
      <w:r>
        <w:rPr>
          <w:b/>
          <w:bCs/>
          <w:color w:val="CC0000"/>
        </w:rPr>
        <w:t xml:space="preserve">FACILITATOR-ONLY — contains the balance arguments, the real margin, and the trap. Do not distribute to students.</w:t>
      </w:r>
    </w:p>
    <w:p>
      <w:pPr>
        <w:pStyle w:val="Heading1"/>
        <w:spacing w:after="160" w:before="320"/>
      </w:pPr>
      <w:r>
        <w:t xml:space="preserve">Case &amp; Standards</w:t>
      </w:r>
    </w:p>
    <w:p>
      <w:pPr>
        <w:spacing w:after="160"/>
      </w:pPr>
      <w:r>
        <w:t xml:space="preserve">Case: Acton Survey  ·  Tier: T4  ·  Band: MS-stretch/HS-entry  ·  Studio: Launchpad</w:t>
      </w:r>
    </w:p>
    <w:p>
      <w:pPr>
        <w:spacing w:after="160"/>
      </w:pPr>
      <w:r>
        <w:t xml:space="preserve">Standards: 22 skills — sampling/probability vocabulary, combinations, percent, proportion, rounding, time, basic arithmetic, and two required visual displays. See case.json.standards[] for exact ids.</w:t>
      </w:r>
    </w:p>
    <w:p>
      <w:pPr>
        <w:spacing w:after="160"/>
      </w:pPr>
      <w:r>
        <w:t xml:space="preserve">Legacy conversion, 2026-08-20, built from the original case study docx (source/Y2/Session 5/Acton Survey/Case Study_ Acton Survey.docx, Guide Notes.docx, and the real 2021 roster xlsx) onto the current 11-anchor ladder. Jeff and Laura's retirement, Xander's role, the 15–20-min call constraint, and the “at least two studios” eligibility rule are preserved verbatim from the source. The dilemma is narrowed from the original's 5 options to 2, per cases/_concepts/LEGACY_DILEMMA_LOCKS_2026-08-20.md.</w:t>
      </w:r>
    </w:p>
    <w:p>
      <w:pPr>
        <w:pStyle w:val="Heading1"/>
        <w:spacing w:after="160" w:before="320"/>
      </w:pPr>
      <w:r>
        <w:t xml:space="preserve">The Two Arguments and the Margin</w:t>
      </w:r>
    </w:p>
    <w:p>
      <w:pPr>
        <w:spacing w:after="160"/>
      </w:pPr>
      <w:r>
        <w:rPr>
          <w:b/>
          <w:bCs/>
        </w:rPr>
        <w:t xml:space="preserve">Argument for A (Simple Random Sample): </w:t>
      </w:r>
      <w:r>
        <w:t xml:space="preserve">A wins the graded primary metric — Jeff's total personal call time — because it never pays for a guide-coordination call at a campus that, by chance, contributes no one to the sample. That's real, but it's a thin edge (51.23 h vs. B's 53.92 h) against a 3-month runway with enormous slack — don't let a Hero lean on “we need the time savings to hit the deadline,” because the numbers don't support it (a Hero pressed with “would Option B actually have blown your deadline?” has to admit no).</w:t>
      </w:r>
    </w:p>
    <w:p>
      <w:pPr>
        <w:spacing w:after="160"/>
      </w:pPr>
      <w:r>
        <w:t xml:space="preserve">The stronger, honest case for A is administrative simplicity as a real operational cost distinct from the hours already counted: Jeff is running this whole survey himself, one call at a time, with no team to divide the bookkeeping. SRS needs only one flat list of 1,420 IDs and a single random draw of 142 — nothing to reconcile. Stratified means Jeff has to carry 50 separate running quotas at once (Appendix C's largest-remainder table), each needing its own tally of interviews-completed-vs-target as calls trickle in over three months, with real risk of over- or under-shooting a campus along the way. That's a genuine cost a single-person, one-call-at-a-time operation should weigh. A also gives every individual learner in the network an equal, unbiased chance of being chosen — a real fairness argument on its own terms (one learner, one equal shot), not merely “the lazy option.”</w:t>
      </w:r>
    </w:p>
    <w:p>
      <w:pPr>
        <w:spacing w:after="160"/>
      </w:pPr>
      <w:r>
        <w:rPr>
          <w:b/>
          <w:bCs/>
        </w:rPr>
        <w:t xml:space="preserve">Argument for B (Stratified Sample): </w:t>
      </w:r>
      <w:r>
        <w:t xml:space="preserve">B guarantees all 50 campuses are heard — zero campuses silenced by chance, by construction (Appendix C's proportional allocation, reconciled by largest remainder to sum to exactly 142). Under A, several of the network's smallest (12-learner) campuses each carry a real, computable, double-digit-percent probability (28.1%) of contributing zero learners to the sample — and summed across the whole network, the expected number of campuses that go entirely unheard is large enough (about 10.8 of 50, 21.5% of the network) that a real slice of the network is silenced on a survey whose entire stated purpose is giving every age of learner a voice (Background). B closes that gap for a small amount of extra call time.</w:t>
      </w:r>
    </w:p>
    <w:p>
      <w:pPr>
        <w:spacing w:after="160"/>
      </w:pPr>
      <w:r>
        <w:rPr>
          <w:b/>
          <w:bCs/>
        </w:rPr>
        <w:t xml:space="preserve">Margin: </w:t>
      </w:r>
      <w:r>
        <w:t xml:space="preserve">Total_A = 51.23 h, Total_B = 53.92 h — margin = (Total_B − Total_A) / Total_A × 100 = 5.3%. Option A wins the primary metric (total call-time hours, lower is better) by 5.3%. This is a thin margin by design: the learner-interview time (identical either way) dwarfs the coordination-time difference between the two options, so A's time advantage is real but small, while B's coverage advantage (closing an expected ~10.8-campus, ~21.5%-of-network gap) is large and computed exactly from the real roster. This is why the case works: A wins the graded number, but by little enough that a Hero who actually does the coverage arithmetic has a real, quantified case for B too.</w:t>
      </w:r>
    </w:p>
    <w:tbl>
      <w:tblPr>
        <w:tblW w:type="dxa" w:w="9600"/>
        <w:tblBorders>
          <w:top w:val="single" w:color="1f7a4d" w:sz="6"/>
          <w:left w:val="single" w:color="1f7a4d" w:sz="6"/>
          <w:bottom w:val="single" w:color="1f7a4d" w:sz="6"/>
          <w:right w:val="single" w:color="1f7a4d" w:sz="6"/>
          <w:insideH w:val="single" w:color="auto" w:sz="4"/>
          <w:insideV w:val="single" w:color="auto" w:sz="4"/>
        </w:tblBorders>
      </w:tblPr>
      <w:tblGrid>
        <w:gridCol w:w="9600"/>
      </w:tblGrid>
      <w:tr>
        <w:tc>
          <w:tcPr>
            <w:tcW w:type="dxa" w:w="9600"/>
            <w:shd w:fill="E6F4EC" w:color="auto" w:val="clear"/>
            <w:tcMar>
              <w:top w:type="dxa" w:w="160"/>
              <w:left w:type="dxa" w:w="200"/>
              <w:bottom w:type="dxa" w:w="160"/>
              <w:right w:type="dxa" w:w="200"/>
            </w:tcMar>
          </w:tcPr>
          <w:p>
            <w:pPr>
              <w:spacing w:after="80"/>
            </w:pPr>
            <w:r>
              <w:rPr>
                <w:b/>
                <w:bCs/>
                <w:color w:val="1A3A5C"/>
                <w:sz w:val="22"/>
                <w:szCs w:val="22"/>
              </w:rPr>
              <w:t xml:space="preserve">SPEC §6 sensitivity note</w:t>
            </w:r>
          </w:p>
          <w:p>
            <w:r>
              <w:rPr>
                <w:sz w:val="20"/>
                <w:szCs w:val="20"/>
              </w:rPr>
              <w:t xml:space="preserve">This case is low-stakes emotionally (a mascot vote), but it does touch the real, human idea of a group being “unheard” by a decision that affects them. Keep the discussion on the math and the disclosed probabilities, not on which real-world groups get under-surveyed in practice — that's a legitimate adjacent conversation but not this case's job.</w:t>
            </w:r>
          </w:p>
          <w:p>
            <w:pPr>
              <w:spacing w:before="80"/>
            </w:pPr>
            <w:r>
              <w:rPr>
                <w:sz w:val="20"/>
                <w:szCs w:val="20"/>
              </w:rPr>
              <w:t xml:space="preserve">T4: the coordination-call length (MA1) and the choice of 17.5 min as the interview-length point (MA2) are both stated modeling assumptions the student must accept and could challenge — Tier 2 probe 5 flexes both ±50% via sensitivity_model.py. Sweeping all 3 declared assumption dials (coordination_call_min, learner_call_min, sample_fraction) at ±50% never flips the winner and never breaks the 20% balance cap (margins range ~1.8%–19.3% across all six flexes).</w:t>
            </w:r>
          </w:p>
        </w:tc>
      </w:tr>
    </w:tbl>
    <w:p>
      <w:pPr>
        <w:spacing w:after="160"/>
      </w:pPr>
    </w:p>
    <w:tbl>
      <w:tblPr>
        <w:tblW w:type="dxa" w:w="9600"/>
        <w:tblBorders>
          <w:top w:val="single" w:color="a3312a" w:sz="6"/>
          <w:left w:val="single" w:color="a3312a" w:sz="6"/>
          <w:bottom w:val="single" w:color="a3312a" w:sz="6"/>
          <w:right w:val="single" w:color="a3312a" w:sz="6"/>
          <w:insideH w:val="single" w:color="auto" w:sz="4"/>
          <w:insideV w:val="single" w:color="auto" w:sz="4"/>
        </w:tblBorders>
      </w:tblPr>
      <w:tblGrid>
        <w:gridCol w:w="9600"/>
      </w:tblGrid>
      <w:tr>
        <w:tc>
          <w:tcPr>
            <w:tcW w:type="dxa" w:w="9600"/>
            <w:shd w:fill="FBEEEB" w:color="auto" w:val="clear"/>
            <w:tcMar>
              <w:top w:type="dxa" w:w="160"/>
              <w:left w:type="dxa" w:w="200"/>
              <w:bottom w:type="dxa" w:w="160"/>
              <w:right w:type="dxa" w:w="200"/>
            </w:tcMar>
          </w:tcPr>
          <w:p>
            <w:pPr>
              <w:spacing w:after="80"/>
            </w:pPr>
            <w:r>
              <w:rPr>
                <w:b/>
                <w:bCs/>
                <w:color w:val="A3312A"/>
                <w:sz w:val="22"/>
                <w:szCs w:val="22"/>
              </w:rPr>
              <w:t xml:space="preserve">The Trap</w:t>
            </w:r>
          </w:p>
          <w:p>
            <w:r>
              <w:rPr>
                <w:sz w:val="20"/>
                <w:szCs w:val="20"/>
              </w:rPr>
              <w:t xml:space="preserve">Most students will compute the per-campus “probability of being shut out” for one or two small campuses (Appendix C), see a number like “28%,” and reflexively assume Option A is unacceptably risky and Option B is the obvious right answer — without ever tallying how much total call time Option B actually costs to fix that. Learners who skip the coverage-vs-cost comparison and stop at “28% chance of exclusion sounds bad” have found the right instinct without doing the arithmetic that actually justifies it. The real numbers show B's fix is cheap in call-time (a handful of extra hours), which matters.</w:t>
            </w:r>
          </w:p>
          <w:p>
            <w:pPr>
              <w:spacing w:before="80"/>
            </w:pPr>
            <w:r>
              <w:rPr>
                <w:i/>
                <w:iCs/>
                <w:sz w:val="20"/>
                <w:szCs w:val="20"/>
              </w:rPr>
              <w:t xml:space="preserve">Cold-call on this specifically: “You said Option A's risk is unacceptable — unacceptable compared to what cost? Show me the hours.”</w:t>
            </w:r>
          </w:p>
        </w:tc>
      </w:tr>
    </w:tbl>
    <w:p>
      <w:pPr>
        <w:spacing w:after="160"/>
      </w:pPr>
    </w:p>
    <w:p>
      <w:pPr>
        <w:pStyle w:val="Heading1"/>
        <w:spacing w:after="160" w:before="320"/>
      </w:pPr>
      <w:r>
        <w:t xml:space="preserve">Five Socratic Questions</w:t>
      </w:r>
    </w:p>
    <w:p>
      <w:pPr>
        <w:pStyle w:val="ListParagraph"/>
        <w:numPr>
          <w:ilvl w:val="0"/>
          <w:numId w:val="2"/>
        </w:numPr>
        <w:spacing w:after="120"/>
      </w:pPr>
      <w:r>
        <w:t xml:space="preserve">You computed the probability that a specific 12-learner campus gets zero calls under Option A — what does that number become once you add up all the small campuses in the network, not just one?</w:t>
      </w:r>
    </w:p>
    <w:p>
      <w:pPr>
        <w:pStyle w:val="ListParagraph"/>
        <w:numPr>
          <w:ilvl w:val="0"/>
          <w:numId w:val="2"/>
        </w:numPr>
        <w:spacing w:after="120"/>
      </w:pPr>
      <w:r>
        <w:t xml:space="preserve">Option A wins on total call time. By how much, in hours — and is that gap big enough to be the reason you'd pick it, or is something else actually driving your choice?</w:t>
      </w:r>
    </w:p>
    <w:p>
      <w:pPr>
        <w:pStyle w:val="ListParagraph"/>
        <w:numPr>
          <w:ilvl w:val="0"/>
          <w:numId w:val="2"/>
        </w:numPr>
        <w:spacing w:after="120"/>
      </w:pPr>
      <w:r>
        <w:t xml:space="preserve">If Jeff's real goal was “give every age of learner a voice,” does a method that has a real chance of silencing entire campuses actually deliver on that goal, even if it's statistically unbiased at the individual-learner level?</w:t>
      </w:r>
    </w:p>
    <w:p>
      <w:pPr>
        <w:pStyle w:val="ListParagraph"/>
        <w:numPr>
          <w:ilvl w:val="0"/>
          <w:numId w:val="2"/>
        </w:numPr>
        <w:spacing w:after="120"/>
      </w:pPr>
      <w:r>
        <w:t xml:space="preserve">Your Stratified allocation table didn't come out to exactly 142 when you just rounded every campus separately — how did you fix that, and could you have fixed it a different, equally defensible way?</w:t>
      </w:r>
    </w:p>
    <w:p>
      <w:pPr>
        <w:pStyle w:val="ListParagraph"/>
        <w:numPr>
          <w:ilvl w:val="0"/>
          <w:numId w:val="2"/>
        </w:numPr>
        <w:spacing w:after="120"/>
      </w:pPr>
      <w:r>
        <w:t xml:space="preserve">If Jeff decided he only had time for half as many total calls, which of your two methods' advantages would matter more — the time savings, or the coverage guarantee?</w:t>
      </w:r>
    </w:p>
    <w:p>
      <w:pPr>
        <w:pStyle w:val="Heading1"/>
        <w:spacing w:after="160" w:before="320"/>
      </w:pPr>
      <w:r>
        <w:t xml:space="preserve">What a Strong Defense Sounds Like</w:t>
      </w:r>
    </w:p>
    <w:p>
      <w:pPr>
        <w:spacing w:after="160"/>
      </w:pPr>
      <w:r>
        <w:t xml:space="preserve">This is not an answer key — there is no single correct option, and a strong pitch can land on either A or B. What separates a strong pitch from a weak one is not which option a Hero picks but whether the reasoning holds up under pressure:</w:t>
      </w:r>
    </w:p>
    <w:p>
      <w:pPr>
        <w:pStyle w:val="ListParagraph"/>
        <w:numPr>
          <w:ilvl w:val="0"/>
          <w:numId w:val="3"/>
        </w:numPr>
        <w:spacing w:after="100"/>
      </w:pPr>
      <w:r>
        <w:t xml:space="preserve">Gets the arithmetic right and shows it: correctly computes at least three per-campus shutout probabilities via the hypergeometric formula (Appendix C), and correctly totals call-time hours for both options (Appendix D) rather than eyeballing which sounds bigger.</w:t>
      </w:r>
    </w:p>
    <w:p>
      <w:pPr>
        <w:pStyle w:val="ListParagraph"/>
        <w:numPr>
          <w:ilvl w:val="0"/>
          <w:numId w:val="3"/>
        </w:numPr>
        <w:spacing w:after="100"/>
      </w:pPr>
      <w:r>
        <w:t xml:space="preserve">Names its own definition of “fair” out loud: fair to each learner equally (SRS's unbiased individual draw) versus fair to each campus equally regardless of size (Stratified's guaranteed coverage) — a strong pitch picks one and defends it, rather than treating “fair” as self-evident.</w:t>
      </w:r>
    </w:p>
    <w:p>
      <w:pPr>
        <w:pStyle w:val="ListParagraph"/>
        <w:numPr>
          <w:ilvl w:val="0"/>
          <w:numId w:val="3"/>
        </w:numPr>
        <w:spacing w:after="100"/>
      </w:pPr>
      <w:r>
        <w:t xml:space="preserve">Engages the coverage-vs-cost tradeoff honestly, not just the scary percent: a Hero who cites the 28% single-campus shutout number without also stating what it costs in hours to fix has found the trap, not escaped it.</w:t>
      </w:r>
    </w:p>
    <w:p>
      <w:pPr>
        <w:pStyle w:val="ListParagraph"/>
        <w:numPr>
          <w:ilvl w:val="0"/>
          <w:numId w:val="3"/>
        </w:numPr>
        <w:spacing w:after="100"/>
      </w:pPr>
      <w:r>
        <w:t xml:space="preserve">Treats Appendix E's Modeling Assumptions as assumptions, not facts: MA1 (15-minute coordination call) and MA2 (17.5-minute interview midpoint) are stated choices with a real basis, not measured data — a strong pitch can name what would have to change about those numbers to flip the recommendation.</w:t>
      </w:r>
    </w:p>
    <w:p>
      <w:pPr>
        <w:pStyle w:val="ListParagraph"/>
        <w:numPr>
          <w:ilvl w:val="0"/>
          <w:numId w:val="3"/>
        </w:numPr>
        <w:spacing w:after="100"/>
      </w:pPr>
      <w:r>
        <w:t xml:space="preserve">Uses the visual displays to make an argument, not just to decorate: D6's bar graph and pie/coverage chart should make the coverage-vs-cost tradeoff visible at a glance, not simply restate the tables.</w:t>
      </w:r>
    </w:p>
    <w:p>
      <w:pPr>
        <w:pStyle w:val="Heading1"/>
        <w:spacing w:after="160" w:before="320"/>
      </w:pPr>
      <w:r>
        <w:t xml:space="preserve">Intro</w:t>
      </w:r>
    </w:p>
    <w:p>
      <w:pPr>
        <w:spacing w:after="160"/>
      </w:pPr>
      <w:r>
        <w:t xml:space="preserve">Frame the format: this is a real Acton-network decision, drawn from a real 1,420-learner roster, not a worksheet with a story stapled on. Name the opener — “One founder, three months to go, one phone in his hand, and fifty campuses of wildly different sizes. How do you make sure everybody actually gets asked?”</w:t>
      </w:r>
    </w:p>
    <w:p>
      <w:pPr>
        <w:pStyle w:val="Heading1"/>
        <w:spacing w:after="160" w:before="320"/>
      </w:pPr>
      <w:r>
        <w:t xml:space="preserve">Launch</w:t>
      </w:r>
    </w:p>
    <w:p>
      <w:pPr>
        <w:spacing w:after="160"/>
      </w:pPr>
      <w:r>
        <w:t xml:space="preserve">Read the Overview aloud, then Background's population/sample facts (1,420 learners, 50 campuses, target of 142) with no Appendix C/D numbers shown yet. Ask: “Just from what you've heard — does picking who to call sound like a simple decision, or a genuinely hard one?”</w:t>
      </w:r>
    </w:p>
    <w:p>
      <w:pPr>
        <w:pStyle w:val="Heading1"/>
        <w:spacing w:after="160" w:before="320"/>
      </w:pPr>
      <w:r>
        <w:t xml:space="preserve">Anchor 1 — Take a stand and vote</w:t>
      </w:r>
    </w:p>
    <w:p>
      <w:pPr>
        <w:spacing w:after="160"/>
      </w:pPr>
      <w:r>
        <w:rPr>
          <w:b/>
          <w:bCs/>
        </w:rPr>
        <w:t xml:space="preserve">TAKE A STAND AND VOTE. No reasoning yet, just commit.</w:t>
      </w:r>
    </w:p>
    <w:p>
      <w:pPr>
        <w:spacing w:after="160"/>
      </w:pPr>
      <w:r>
        <w:t xml:space="preserve">“Who's calling Simple Random? Who's calling Stratified?” Show of hands, no discussion yet. Record the count — Close asks again.</w:t>
      </w:r>
    </w:p>
    <w:p>
      <w:pPr>
        <w:pStyle w:val="Heading1"/>
        <w:spacing w:after="160" w:before="320"/>
      </w:pPr>
      <w:r>
        <w:t xml:space="preserve">Anchor 2 — What is the problem we're solving?</w:t>
      </w:r>
    </w:p>
    <w:p>
      <w:pPr>
        <w:spacing w:after="160"/>
      </w:pPr>
      <w:r>
        <w:rPr>
          <w:b/>
          <w:bCs/>
        </w:rPr>
        <w:t xml:space="preserve">“Is this the right question?” · “What do you mean by ‘fair’?”</w:t>
      </w:r>
    </w:p>
    <w:p>
      <w:pPr>
        <w:spacing w:after="160"/>
      </w:pPr>
      <w:r>
        <w:t xml:space="preserve">Push on what “represents the population” even means here. Fair to each learner equally? Fair to each campus equally, regardless of size? Let the room sit in the ambiguity — “Is anyone courageous enough to define ‘fair’ before we start computing anything?”</w:t>
      </w:r>
    </w:p>
    <w:p>
      <w:pPr>
        <w:pStyle w:val="Heading1"/>
        <w:spacing w:after="160" w:before="320"/>
      </w:pPr>
      <w:r>
        <w:t xml:space="preserve">Anchor 3 — What is the process?</w:t>
      </w:r>
    </w:p>
    <w:p>
      <w:pPr>
        <w:spacing w:after="160"/>
      </w:pPr>
      <w:r>
        <w:rPr>
          <w:b/>
          <w:bCs/>
        </w:rPr>
        <w:t xml:space="preserve">“If we go through this process and find the data, how will we decide?”</w:t>
      </w:r>
    </w:p>
    <w:p>
      <w:pPr>
        <w:spacing w:after="160"/>
      </w:pPr>
      <w:r>
        <w:t xml:space="preserve">Once the room has picked a working definition of “fair” or “representative,” ask them to name the actual steps: how big is the population, how big is the sample, what's each method's probability or allocation math, and what does each method actually cost in call time. Re-ask: “Given how we just defined ‘fair’ — is that still the right process?”</w:t>
      </w:r>
    </w:p>
    <w:p>
      <w:pPr>
        <w:pStyle w:val="Heading1"/>
        <w:spacing w:after="160" w:before="320"/>
      </w:pPr>
      <w:r>
        <w:t xml:space="preserve">Anchor 4 — What don't we know?</w:t>
      </w:r>
    </w:p>
    <w:p>
      <w:pPr>
        <w:spacing w:after="160"/>
      </w:pPr>
      <w:r>
        <w:rPr>
          <w:b/>
          <w:bCs/>
        </w:rPr>
        <w:t xml:space="preserve">“Do we need to make assumptions? Which ones are critical?”</w:t>
      </w:r>
    </w:p>
    <w:p>
      <w:pPr>
        <w:spacing w:after="160"/>
      </w:pPr>
      <w:r>
        <w:t xml:space="preserve">Surface Appendix D's coordination-call-length assumption and the 17.5-min interview choice as a group, out loud, before anyone computes final totals. Ask which one the room thinks matters most.</w:t>
      </w:r>
    </w:p>
    <w:p>
      <w:pPr>
        <w:pStyle w:val="Heading1"/>
        <w:spacing w:after="160" w:before="320"/>
      </w:pPr>
      <w:r>
        <w:t xml:space="preserve">Data Deep Dive</w:t>
      </w:r>
    </w:p>
    <w:p>
      <w:pPr>
        <w:spacing w:after="160"/>
      </w:pPr>
      <w:r>
        <w:t xml:space="preserve">Now, and only now, the numbers. Walk D3's per-campus shutout probabilities and D4's allocation table together as a room, then D5's total call-time comparison.</w:t>
      </w:r>
    </w:p>
    <w:p>
      <w:pPr>
        <w:spacing w:after="160"/>
      </w:pPr>
      <w:r>
        <w:rPr>
          <w:b/>
          <w:bCs/>
        </w:rPr>
        <w:t xml:space="preserve">The trap: </w:t>
      </w:r>
      <w:r>
        <w:t xml:space="preserve">see the boxed note above — Heroes stop at “a small campus has a real chance of exclusion” and skip the actual call-time cost comparison that would tell them whether fixing that risk is cheap or expensive. Cold-call: “How many total hours does closing that gap actually cost?”</w:t>
      </w:r>
    </w:p>
    <w:p>
      <w:pPr>
        <w:pStyle w:val="Heading1"/>
        <w:spacing w:after="160" w:before="320"/>
      </w:pPr>
      <w:r>
        <w:t xml:space="preserve">Twist — drop this at roughly the 15-minute mark</w:t>
      </w:r>
    </w:p>
    <w:p>
      <w:pPr>
        <w:spacing w:after="160"/>
      </w:pPr>
      <w:r>
        <w:t xml:space="preserve">Deliver slowly, with pauses:</w:t>
      </w:r>
    </w:p>
    <w:p>
      <w:pPr>
        <w:spacing w:after="160"/>
      </w:pPr>
      <w:r>
        <w:t xml:space="preserve">“Jeff just called back. He says: ‘Forget the campus count for a second — turns out every guide wants to talk shop before they hand the phone over, so coordination calls are running at the full 20 minutes the range allows, not the 15 you assumed.’ You now have 60 seconds. Does your total call-time comparison still favor the same option — or did it just flip?”</w:t>
      </w:r>
    </w:p>
    <w:p>
      <w:pPr>
        <w:spacing w:after="160"/>
      </w:pPr>
      <w:r>
        <w:t xml:space="preserve">Run python3 sensitivity_model.py with the coordination-call length at 20 minutes (still inside the case's own stated 15–20 minute bracket, Appendix A) to check whether this actually flips the verdict for this case's real numbers, and report the real answer to the room — do not assert an outcome here that the model doesn't confirm.</w:t>
      </w:r>
    </w:p>
    <w:p>
      <w:pPr>
        <w:spacing w:after="160"/>
      </w:pPr>
      <w:r>
        <w:rPr>
          <w:b/>
          <w:bCs/>
        </w:rPr>
        <w:t xml:space="preserve">Facilitator-only: </w:t>
      </w:r>
      <w:r>
        <w:t xml:space="preserve">it does not flip the verdict. Twist recompute — coordination calls at 20 min: A = 54.50 h, B = 58.08 h, margin = 6.58% (A still wins; the margin actually widens slightly, because B pays the extra 5 minutes across all 50 campuses while A pays it across only the expected 39.235 it reaches).</w:t>
      </w:r>
    </w:p>
    <w:p>
      <w:pPr>
        <w:pStyle w:val="Heading1"/>
        <w:spacing w:after="160" w:before="320"/>
      </w:pPr>
      <w:r>
        <w:t xml:space="preserve">Close — vote again</w:t>
      </w:r>
    </w:p>
    <w:p>
      <w:pPr>
        <w:spacing w:after="160"/>
      </w:pPr>
      <w:r>
        <w:t xml:space="preserve">VOTE AGAIN. “Did we ask the right question? What math was new to you today, and how did you attack it?”</w:t>
      </w:r>
    </w:p>
    <w:p>
      <w:pPr>
        <w:pStyle w:val="Heading1"/>
        <w:spacing w:after="160" w:before="320"/>
      </w:pPr>
      <w:r>
        <w:t xml:space="preserve">Lessons Learned</w:t>
      </w:r>
    </w:p>
    <w:p>
      <w:pPr>
        <w:pStyle w:val="ListParagraph"/>
        <w:numPr>
          <w:ilvl w:val="0"/>
          <w:numId w:val="3"/>
        </w:numPr>
        <w:spacing w:after="100"/>
      </w:pPr>
      <w:r>
        <w:t xml:space="preserve">How would you rank this case study in terms of difficulty, 1–5?</w:t>
      </w:r>
    </w:p>
    <w:p>
      <w:pPr>
        <w:pStyle w:val="ListParagraph"/>
        <w:numPr>
          <w:ilvl w:val="0"/>
          <w:numId w:val="3"/>
        </w:numPr>
        <w:spacing w:after="100"/>
      </w:pPr>
      <w:r>
        <w:t xml:space="preserve">What was the hardest single step — the probability, the proportional allocation, or the time-budget arithmetic?</w:t>
      </w:r>
    </w:p>
    <w:p>
      <w:pPr>
        <w:pStyle w:val="ListParagraph"/>
        <w:numPr>
          <w:ilvl w:val="0"/>
          <w:numId w:val="3"/>
        </w:numPr>
        <w:spacing w:after="100"/>
      </w:pPr>
      <w:r>
        <w:t xml:space="preserve">What math concepts were new to you, and how did you take on that challenge?</w:t>
      </w:r>
    </w:p>
    <w:p>
      <w:pPr>
        <w:pStyle w:val="ListParagraph"/>
        <w:numPr>
          <w:ilvl w:val="0"/>
          <w:numId w:val="3"/>
        </w:numPr>
        <w:spacing w:after="100"/>
      </w:pPr>
      <w:r>
        <w:t xml:space="preserve">If given a similar case next time, what would you do differently?</w:t>
      </w:r>
    </w:p>
    <w:p>
      <w:pPr>
        <w:pStyle w:val="Heading1"/>
        <w:spacing w:after="160" w:before="320"/>
      </w:pPr>
      <w:r>
        <w:t xml:space="preserve">Skills This Case Exercises</w:t>
      </w:r>
    </w:p>
    <w:p>
      <w:pPr>
        <w:spacing w:after="160"/>
      </w:pPr>
      <w:r>
        <w:t xml:space="preserve">Share the standards checklist from case.json.standards[] so the facilitator can name them in debrief:</w:t>
      </w:r>
    </w:p>
    <w:p>
      <w:pPr>
        <w:pStyle w:val="ListParagraph"/>
        <w:numPr>
          <w:ilvl w:val="0"/>
          <w:numId w:val="3"/>
        </w:numPr>
        <w:spacing w:after="100"/>
      </w:pPr>
      <w:r>
        <w:t xml:space="preserve">Statistics &amp; Probability: Population, Sample, Sample Size, Random, Simple Random Sampling, Stratified Sampling, Combination, Pie Chart</w:t>
      </w:r>
    </w:p>
    <w:p>
      <w:pPr>
        <w:pStyle w:val="ListParagraph"/>
        <w:numPr>
          <w:ilvl w:val="0"/>
          <w:numId w:val="3"/>
        </w:numPr>
        <w:spacing w:after="100"/>
      </w:pPr>
      <w:r>
        <w:t xml:space="preserve">Advanced Numbers: Percent, How to Find the Percent of a Number, How to Convert Numbers to Percents</w:t>
      </w:r>
    </w:p>
    <w:p>
      <w:pPr>
        <w:pStyle w:val="ListParagraph"/>
        <w:numPr>
          <w:ilvl w:val="0"/>
          <w:numId w:val="3"/>
        </w:numPr>
        <w:spacing w:after="100"/>
      </w:pPr>
      <w:r>
        <w:t xml:space="preserve">Measurement: Ratio, Proportion, How to Find a Missing Amount in a Proportion, Rounding, How to Round a Number to a Specified Place Value, Time, How to Convert Between Units of Time</w:t>
      </w:r>
    </w:p>
    <w:p>
      <w:pPr>
        <w:pStyle w:val="ListParagraph"/>
        <w:numPr>
          <w:ilvl w:val="0"/>
          <w:numId w:val="3"/>
        </w:numPr>
        <w:spacing w:after="100"/>
      </w:pPr>
      <w:r>
        <w:t xml:space="preserve">Basic Operations: Addition, Multiplication, How to Add Multi-Digit Numbers, How to Multiply Any Two Numbers</w:t>
      </w:r>
    </w:p>
    <w:p>
      <w:pPr>
        <w:pStyle w:val="ListParagraph"/>
        <w:numPr>
          <w:ilvl w:val="0"/>
          <w:numId w:val="3"/>
        </w:numPr>
        <w:spacing w:after="100"/>
      </w:pPr>
      <w:r>
        <w:t xml:space="preserve">Number Sense: Bar Graph</w:t>
      </w:r>
    </w:p>
    <w:p>
      <w:pPr>
        <w:pStyle w:val="Heading1"/>
        <w:spacing w:after="160" w:before="320"/>
      </w:pPr>
      <w:r>
        <w:t xml:space="preserve">Cohort Bands</w:t>
      </w:r>
    </w:p>
    <w:p>
      <w:pPr>
        <w:spacing w:after="160"/>
      </w:pPr>
      <w:r>
        <w:rPr>
          <w:b/>
          <w:bCs/>
        </w:rPr>
        <w:t xml:space="preserve">Full (16–22): </w:t>
      </w:r>
      <w:r>
        <w:t xml:space="preserve">Socratic plan and Anchor timings run as written; the 50-campus roster table supports splitting into small groups for D2/D4's tabulation work.</w:t>
      </w:r>
    </w:p>
    <w:p>
      <w:pPr>
        <w:spacing w:after="160"/>
      </w:pPr>
      <w:r>
        <w:rPr>
          <w:b/>
          <w:bCs/>
        </w:rPr>
        <w:t xml:space="preserve">Compressed (8–12): </w:t>
      </w:r>
      <w:r>
        <w:t xml:space="preserve">Anchors 2–3 combine into one pass; the twist still drops but “deep conflict” narrows to one thread (fairness-by-learner vs. fairness-by-campus); runtime shortens proportionally.</w:t>
      </w:r>
    </w:p>
    <w:p>
      <w:pPr>
        <w:spacing w:after="160"/>
      </w:pPr>
      <w:r>
        <w:rPr>
          <w:b/>
          <w:bCs/>
        </w:rPr>
        <w:t xml:space="preserve">1:1 / pair (1–2): </w:t>
      </w:r>
      <w:r>
        <w:t xml:space="preserve">No vote to take — Anchor 1 becomes a stated initial position; guide plays devil's advocate directly; the twist still lands but “who reverses” becomes “would you reverse, and why.”</w:t>
      </w:r>
    </w:p>
    <w:p>
      <w:pPr>
        <w:pStyle w:val="Heading1"/>
        <w:spacing w:after="160" w:before="320"/>
      </w:pPr>
      <w:r>
        <w:t xml:space="preserve">45-Minute Socratic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A3A5C" w:color="auto" w:val="clear"/>
            <w:tcMar>
              <w:top w:type="dxa" w:w="60"/>
              <w:left w:type="dxa" w:w="90"/>
              <w:bottom w:type="dxa" w:w="60"/>
              <w:right w:type="dxa" w:w="90"/>
            </w:tcMar>
            <w:vAlign w:val="center"/>
          </w:tcPr>
          <w:p>
            <w:r>
              <w:rPr>
                <w:b/>
                <w:bCs/>
                <w:color w:val="FFFFFF"/>
                <w:sz w:val="18"/>
                <w:szCs w:val="18"/>
              </w:rPr>
              <w:t xml:space="preserve">Time</w:t>
            </w:r>
          </w:p>
        </w:tc>
        <w:tc>
          <w:tcPr>
            <w:tcW w:type="dxa" w:w="7800"/>
            <w:shd w:fill="1A3A5C" w:color="auto" w:val="clear"/>
            <w:tcMar>
              <w:top w:type="dxa" w:w="60"/>
              <w:left w:type="dxa" w:w="90"/>
              <w:bottom w:type="dxa" w:w="60"/>
              <w:right w:type="dxa" w:w="90"/>
            </w:tcMar>
            <w:vAlign w:val="center"/>
          </w:tcPr>
          <w:p>
            <w:r>
              <w:rPr>
                <w:b/>
                <w:bCs/>
                <w:color w:val="FFFFFF"/>
                <w:sz w:val="18"/>
                <w:szCs w:val="18"/>
              </w:rPr>
              <w:t xml:space="preserve">Move</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0:00–3:00</w:t>
            </w:r>
          </w:p>
        </w:tc>
        <w:tc>
          <w:tcPr>
            <w:tcW w:type="dxa" w:w="7800"/>
            <w:tcMar>
              <w:top w:type="dxa" w:w="60"/>
              <w:left w:type="dxa" w:w="90"/>
              <w:bottom w:type="dxa" w:w="60"/>
              <w:right w:type="dxa" w:w="90"/>
            </w:tcMar>
            <w:vAlign w:val="center"/>
          </w:tcPr>
          <w:p>
            <w:r>
              <w:rPr>
                <w:b w:val="false"/>
                <w:bCs w:val="false"/>
                <w:sz w:val="18"/>
                <w:szCs w:val="18"/>
              </w:rPr>
              <w:t xml:space="preserve">Cold-call launch, 30-second commitments, stand/sit vote — no explanation</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3:00–10:00</w:t>
            </w:r>
          </w:p>
        </w:tc>
        <w:tc>
          <w:tcPr>
            <w:tcW w:type="dxa" w:w="7800"/>
            <w:tcMar>
              <w:top w:type="dxa" w:w="60"/>
              <w:left w:type="dxa" w:w="90"/>
              <w:bottom w:type="dxa" w:w="60"/>
              <w:right w:type="dxa" w:w="90"/>
            </w:tcMar>
            <w:vAlign w:val="center"/>
          </w:tcPr>
          <w:p>
            <w:r>
              <w:rPr>
                <w:b w:val="false"/>
                <w:bCs w:val="false"/>
                <w:sz w:val="18"/>
                <w:szCs w:val="18"/>
              </w:rPr>
              <w:t xml:space="preserve">Position defense: “Convince us why it's better, not just simpler”</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10:00–15:00</w:t>
            </w:r>
          </w:p>
        </w:tc>
        <w:tc>
          <w:tcPr>
            <w:tcW w:type="dxa" w:w="7800"/>
            <w:tcMar>
              <w:top w:type="dxa" w:w="60"/>
              <w:left w:type="dxa" w:w="90"/>
              <w:bottom w:type="dxa" w:w="60"/>
              <w:right w:type="dxa" w:w="90"/>
            </w:tcMar>
            <w:vAlign w:val="center"/>
          </w:tcPr>
          <w:p>
            <w:r>
              <w:rPr>
                <w:b w:val="false"/>
                <w:bCs w:val="false"/>
                <w:sz w:val="18"/>
                <w:szCs w:val="18"/>
              </w:rPr>
              <w:t xml:space="preserve">Pressure-test the models: “Whose plan is most fragile to a small campus?”</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15:00</w:t>
            </w:r>
          </w:p>
        </w:tc>
        <w:tc>
          <w:tcPr>
            <w:tcW w:type="dxa" w:w="7800"/>
            <w:tcMar>
              <w:top w:type="dxa" w:w="60"/>
              <w:left w:type="dxa" w:w="90"/>
              <w:bottom w:type="dxa" w:w="60"/>
              <w:right w:type="dxa" w:w="90"/>
            </w:tcMar>
            <w:vAlign w:val="center"/>
          </w:tcPr>
          <w:p>
            <w:r>
              <w:rPr>
                <w:b w:val="false"/>
                <w:bCs w:val="false"/>
                <w:sz w:val="18"/>
                <w:szCs w:val="18"/>
              </w:rPr>
              <w:t xml:space="preserve">DROP THE TWIST — coordination calls run at the top of the stated 15–20 min range, not the bottom MA1 assumed — delivered slowly, with pauses</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15:00–20:00</w:t>
            </w:r>
          </w:p>
        </w:tc>
        <w:tc>
          <w:tcPr>
            <w:tcW w:type="dxa" w:w="7800"/>
            <w:tcMar>
              <w:top w:type="dxa" w:w="60"/>
              <w:left w:type="dxa" w:w="90"/>
              <w:bottom w:type="dxa" w:w="60"/>
              <w:right w:type="dxa" w:w="90"/>
            </w:tcMar>
            <w:vAlign w:val="center"/>
          </w:tcPr>
          <w:p>
            <w:r>
              <w:rPr>
                <w:b w:val="false"/>
                <w:bCs w:val="false"/>
                <w:sz w:val="18"/>
                <w:szCs w:val="18"/>
              </w:rPr>
              <w:t xml:space="preserve">Immediate recommit: who reverses? “What just broke in your total?”</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20:00–30:00</w:t>
            </w:r>
          </w:p>
        </w:tc>
        <w:tc>
          <w:tcPr>
            <w:tcW w:type="dxa" w:w="7800"/>
            <w:tcMar>
              <w:top w:type="dxa" w:w="60"/>
              <w:left w:type="dxa" w:w="90"/>
              <w:bottom w:type="dxa" w:w="60"/>
              <w:right w:type="dxa" w:w="90"/>
            </w:tcMar>
            <w:vAlign w:val="center"/>
          </w:tcPr>
          <w:p>
            <w:r>
              <w:rPr>
                <w:b w:val="false"/>
                <w:bCs w:val="false"/>
                <w:sz w:val="18"/>
                <w:szCs w:val="18"/>
              </w:rPr>
              <w:t xml:space="preserve">Threaded deep conflict — two named threads: (1) fairness-by-learner (SRS's equal individual chance) vs. fairness-by-campus (Stratified's guaranteed coverage); (2) statistical purity vs. practical time cost</w:t>
            </w:r>
          </w:p>
        </w:tc>
      </w:tr>
      <w:tr>
        <w:trPr>
          <w:cantSplit/>
        </w:trPr>
        <w:tc>
          <w:tcPr>
            <w:tcW w:type="dxa" w:w="1800"/>
            <w:tcMar>
              <w:top w:type="dxa" w:w="60"/>
              <w:left w:type="dxa" w:w="90"/>
              <w:bottom w:type="dxa" w:w="60"/>
              <w:right w:type="dxa" w:w="90"/>
            </w:tcMar>
            <w:vAlign w:val="center"/>
          </w:tcPr>
          <w:p>
            <w:r>
              <w:rPr>
                <w:b w:val="false"/>
                <w:bCs w:val="false"/>
                <w:sz w:val="18"/>
                <w:szCs w:val="18"/>
              </w:rPr>
              <w:t xml:space="preserve">30:00–45:00</w:t>
            </w:r>
          </w:p>
        </w:tc>
        <w:tc>
          <w:tcPr>
            <w:tcW w:type="dxa" w:w="7800"/>
            <w:tcMar>
              <w:top w:type="dxa" w:w="60"/>
              <w:left w:type="dxa" w:w="90"/>
              <w:bottom w:type="dxa" w:w="60"/>
              <w:right w:type="dxa" w:w="90"/>
            </w:tcMar>
            <w:vAlign w:val="center"/>
          </w:tcPr>
          <w:p>
            <w:r>
              <w:rPr>
                <w:b w:val="false"/>
                <w:bCs w:val="false"/>
                <w:sz w:val="18"/>
                <w:szCs w:val="18"/>
              </w:rPr>
              <w:t xml:space="preserve">Close, re-vote, reflection, lessons learned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87" w:hanging="288"/>
      </w:pPr>
    </w:lvl>
  </w:abstractNum>
  <w:abstractNum w:abstractNumId="3" w15:restartNumberingAfterBreak="0">
    <w:multiLevelType w:val="hybridMultilevel"/>
    <w:lvl w:ilvl="0" w15:tentative="1">
      <w:start w:val="1"/>
      <w:numFmt w:val="decimal"/>
      <w:lvlText w:val="%1."/>
      <w:lvlJc w:val="left"/>
      <w:pPr>
        <w:ind w:left="500"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2026-08-20T22:18:28.239Z</dcterms:created>
  <dcterms:modified xsi:type="dcterms:W3CDTF">2026-08-20T22:18:28.240Z</dcterms:modified>
</cp:coreProperties>
</file>

<file path=docProps/custom.xml><?xml version="1.0" encoding="utf-8"?>
<Properties xmlns="http://schemas.openxmlformats.org/officeDocument/2006/custom-properties" xmlns:vt="http://schemas.openxmlformats.org/officeDocument/2006/docPropsVTypes"/>
</file>