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Carpenter</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Sawdust hangs in the light from the bare living-room window. Newt Harrison runs a thumbnail along the seam where the old linoleum used to be, now just bare subfloor and a faint rectangle of glue residue. Behind him, a text thread is still open on his phone, propped against a paint can: </w:t>
      </w:r>
      <w:r>
        <w:rPr>
          <w:i/>
          <w:iCs/>
        </w:rPr>
        <w:t xml:space="preserve">Whatever you recommend, Newt — we trust you. Just tell us what and why.</w:t>
      </w:r>
    </w:p>
    <w:p>
      <w:r>
        <w:t xml:space="preserve">Ten years of remodels in this city, and he's never had a client hand him the whole call like that.</w:t>
      </w:r>
    </w:p>
    <w:p>
      <w:r>
        <w:t xml:space="preserve">He walks the flat again — bedroom, bedroom, bedroom, the wide living room where the light comes in low in the afternoon, the kitchen already gutted down to studs on one wall. Three sample boards lean against the fireplace: a carpet swatch soft enough to sink a heel into, a plank of hardwood with a grain like a fingerprint, and a stack of tile samples still rubber-banded together from the supplier.</w:t>
      </w:r>
    </w:p>
    <w:p>
      <w:r>
        <w:t xml:space="preserve">His notebook is open on the counter, half a page of numbers in his own handwriting, the rest blank. A price list. A wear chart. A currency he still has to convert every time, because the lumber yard prices everything ten minutes south of the border, in a different money than the one that'll actually pay for it.</w:t>
      </w:r>
    </w:p>
    <w:p>
      <w:r>
        <w:t xml:space="preserve">Newt caps his pencil and looks at the three boards one more time.</w:t>
      </w:r>
    </w:p>
    <w:p>
      <w:r>
        <w:t xml:space="preserve">Somebody has to close this out by Friday.</w:t>
      </w:r>
    </w:p>
    <w:p>
      <w:pPr>
        <w:pStyle w:val="Heading2"/>
        <w:spacing w:after="120" w:before="240"/>
      </w:pPr>
      <w:r>
        <w:t xml:space="preserve">Background</w:t>
      </w:r>
    </w:p>
    <w:p>
      <w:r>
        <w:t xml:space="preserve">Spencer and Michelle Berisel bought a flat in downtown Montreal, Quebec, that they plan to run as a short-term rental (SEE APPENDIX A). They live outside the city in Granby and won't be on-site day to day. The flat turns over tenants at least weekly, with heavy foot traffic between bookings — the ordinary wear of a busy short-term rental, not a quiet family home.</w:t>
      </w:r>
    </w:p>
    <w:p>
      <w:r>
        <w:t xml:space="preserve">The Berisels have told Newt Harrison, the carpenter finishing the rest of the remodel, that "comfort and luxury" are what will make this listing stand out in a crowded market — but with every other line item in the renovation already spoken for, they've also set a </w:t>
      </w:r>
      <w:r>
        <w:rPr>
          <w:b/>
          <w:bCs/>
        </w:rPr>
        <w:t xml:space="preserve">soft budget cap of CD$17,900 (Canadian dollars)</w:t>
      </w:r>
      <w:r>
        <w:t xml:space="preserve"> for flooring alone: initial materials, delivery, and installation, all in. It's a target they'd like to hit, not a hard wall Newt is forbidden to cross, and they've asked him to show his work either way.</w:t>
      </w:r>
    </w:p>
    <w:p>
      <w:r>
        <w:t xml:space="preserve">Because flooring materials run cheaper across the border, Newt buys everything in Burlington, Vermont, and has it delivered north. The supplier prices every material in U.S. dollars; the Berisels pay Newt in Canadian dollars, so every material cost has to cross that conversion at least once (SEE APPENDIX D). The supplier also charges a flat </w:t>
      </w:r>
      <w:r>
        <w:rPr>
          <w:b/>
          <w:bCs/>
        </w:rPr>
        <w:t xml:space="preserve">delivery fee of 2.6% of the total material cost</w:t>
      </w:r>
      <w:r>
        <w:t xml:space="preserve"> for the cross-border haul, regardless of which flooring is ordered.</w:t>
      </w:r>
    </w:p>
    <w:p>
      <w:r>
        <w:t xml:space="preserve">Two rooms of the flat are locked in no matter what: the kitchen and all bathrooms will be tiled, full stop — nobody is proposing carpet or hardwood in a bathroom. What's still open is the bedrooms and the living room, and Newt has boiled it down to two real options for that space (SEE APPENDIX A for the floor plan Newt is pricing against, and APPENDIX B for what each material actually costs and how long it lasts). Every figure Newt is working from carries some kind of caveat or judgment call, spelled out plainly in APPENDIX F, rather than buried quietly in a table. Two articles Newt has already bookmarked while researching this pitch are in APPENDIX E. The vocabulary and "how to…" skills this case will ask you to research are listed in APPENDIX G — that is where Challenge 1 sends you.</w:t>
      </w:r>
    </w:p>
    <w:p>
      <w:pPr>
        <w:pStyle w:val="Heading2"/>
        <w:spacing w:after="120" w:before="240"/>
      </w:pPr>
      <w:r>
        <w:t xml:space="preserve">Dilemma</w:t>
      </w:r>
    </w:p>
    <w:p>
      <w:r>
        <w:t xml:space="preserve">You are Newt Harrison.</w:t>
      </w:r>
    </w:p>
    <w:p>
      <w:r>
        <w:t xml:space="preserve">Do you:</w:t>
      </w:r>
    </w:p>
    <w:p>
      <w:r>
        <w:t xml:space="preserve">A.) Carpeted bedrooms and living room, with tiled kitchen and bathrooms OR</w:t>
      </w:r>
    </w:p>
    <w:p>
      <w:r>
        <w:t xml:space="preserve">B.) Hardwood bedrooms and living room, with tiled kitchen and bathrooms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    D1. </w:t>
      </w:r>
      <w:r>
        <w:rPr>
          <w:b/>
          <w:bCs/>
        </w:rPr>
        <w:t xml:space="preserve">A room-by-room area takeoff</w:t>
      </w:r>
      <w:r>
        <w:t xml:space="preserve">, converting the floor plan's metric dimensions (Appendix A) into square feet, ending in two clearly labeled zone totals: the carpet/hardwood zone (bedrooms + living room) and the tile zone (kitchen, dining, store, bathrooms).</w:t>
      </w:r>
    </w:p>
    <w:p>
      <w:r>
        <w:t xml:space="preserve">    D2. </w:t>
      </w:r>
      <w:r>
        <w:rPr>
          <w:b/>
          <w:bCs/>
        </w:rPr>
        <w:t xml:space="preserve">A materials-and-delivery worksheet for each option</w:t>
      </w:r>
      <w:r>
        <w:t xml:space="preserve">, showing material cost, the 2.6% cross-border delivery fee, and installation labor — each converted from U.S. dollars to Canadian dollars at the current exchange rate (Appendix D) — ending in one total initial cost per option, in Canadian dollars.</w:t>
      </w:r>
    </w:p>
    <w:p>
      <w:r>
        <w:t xml:space="preserve">    D3. </w:t>
      </w:r>
      <w:r>
        <w:rPr>
          <w:b/>
          <w:bCs/>
        </w:rPr>
        <w:t xml:space="preserve">A total initial cost comparison</w:t>
      </w:r>
      <w:r>
        <w:t xml:space="preserve">, checking each option's total against the Berisels' CD$17,900 soft budget cap and stating, in dollars, how far each option sits above or below it.</w:t>
      </w:r>
    </w:p>
    <w:p>
      <w:r>
        <w:t xml:space="preserve">    D4. </w:t>
      </w:r>
      <w:r>
        <w:rPr>
          <w:b/>
          <w:bCs/>
        </w:rPr>
        <w:t xml:space="preserve">A cumulative cost-over-time chart</w:t>
      </w:r>
      <w:r>
        <w:t xml:space="preserve">, plotting total cost of ownership (initial cost plus all maintenance and any full replacement or refinishing) for each option at the 5-year, 10-year, and 15-year marks (Appendix C), as a line or bar graph.</w:t>
      </w:r>
    </w:p>
    <w:p>
      <w:r>
        <w:t xml:space="preserve">    D5. </w:t>
      </w:r>
      <w:r>
        <w:rPr>
          <w:b/>
          <w:bCs/>
        </w:rPr>
        <w:t xml:space="preserve">A percent-difference calculation</w:t>
      </w:r>
      <w:r>
        <w:t xml:space="preserve"> stating exactly how close Option A's and Option B's 15-year total costs of ownership come to each other, expressed as a percent.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00" w:before="200"/>
      </w:pPr>
      <w:r>
        <w:t xml:space="preserve">Appendix A — Floor Plan &amp; Room Measurements</w:t>
      </w:r>
    </w:p>
    <w:p>
      <w:r>
        <w:t xml:space="preserve">The Berisels' flat is a 3-bedroom, 3-bathroom layout with a kitchen/dining area, a small storage room, and a living room. Dimensions below are adapted from the flat's floor plan (SEE APPENDIX F, Modeling Assumption MA1) and converted from meters to square feet using 1 m² = 10.764 ft².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Room</w:t>
            </w:r>
          </w:p>
        </w:tc>
        <w:tc>
          <w:tcPr>
            <w:tcW w:type="dxa" w:w="1800"/>
            <w:shd w:fill="DDDDDD" w:val="clear"/>
          </w:tcPr>
          <w:p>
            <w:r>
              <w:t xml:space="preserve">Dimensions (m)</w:t>
            </w:r>
          </w:p>
        </w:tc>
        <w:tc>
          <w:tcPr>
            <w:tcW w:type="dxa" w:w="1800"/>
            <w:shd w:fill="DDDDDD" w:val="clear"/>
          </w:tcPr>
          <w:p>
            <w:r>
              <w:t xml:space="preserve">Area (m²)</w:t>
            </w:r>
          </w:p>
        </w:tc>
        <w:tc>
          <w:tcPr>
            <w:tcW w:type="dxa" w:w="1800"/>
            <w:shd w:fill="DDDDDD" w:val="clear"/>
          </w:tcPr>
          <w:p>
            <w:r>
              <w:t xml:space="preserve">Area (ft²)</w:t>
            </w:r>
          </w:p>
        </w:tc>
        <w:tc>
          <w:tcPr>
            <w:tcW w:type="dxa" w:w="1800"/>
            <w:shd w:fill="DDDDDD" w:val="clear"/>
          </w:tcPr>
          <w:p>
            <w:r>
              <w:t xml:space="preserve">Flooring zone</w:t>
            </w:r>
          </w:p>
        </w:tc>
      </w:tr>
      <w:tr>
        <w:tc>
          <w:tcPr>
            <w:tcW w:type="dxa" w:w="1800"/>
          </w:tcPr>
          <w:p>
            <w:r>
              <w:t xml:space="preserve">Bedroom 1</w:t>
            </w:r>
          </w:p>
        </w:tc>
        <w:tc>
          <w:tcPr>
            <w:tcW w:type="dxa" w:w="1800"/>
          </w:tcPr>
          <w:p>
            <w:r>
              <w:t xml:space="preserve">4.0 × 4.0</w:t>
            </w:r>
          </w:p>
        </w:tc>
        <w:tc>
          <w:tcPr>
            <w:tcW w:type="dxa" w:w="1800"/>
          </w:tcPr>
          <w:p>
            <w:r>
              <w:t xml:space="preserve">16.0</w:t>
            </w:r>
          </w:p>
        </w:tc>
        <w:tc>
          <w:tcPr>
            <w:tcW w:type="dxa" w:w="1800"/>
          </w:tcPr>
          <w:p>
            <w:r>
              <w:t xml:space="preserve">172.2</w:t>
            </w:r>
          </w:p>
        </w:tc>
        <w:tc>
          <w:tcPr>
            <w:tcW w:type="dxa" w:w="1800"/>
          </w:tcPr>
          <w:p>
            <w:r>
              <w:t xml:space="preserve">Carpet / Hardwood</w:t>
            </w:r>
          </w:p>
        </w:tc>
      </w:tr>
      <w:tr>
        <w:tc>
          <w:tcPr>
            <w:tcW w:type="dxa" w:w="1800"/>
          </w:tcPr>
          <w:p>
            <w:r>
              <w:t xml:space="preserve">Bedroom 2</w:t>
            </w:r>
          </w:p>
        </w:tc>
        <w:tc>
          <w:tcPr>
            <w:tcW w:type="dxa" w:w="1800"/>
          </w:tcPr>
          <w:p>
            <w:r>
              <w:t xml:space="preserve">4.0 × 3.5</w:t>
            </w:r>
          </w:p>
        </w:tc>
        <w:tc>
          <w:tcPr>
            <w:tcW w:type="dxa" w:w="1800"/>
          </w:tcPr>
          <w:p>
            <w:r>
              <w:t xml:space="preserve">14.0</w:t>
            </w:r>
          </w:p>
        </w:tc>
        <w:tc>
          <w:tcPr>
            <w:tcW w:type="dxa" w:w="1800"/>
          </w:tcPr>
          <w:p>
            <w:r>
              <w:t xml:space="preserve">150.7</w:t>
            </w:r>
          </w:p>
        </w:tc>
        <w:tc>
          <w:tcPr>
            <w:tcW w:type="dxa" w:w="1800"/>
          </w:tcPr>
          <w:p>
            <w:r>
              <w:t xml:space="preserve">Carpet / Hardwood</w:t>
            </w:r>
          </w:p>
        </w:tc>
      </w:tr>
      <w:tr>
        <w:tc>
          <w:tcPr>
            <w:tcW w:type="dxa" w:w="1800"/>
          </w:tcPr>
          <w:p>
            <w:r>
              <w:t xml:space="preserve">Bedroom 3</w:t>
            </w:r>
          </w:p>
        </w:tc>
        <w:tc>
          <w:tcPr>
            <w:tcW w:type="dxa" w:w="1800"/>
          </w:tcPr>
          <w:p>
            <w:r>
              <w:t xml:space="preserve">4.0 × 4.0</w:t>
            </w:r>
          </w:p>
        </w:tc>
        <w:tc>
          <w:tcPr>
            <w:tcW w:type="dxa" w:w="1800"/>
          </w:tcPr>
          <w:p>
            <w:r>
              <w:t xml:space="preserve">16.0</w:t>
            </w:r>
          </w:p>
        </w:tc>
        <w:tc>
          <w:tcPr>
            <w:tcW w:type="dxa" w:w="1800"/>
          </w:tcPr>
          <w:p>
            <w:r>
              <w:t xml:space="preserve">172.2</w:t>
            </w:r>
          </w:p>
        </w:tc>
        <w:tc>
          <w:tcPr>
            <w:tcW w:type="dxa" w:w="1800"/>
          </w:tcPr>
          <w:p>
            <w:r>
              <w:t xml:space="preserve">Carpet / Hardwood</w:t>
            </w:r>
          </w:p>
        </w:tc>
      </w:tr>
      <w:tr>
        <w:tc>
          <w:tcPr>
            <w:tcW w:type="dxa" w:w="1800"/>
          </w:tcPr>
          <w:p>
            <w:r>
              <w:t xml:space="preserve">Living Room</w:t>
            </w:r>
          </w:p>
        </w:tc>
        <w:tc>
          <w:tcPr>
            <w:tcW w:type="dxa" w:w="1800"/>
          </w:tcPr>
          <w:p>
            <w:r>
              <w:t xml:space="preserve">4.0 × 4.5</w:t>
            </w:r>
          </w:p>
        </w:tc>
        <w:tc>
          <w:tcPr>
            <w:tcW w:type="dxa" w:w="1800"/>
          </w:tcPr>
          <w:p>
            <w:r>
              <w:t xml:space="preserve">18.0</w:t>
            </w:r>
          </w:p>
        </w:tc>
        <w:tc>
          <w:tcPr>
            <w:tcW w:type="dxa" w:w="1800"/>
          </w:tcPr>
          <w:p>
            <w:r>
              <w:t xml:space="preserve">193.8</w:t>
            </w:r>
          </w:p>
        </w:tc>
        <w:tc>
          <w:tcPr>
            <w:tcW w:type="dxa" w:w="1800"/>
          </w:tcPr>
          <w:p>
            <w:r>
              <w:t xml:space="preserve">Carpet / Hardwood</w:t>
            </w:r>
          </w:p>
        </w:tc>
      </w:tr>
      <w:tr>
        <w:tc>
          <w:tcPr>
            <w:tcW w:type="dxa" w:w="1800"/>
          </w:tcPr>
          <w:p>
            <w:r>
              <w:rPr>
                <w:b/>
                <w:bCs/>
              </w:rPr>
              <w:t xml:space="preserve">Carpet/Hardwood zone subtotal</w:t>
            </w:r>
          </w:p>
        </w:tc>
        <w:tc>
          <w:tcPr>
            <w:tcW w:type="dxa" w:w="1800"/>
          </w:tcPr>
          <w:p>
            <w:r>
              <w:t xml:space="preserve">—</w:t>
            </w:r>
          </w:p>
        </w:tc>
        <w:tc>
          <w:tcPr>
            <w:tcW w:type="dxa" w:w="1800"/>
          </w:tcPr>
          <w:p>
            <w:r>
              <w:rPr>
                <w:b/>
                <w:bCs/>
              </w:rPr>
              <w:t xml:space="preserve">64.0</w:t>
            </w:r>
          </w:p>
        </w:tc>
        <w:tc>
          <w:tcPr>
            <w:tcW w:type="dxa" w:w="1800"/>
          </w:tcPr>
          <w:p>
            <w:r>
              <w:rPr>
                <w:b/>
                <w:bCs/>
              </w:rPr>
              <w:t xml:space="preserve">688.9 (use 690)</w:t>
            </w:r>
          </w:p>
        </w:tc>
        <w:tc>
          <w:tcPr>
            <w:tcW w:type="dxa" w:w="1800"/>
          </w:tcPr>
          <w:p>
            <w:r>
              <w:t xml:space="preserve">—</w:t>
            </w:r>
          </w:p>
        </w:tc>
      </w:tr>
      <w:tr>
        <w:tc>
          <w:tcPr>
            <w:tcW w:type="dxa" w:w="1800"/>
          </w:tcPr>
          <w:p>
            <w:r>
              <w:t xml:space="preserve">Kitchen + Dining</w:t>
            </w:r>
          </w:p>
        </w:tc>
        <w:tc>
          <w:tcPr>
            <w:tcW w:type="dxa" w:w="1800"/>
          </w:tcPr>
          <w:p>
            <w:r>
              <w:t xml:space="preserve">4.0 × 3.5</w:t>
            </w:r>
          </w:p>
        </w:tc>
        <w:tc>
          <w:tcPr>
            <w:tcW w:type="dxa" w:w="1800"/>
          </w:tcPr>
          <w:p>
            <w:r>
              <w:t xml:space="preserve">14.0</w:t>
            </w:r>
          </w:p>
        </w:tc>
        <w:tc>
          <w:tcPr>
            <w:tcW w:type="dxa" w:w="1800"/>
          </w:tcPr>
          <w:p>
            <w:r>
              <w:t xml:space="preserve">150.7</w:t>
            </w:r>
          </w:p>
        </w:tc>
        <w:tc>
          <w:tcPr>
            <w:tcW w:type="dxa" w:w="1800"/>
          </w:tcPr>
          <w:p>
            <w:r>
              <w:t xml:space="preserve">Tile</w:t>
            </w:r>
          </w:p>
        </w:tc>
      </w:tr>
      <w:tr>
        <w:tc>
          <w:tcPr>
            <w:tcW w:type="dxa" w:w="1800"/>
          </w:tcPr>
          <w:p>
            <w:r>
              <w:t xml:space="preserve">Store</w:t>
            </w:r>
          </w:p>
        </w:tc>
        <w:tc>
          <w:tcPr>
            <w:tcW w:type="dxa" w:w="1800"/>
          </w:tcPr>
          <w:p>
            <w:r>
              <w:t xml:space="preserve">4.0 × 1.9</w:t>
            </w:r>
          </w:p>
        </w:tc>
        <w:tc>
          <w:tcPr>
            <w:tcW w:type="dxa" w:w="1800"/>
          </w:tcPr>
          <w:p>
            <w:r>
              <w:t xml:space="preserve">7.6</w:t>
            </w:r>
          </w:p>
        </w:tc>
        <w:tc>
          <w:tcPr>
            <w:tcW w:type="dxa" w:w="1800"/>
          </w:tcPr>
          <w:p>
            <w:r>
              <w:t xml:space="preserve">81.8</w:t>
            </w:r>
          </w:p>
        </w:tc>
        <w:tc>
          <w:tcPr>
            <w:tcW w:type="dxa" w:w="1800"/>
          </w:tcPr>
          <w:p>
            <w:r>
              <w:t xml:space="preserve">Tile</w:t>
            </w:r>
          </w:p>
        </w:tc>
      </w:tr>
      <w:tr>
        <w:tc>
          <w:tcPr>
            <w:tcW w:type="dxa" w:w="1800"/>
          </w:tcPr>
          <w:p>
            <w:r>
              <w:t xml:space="preserve">Bathroom (Bed 1/2 side)</w:t>
            </w:r>
          </w:p>
        </w:tc>
        <w:tc>
          <w:tcPr>
            <w:tcW w:type="dxa" w:w="1800"/>
          </w:tcPr>
          <w:p>
            <w:r>
              <w:t xml:space="preserve">1.7 × 2.0</w:t>
            </w:r>
          </w:p>
        </w:tc>
        <w:tc>
          <w:tcPr>
            <w:tcW w:type="dxa" w:w="1800"/>
          </w:tcPr>
          <w:p>
            <w:r>
              <w:t xml:space="preserve">3.4</w:t>
            </w:r>
          </w:p>
        </w:tc>
        <w:tc>
          <w:tcPr>
            <w:tcW w:type="dxa" w:w="1800"/>
          </w:tcPr>
          <w:p>
            <w:r>
              <w:t xml:space="preserve">36.6</w:t>
            </w:r>
          </w:p>
        </w:tc>
        <w:tc>
          <w:tcPr>
            <w:tcW w:type="dxa" w:w="1800"/>
          </w:tcPr>
          <w:p>
            <w:r>
              <w:t xml:space="preserve">Tile</w:t>
            </w:r>
          </w:p>
        </w:tc>
      </w:tr>
      <w:tr>
        <w:tc>
          <w:tcPr>
            <w:tcW w:type="dxa" w:w="1800"/>
          </w:tcPr>
          <w:p>
            <w:r>
              <w:t xml:space="preserve">Bathrooms ×2 (Store side)</w:t>
            </w:r>
          </w:p>
        </w:tc>
        <w:tc>
          <w:tcPr>
            <w:tcW w:type="dxa" w:w="1800"/>
          </w:tcPr>
          <w:p>
            <w:r>
              <w:t xml:space="preserve">1.9 × 1.5 each</w:t>
            </w:r>
          </w:p>
        </w:tc>
        <w:tc>
          <w:tcPr>
            <w:tcW w:type="dxa" w:w="1800"/>
          </w:tcPr>
          <w:p>
            <w:r>
              <w:t xml:space="preserve">5.7</w:t>
            </w:r>
          </w:p>
        </w:tc>
        <w:tc>
          <w:tcPr>
            <w:tcW w:type="dxa" w:w="1800"/>
          </w:tcPr>
          <w:p>
            <w:r>
              <w:t xml:space="preserve">61.4</w:t>
            </w:r>
          </w:p>
        </w:tc>
        <w:tc>
          <w:tcPr>
            <w:tcW w:type="dxa" w:w="1800"/>
          </w:tcPr>
          <w:p>
            <w:r>
              <w:t xml:space="preserve">Tile</w:t>
            </w:r>
          </w:p>
        </w:tc>
      </w:tr>
      <w:tr>
        <w:tc>
          <w:tcPr>
            <w:tcW w:type="dxa" w:w="1800"/>
          </w:tcPr>
          <w:p>
            <w:r>
              <w:rPr>
                <w:b/>
                <w:bCs/>
              </w:rPr>
              <w:t xml:space="preserve">Tile zone subtotal</w:t>
            </w:r>
          </w:p>
        </w:tc>
        <w:tc>
          <w:tcPr>
            <w:tcW w:type="dxa" w:w="1800"/>
          </w:tcPr>
          <w:p>
            <w:r>
              <w:t xml:space="preserve">—</w:t>
            </w:r>
          </w:p>
        </w:tc>
        <w:tc>
          <w:tcPr>
            <w:tcW w:type="dxa" w:w="1800"/>
          </w:tcPr>
          <w:p>
            <w:r>
              <w:rPr>
                <w:b/>
                <w:bCs/>
              </w:rPr>
              <w:t xml:space="preserve">30.7</w:t>
            </w:r>
          </w:p>
        </w:tc>
        <w:tc>
          <w:tcPr>
            <w:tcW w:type="dxa" w:w="1800"/>
          </w:tcPr>
          <w:p>
            <w:r>
              <w:rPr>
                <w:b/>
                <w:bCs/>
              </w:rPr>
              <w:t xml:space="preserve">330.5 (use 330)</w:t>
            </w:r>
          </w:p>
        </w:tc>
        <w:tc>
          <w:tcPr>
            <w:tcW w:type="dxa" w:w="1800"/>
          </w:tcPr>
          <w:p>
            <w:r>
              <w:t xml:space="preserve">—</w:t>
            </w:r>
          </w:p>
        </w:tc>
      </w:tr>
      <w:tr>
        <w:tc>
          <w:tcPr>
            <w:tcW w:type="dxa" w:w="1800"/>
          </w:tcPr>
          <w:p>
            <w:r>
              <w:rPr>
                <w:b/>
                <w:bCs/>
              </w:rPr>
              <w:t xml:space="preserve">Whole flat</w:t>
            </w:r>
          </w:p>
        </w:tc>
        <w:tc>
          <w:tcPr>
            <w:tcW w:type="dxa" w:w="1800"/>
          </w:tcPr>
          <w:p>
            <w:r>
              <w:t xml:space="preserve">—</w:t>
            </w:r>
          </w:p>
        </w:tc>
        <w:tc>
          <w:tcPr>
            <w:tcW w:type="dxa" w:w="1800"/>
          </w:tcPr>
          <w:p>
            <w:r>
              <w:rPr>
                <w:b/>
                <w:bCs/>
              </w:rPr>
              <w:t xml:space="preserve">94.7</w:t>
            </w:r>
          </w:p>
        </w:tc>
        <w:tc>
          <w:tcPr>
            <w:tcW w:type="dxa" w:w="1800"/>
          </w:tcPr>
          <w:p>
            <w:r>
              <w:rPr>
                <w:b/>
                <w:bCs/>
              </w:rPr>
              <w:t xml:space="preserve">~1,020</w:t>
            </w:r>
          </w:p>
        </w:tc>
        <w:tc>
          <w:tcPr>
            <w:tcW w:type="dxa" w:w="1800"/>
          </w:tcPr>
          <w:p>
            <w:r>
              <w:t xml:space="preserve">—</w:t>
            </w:r>
          </w:p>
        </w:tc>
      </w:tr>
    </w:tbl>
    <w:p/>
    <w:p>
      <w:r>
        <w:t xml:space="preserve">Every bedroom and the living room get the </w:t>
      </w:r>
      <w:r>
        <w:rPr>
          <w:i/>
          <w:iCs/>
        </w:rPr>
        <w:t xml:space="preserve">same</w:t>
      </w:r>
      <w:r>
        <w:t xml:space="preserve"> flooring choice under either option — Newt is not proposing to mix carpet and hardwood within the carpet/hardwood zone. The kitchen, dining area, store, and all three bathrooms are tiled under </w:t>
      </w:r>
      <w:r>
        <w:rPr>
          <w:b/>
          <w:bCs/>
        </w:rPr>
        <w:t xml:space="preserve">both</w:t>
      </w:r>
      <w:r>
        <w:t xml:space="preserve"> options; that portion of the cost is identical no matter which way the Dilemma is decided.</w:t>
      </w:r>
    </w:p>
    <w:p>
      <w:pPr>
        <w:pStyle w:val="Heading3"/>
        <w:spacing w:after="100" w:before="200"/>
      </w:pPr>
      <w:r>
        <w:t xml:space="preserve">Appendix B — Flooring Material, Installation &amp; Wear-Life Costs</w:t>
      </w:r>
    </w:p>
    <w:p>
      <w:r>
        <w:t xml:space="preserve">All figures below are current 2026 U.S. national averages, in U.S. dollars per square foot, for materials sourced and installed the way Newt actually buys and works (materials from Burlington, VT; installation local labor).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
            </w:r>
          </w:p>
        </w:tc>
        <w:tc>
          <w:tcPr>
            <w:tcW w:type="dxa" w:w="2250"/>
            <w:shd w:fill="DDDDDD" w:val="clear"/>
          </w:tcPr>
          <w:p>
            <w:r>
              <w:t xml:space="preserve">Tile (ceramic)</w:t>
            </w:r>
          </w:p>
        </w:tc>
        <w:tc>
          <w:tcPr>
            <w:tcW w:type="dxa" w:w="2250"/>
            <w:shd w:fill="DDDDDD" w:val="clear"/>
          </w:tcPr>
          <w:p>
            <w:r>
              <w:t xml:space="preserve">Hardwood (solid)</w:t>
            </w:r>
          </w:p>
        </w:tc>
        <w:tc>
          <w:tcPr>
            <w:tcW w:type="dxa" w:w="2250"/>
            <w:shd w:fill="DDDDDD" w:val="clear"/>
          </w:tcPr>
          <w:p>
            <w:r>
              <w:t xml:space="preserve">Carpet (mid-grade nylon)</w:t>
            </w:r>
          </w:p>
        </w:tc>
      </w:tr>
      <w:tr>
        <w:tc>
          <w:tcPr>
            <w:tcW w:type="dxa" w:w="2250"/>
          </w:tcPr>
          <w:p>
            <w:r>
              <w:t xml:space="preserve">Material cost/sq ft (USD)</w:t>
            </w:r>
          </w:p>
        </w:tc>
        <w:tc>
          <w:tcPr>
            <w:tcW w:type="dxa" w:w="2250"/>
          </w:tcPr>
          <w:p>
            <w:r>
              <w:t xml:space="preserve">$4.50 [S6]</w:t>
            </w:r>
          </w:p>
        </w:tc>
        <w:tc>
          <w:tcPr>
            <w:tcW w:type="dxa" w:w="2250"/>
          </w:tcPr>
          <w:p>
            <w:r>
              <w:t xml:space="preserve">$8.00 [S5]</w:t>
            </w:r>
          </w:p>
        </w:tc>
        <w:tc>
          <w:tcPr>
            <w:tcW w:type="dxa" w:w="2250"/>
          </w:tcPr>
          <w:p>
            <w:r>
              <w:t xml:space="preserve">$3.25 [S4]</w:t>
            </w:r>
          </w:p>
        </w:tc>
      </w:tr>
      <w:tr>
        <w:tc>
          <w:tcPr>
            <w:tcW w:type="dxa" w:w="2250"/>
          </w:tcPr>
          <w:p>
            <w:r>
              <w:t xml:space="preserve">Installed cost/sq ft, materials + labor (USD)</w:t>
            </w:r>
          </w:p>
        </w:tc>
        <w:tc>
          <w:tcPr>
            <w:tcW w:type="dxa" w:w="2250"/>
          </w:tcPr>
          <w:p>
            <w:r>
              <w:t xml:space="preserve">$18.30 [S3]</w:t>
            </w:r>
          </w:p>
        </w:tc>
        <w:tc>
          <w:tcPr>
            <w:tcW w:type="dxa" w:w="2250"/>
          </w:tcPr>
          <w:p>
            <w:r>
              <w:t xml:space="preserve">$14.96 [S2]</w:t>
            </w:r>
          </w:p>
        </w:tc>
        <w:tc>
          <w:tcPr>
            <w:tcW w:type="dxa" w:w="2250"/>
          </w:tcPr>
          <w:p>
            <w:r>
              <w:t xml:space="preserve">$6.50 [S1]</w:t>
            </w:r>
          </w:p>
        </w:tc>
      </w:tr>
      <w:tr>
        <w:tc>
          <w:tcPr>
            <w:tcW w:type="dxa" w:w="2250"/>
          </w:tcPr>
          <w:p>
            <w:r>
              <w:t xml:space="preserve">Installation labor/sq ft (USD), derived</w:t>
            </w:r>
          </w:p>
        </w:tc>
        <w:tc>
          <w:tcPr>
            <w:tcW w:type="dxa" w:w="2250"/>
          </w:tcPr>
          <w:p>
            <w:r>
              <w:t xml:space="preserve">$13.80</w:t>
            </w:r>
          </w:p>
        </w:tc>
        <w:tc>
          <w:tcPr>
            <w:tcW w:type="dxa" w:w="2250"/>
          </w:tcPr>
          <w:p>
            <w:r>
              <w:t xml:space="preserve">$6.96</w:t>
            </w:r>
          </w:p>
        </w:tc>
        <w:tc>
          <w:tcPr>
            <w:tcW w:type="dxa" w:w="2250"/>
          </w:tcPr>
          <w:p>
            <w:r>
              <w:t xml:space="preserve">$3.25</w:t>
            </w:r>
          </w:p>
        </w:tc>
      </w:tr>
      <w:tr>
        <w:tc>
          <w:tcPr>
            <w:tcW w:type="dxa" w:w="2250"/>
          </w:tcPr>
          <w:p>
            <w:r>
              <w:t xml:space="preserve">Typical wear life before full replacement</w:t>
            </w:r>
          </w:p>
        </w:tc>
        <w:tc>
          <w:tcPr>
            <w:tcW w:type="dxa" w:w="2250"/>
          </w:tcPr>
          <w:p>
            <w:r>
              <w:t xml:space="preserve">75–100 years [S7]</w:t>
            </w:r>
          </w:p>
        </w:tc>
        <w:tc>
          <w:tcPr>
            <w:tcW w:type="dxa" w:w="2250"/>
          </w:tcPr>
          <w:p>
            <w:r>
              <w:t xml:space="preserve">100+ years, structurally — but see maintenance schedule in Appendix C [S7]</w:t>
            </w:r>
          </w:p>
        </w:tc>
        <w:tc>
          <w:tcPr>
            <w:tcW w:type="dxa" w:w="2250"/>
          </w:tcPr>
          <w:p>
            <w:r>
              <w:t xml:space="preserve">8–10 years [S7]</w:t>
            </w:r>
          </w:p>
        </w:tc>
      </w:tr>
    </w:tbl>
    <w:p/>
    <w:p>
      <w:r>
        <w:t xml:space="preserve">Installation labor per square foot is derived by subtracting the material cost row from the installed-cost row for each material — both rows come from the sources cited (SEE APPENDIX F for how derived figures are treated).</w:t>
      </w:r>
    </w:p>
    <w:p>
      <w:pPr>
        <w:pStyle w:val="Heading3"/>
        <w:spacing w:after="100" w:before="200"/>
      </w:pPr>
      <w:r>
        <w:t xml:space="preserve">Appendix C — Maintenance &amp; Refinishing Costs Over Time</w:t>
      </w:r>
    </w:p>
    <w:p>
      <w:r>
        <w:t xml:space="preserve">Flooring isn't a one-time purchase. Each material has its own ongoing cost to keep it rentable between guests, and — for shorter-lived materials — its own replacement 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
            </w:r>
          </w:p>
        </w:tc>
        <w:tc>
          <w:tcPr>
            <w:tcW w:type="dxa" w:w="2250"/>
            <w:shd w:fill="DDDDDD" w:val="clear"/>
          </w:tcPr>
          <w:p>
            <w:r>
              <w:t xml:space="preserve">Tile</w:t>
            </w:r>
          </w:p>
        </w:tc>
        <w:tc>
          <w:tcPr>
            <w:tcW w:type="dxa" w:w="2250"/>
            <w:shd w:fill="DDDDDD" w:val="clear"/>
          </w:tcPr>
          <w:p>
            <w:r>
              <w:t xml:space="preserve">Hardwood</w:t>
            </w:r>
          </w:p>
        </w:tc>
        <w:tc>
          <w:tcPr>
            <w:tcW w:type="dxa" w:w="2250"/>
            <w:shd w:fill="DDDDDD" w:val="clear"/>
          </w:tcPr>
          <w:p>
            <w:r>
              <w:t xml:space="preserve">Carpet</w:t>
            </w:r>
          </w:p>
        </w:tc>
      </w:tr>
      <w:tr>
        <w:tc>
          <w:tcPr>
            <w:tcW w:type="dxa" w:w="2250"/>
          </w:tcPr>
          <w:p>
            <w:r>
              <w:t xml:space="preserve">Routine maintenance</w:t>
            </w:r>
          </w:p>
        </w:tc>
        <w:tc>
          <w:tcPr>
            <w:tcW w:type="dxa" w:w="2250"/>
          </w:tcPr>
          <w:p>
            <w:r>
              <w:t xml:space="preserve">Grout deep-clean + reseal, every 3 years, $2.50/sq ft per service [S11]</w:t>
            </w:r>
          </w:p>
        </w:tc>
        <w:tc>
          <w:tcPr>
            <w:tcW w:type="dxa" w:w="2250"/>
          </w:tcPr>
          <w:p>
            <w:r>
              <w:t xml:space="preserve">Recoat (light refinish), every 5 years, $1.50/sq ft per service [S9]</w:t>
            </w:r>
          </w:p>
        </w:tc>
        <w:tc>
          <w:tcPr>
            <w:tcW w:type="dxa" w:w="2250"/>
          </w:tcPr>
          <w:p>
            <w:r>
              <w:t xml:space="preserve">Professional cleaning, every year, $0.50/sq ft per service [S10]</w:t>
            </w:r>
          </w:p>
        </w:tc>
      </w:tr>
      <w:tr>
        <w:tc>
          <w:tcPr>
            <w:tcW w:type="dxa" w:w="2250"/>
          </w:tcPr>
          <w:p>
            <w:r>
              <w:t xml:space="preserve">Major service</w:t>
            </w:r>
          </w:p>
        </w:tc>
        <w:tc>
          <w:tcPr>
            <w:tcW w:type="dxa" w:w="2250"/>
          </w:tcPr>
          <w:p>
            <w:r>
              <w:t xml:space="preserve">— (lasts the life of the flat)</w:t>
            </w:r>
          </w:p>
        </w:tc>
        <w:tc>
          <w:tcPr>
            <w:tcW w:type="dxa" w:w="2250"/>
          </w:tcPr>
          <w:p>
            <w:r>
              <w:t xml:space="preserve">Full sand-and-refinish, $5.00/sq ft, typically every 7–10 years [S8]</w:t>
            </w:r>
          </w:p>
        </w:tc>
        <w:tc>
          <w:tcPr>
            <w:tcW w:type="dxa" w:w="2250"/>
          </w:tcPr>
          <w:p>
            <w:r>
              <w:t xml:space="preserve">Full replacement at end of wear life — same material + installation + delivery cost as a new install</w:t>
            </w:r>
          </w:p>
        </w:tc>
      </w:tr>
      <w:tr>
        <w:tc>
          <w:tcPr>
            <w:tcW w:type="dxa" w:w="2250"/>
          </w:tcPr>
          <w:p>
            <w:r>
              <w:t xml:space="preserve">Applies to both options equally?</w:t>
            </w:r>
          </w:p>
        </w:tc>
        <w:tc>
          <w:tcPr>
            <w:tcW w:type="dxa" w:w="2250"/>
          </w:tcPr>
          <w:p>
            <w:r>
              <w:t xml:space="preserve">Yes — same tile, same kitchen/bathrooms either way</w:t>
            </w:r>
          </w:p>
        </w:tc>
        <w:tc>
          <w:tcPr>
            <w:tcW w:type="dxa" w:w="2250"/>
          </w:tcPr>
          <w:p>
            <w:r>
              <w:t xml:space="preserve">Only if Option B is chosen</w:t>
            </w:r>
          </w:p>
        </w:tc>
        <w:tc>
          <w:tcPr>
            <w:tcW w:type="dxa" w:w="2250"/>
          </w:tcPr>
          <w:p>
            <w:r>
              <w:t xml:space="preserve">Only if Option A is chosen</w:t>
            </w:r>
          </w:p>
        </w:tc>
      </w:tr>
    </w:tbl>
    <w:p/>
    <w:p>
      <w:pPr>
        <w:pStyle w:val="Heading3"/>
        <w:spacing w:after="100" w:before="200"/>
      </w:pPr>
      <w:r>
        <w:t xml:space="preserve">Appendix D — Currency Conversion &amp; Cross-Border Delivery</w:t>
      </w:r>
    </w:p>
    <w:p>
      <w:r>
        <w:t xml:space="preserve">The Berisels pay Newt in Canadian dollars. Every material price in Appendix B is in U.S. dollars, because Newt buys across the border in Burlington, Vermont.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Figure</w:t>
            </w:r>
          </w:p>
        </w:tc>
        <w:tc>
          <w:tcPr>
            <w:tcW w:type="dxa" w:w="4500"/>
            <w:shd w:fill="DDDDDD" w:val="clear"/>
          </w:tcPr>
          <w:p>
            <w:r>
              <w:t xml:space="preserve">Value</w:t>
            </w:r>
          </w:p>
        </w:tc>
      </w:tr>
      <w:tr>
        <w:tc>
          <w:tcPr>
            <w:tcW w:type="dxa" w:w="4500"/>
          </w:tcPr>
          <w:p>
            <w:r>
              <w:t xml:space="preserve">Exchange rate, 1 USD → CAD</w:t>
            </w:r>
          </w:p>
        </w:tc>
        <w:tc>
          <w:tcPr>
            <w:tcW w:type="dxa" w:w="4500"/>
          </w:tcPr>
          <w:p>
            <w:r>
              <w:t xml:space="preserve">1.3785 [S12]</w:t>
            </w:r>
          </w:p>
        </w:tc>
      </w:tr>
      <w:tr>
        <w:tc>
          <w:tcPr>
            <w:tcW w:type="dxa" w:w="4500"/>
          </w:tcPr>
          <w:p>
            <w:r>
              <w:t xml:space="preserve">Cross-border delivery fee</w:t>
            </w:r>
          </w:p>
        </w:tc>
        <w:tc>
          <w:tcPr>
            <w:tcW w:type="dxa" w:w="4500"/>
          </w:tcPr>
          <w:p>
            <w:r>
              <w:t xml:space="preserve">2.6% of total material cost (all flooring types, flat rate)</w:t>
            </w:r>
          </w:p>
        </w:tc>
      </w:tr>
      <w:tr>
        <w:tc>
          <w:tcPr>
            <w:tcW w:type="dxa" w:w="4500"/>
          </w:tcPr>
          <w:p>
            <w:r>
              <w:t xml:space="preserve">Berisels' soft flooring budget cap</w:t>
            </w:r>
          </w:p>
        </w:tc>
        <w:tc>
          <w:tcPr>
            <w:tcW w:type="dxa" w:w="4500"/>
          </w:tcPr>
          <w:p>
            <w:r>
              <w:t xml:space="preserve">CD$17,900</w:t>
            </w:r>
          </w:p>
        </w:tc>
      </w:tr>
    </w:tbl>
    <w:p/>
    <w:p>
      <w:pPr>
        <w:pStyle w:val="Heading3"/>
        <w:spacing w:after="100" w:before="200"/>
      </w:pPr>
      <w:r>
        <w:t xml:space="preserve">Appendix E — Additional Helpful Resources</w:t>
      </w:r>
    </w:p>
    <w:p>
      <w:pPr>
        <w:ind w:left="360"/>
      </w:pPr>
      <w:r>
        <w:t xml:space="preserve">- </w:t>
      </w:r>
      <w:hyperlink w:history="1" r:id="rIdkwj6natzjhxirfj7kc6ny">
        <w:r>
          <w:rPr>
            <w:rStyle w:val="Hyperlink"/>
          </w:rPr>
          <w:t xml:space="preserve">"Pros and Cons of Carpet, Hardwood, Laminate and Tile"</w:t>
        </w:r>
      </w:hyperlink>
      <w:r>
        <w:t xml:space="preserve"> — Angi</w:t>
      </w:r>
    </w:p>
    <w:p>
      <w:pPr>
        <w:ind w:left="360"/>
      </w:pPr>
      <w:r>
        <w:t xml:space="preserve">- </w:t>
      </w:r>
      <w:hyperlink w:history="1" r:id="rId4txq9duie7vehbeyu4exg">
        <w:r>
          <w:rPr>
            <w:rStyle w:val="Hyperlink"/>
          </w:rPr>
          <w:t xml:space="preserve">"Cost to Clean Every Type of Flooring"</w:t>
        </w:r>
      </w:hyperlink>
      <w:r>
        <w:t xml:space="preserve"> — Hammond Knoll</w:t>
      </w:r>
    </w:p>
    <w:p>
      <w:pPr>
        <w:pStyle w:val="Heading3"/>
        <w:spacing w:after="100" w:before="200"/>
      </w:pPr>
      <w:r>
        <w:t xml:space="preserve">Appendix F — Modeling Assumptions</w:t>
      </w:r>
    </w:p>
    <w:p>
      <w:pPr>
        <w:ind w:left="480"/>
      </w:pPr>
      <w:r>
        <w:t xml:space="preserve">These figures are </w:t>
      </w:r>
      <w:r>
        <w:rPr>
          <w:b/>
          <w:bCs/>
        </w:rPr>
        <w:t xml:space="preserve">not sourced</w:t>
      </w:r>
      <w:r>
        <w:t xml:space="preserve"> to a real property.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Room dimensions and square footage</w:t>
            </w:r>
          </w:p>
        </w:tc>
        <w:tc>
          <w:tcPr>
            <w:tcW w:type="dxa" w:w="1800"/>
          </w:tcPr>
          <w:p>
            <w:r>
              <w:t xml:space="preserve">See Appendix A table</w:t>
            </w:r>
          </w:p>
        </w:tc>
        <w:tc>
          <w:tcPr>
            <w:tcW w:type="dxa" w:w="1800"/>
          </w:tcPr>
          <w:p>
            <w:r>
              <w:t xml:space="preserve">The Berisels' flat is fictional. Its floor plan is adapted from a real, published 3-bedroom floor plan of comparable size, with dimensions converted meters → square feet and rounded for tractability.</w:t>
            </w:r>
          </w:p>
        </w:tc>
        <w:tc>
          <w:tcPr>
            <w:tcW w:type="dxa" w:w="1800"/>
          </w:tcPr>
          <w:p>
            <w:r>
              <w:t xml:space="preserve">The carpet/hardwood zone's square footage scales the cost gap between Options A and B directly — the case is sensitive to this figure. Tested at ±50% in the sensitivity model.</w:t>
            </w:r>
          </w:p>
        </w:tc>
      </w:tr>
      <w:tr>
        <w:tc>
          <w:tcPr>
            <w:tcW w:type="dxa" w:w="1800"/>
          </w:tcPr>
          <w:p>
            <w:r>
              <w:t xml:space="preserve">MA2</w:t>
            </w:r>
          </w:p>
        </w:tc>
        <w:tc>
          <w:tcPr>
            <w:tcW w:type="dxa" w:w="1800"/>
          </w:tcPr>
          <w:p>
            <w:r>
              <w:t xml:space="preserve">Which end of the carpet wear-life range (Appendix B, 8–10 years) triggers a full replacement within the 15-year horizon</w:t>
            </w:r>
          </w:p>
        </w:tc>
        <w:tc>
          <w:tcPr>
            <w:tcW w:type="dxa" w:w="1800"/>
          </w:tcPr>
          <w:p>
            <w:r>
              <w:t xml:space="preserve">10 years</w:t>
            </w:r>
          </w:p>
        </w:tc>
        <w:tc>
          <w:tcPr>
            <w:tcW w:type="dxa" w:w="1800"/>
          </w:tcPr>
          <w:p>
            <w:r>
              <w:t xml:space="preserve">Uses the upper (more generous) end of the sourced range, assuming reasonably good maintenance.</w:t>
            </w:r>
          </w:p>
        </w:tc>
        <w:tc>
          <w:tcPr>
            <w:tcW w:type="dxa" w:w="1800"/>
          </w:tcPr>
          <w:p>
            <w:r>
              <w:t xml:space="preserve">Using the lower end of the range instead changes how many full replacements occur inside a 15-year horizon — the case is sensitive to this choice, tested in the sensitivity model.</w:t>
            </w:r>
          </w:p>
        </w:tc>
      </w:tr>
      <w:tr>
        <w:tc>
          <w:tcPr>
            <w:tcW w:type="dxa" w:w="1800"/>
          </w:tcPr>
          <w:p>
            <w:r>
              <w:t xml:space="preserve">MA3</w:t>
            </w:r>
          </w:p>
        </w:tc>
        <w:tc>
          <w:tcPr>
            <w:tcW w:type="dxa" w:w="1800"/>
          </w:tcPr>
          <w:p>
            <w:r>
              <w:t xml:space="preserve">Hardwood's recoat/refinish schedule inside the 15-year horizon</w:t>
            </w:r>
          </w:p>
        </w:tc>
        <w:tc>
          <w:tcPr>
            <w:tcW w:type="dxa" w:w="1800"/>
          </w:tcPr>
          <w:p>
            <w:r>
              <w:t xml:space="preserve">Recoat at year 5, full refinish at year 10</w:t>
            </w:r>
          </w:p>
        </w:tc>
        <w:tc>
          <w:tcPr>
            <w:tcW w:type="dxa" w:w="1800"/>
          </w:tcPr>
          <w:p>
            <w:r>
              <w:t xml:space="preserve">Falls inside the ranges cited in Appendix C (recoat every ~5 years; full refinish every 7–10 years); the case fixes a specific schedule inside those ranges so both options are comparable on the same clock.</w:t>
            </w:r>
          </w:p>
        </w:tc>
        <w:tc>
          <w:tcPr>
            <w:tcW w:type="dxa" w:w="1800"/>
          </w:tcPr>
          <w:p>
            <w:r>
              <w:t xml:space="preserve">A different schedule inside the cited ranges shifts </w:t>
            </w:r>
            <w:r>
              <w:rPr>
                <w:i/>
                <w:iCs/>
              </w:rPr>
              <w:t xml:space="preserve">when</w:t>
            </w:r>
            <w:r>
              <w:t xml:space="preserve"> hardwood's costs land, though not by how much, over the full 15-year horizon.</w:t>
            </w:r>
          </w:p>
        </w:tc>
      </w:tr>
      <w:tr>
        <w:tc>
          <w:tcPr>
            <w:tcW w:type="dxa" w:w="1800"/>
          </w:tcPr>
          <w:p>
            <w:r>
              <w:t xml:space="preserve">MA4</w:t>
            </w:r>
          </w:p>
        </w:tc>
        <w:tc>
          <w:tcPr>
            <w:tcW w:type="dxa" w:w="1800"/>
          </w:tcPr>
          <w:p>
            <w:r>
              <w:t xml:space="preserve">Whether short-term-rental foot traffic changes any material's wear-life or maintenance schedule from the general residential figures in Appendices B and C</w:t>
            </w:r>
          </w:p>
        </w:tc>
        <w:tc>
          <w:tcPr>
            <w:tcW w:type="dxa" w:w="1800"/>
          </w:tcPr>
          <w:p>
            <w:r>
              <w:t xml:space="preserve">Not applied in the base pitch — Appendix B's figures are general residential averages</w:t>
            </w:r>
          </w:p>
        </w:tc>
        <w:tc>
          <w:tcPr>
            <w:tcW w:type="dxa" w:w="1800"/>
          </w:tcPr>
          <w:p>
            <w:r>
              <w:t xml:space="preserve">Appendix B and C's cited wear-life and maintenance figures describe typical residential use, not nightly-turnover short-term-rental use. Whether that distinction matters is left for the pitch and discussion to raise.</w:t>
            </w:r>
          </w:p>
        </w:tc>
        <w:tc>
          <w:tcPr>
            <w:tcW w:type="dxa" w:w="1800"/>
          </w:tcPr>
          <w:p>
            <w:r>
              <w:t xml:space="preserve">This is the case's most load-bearing assumption — see discussion.</w:t>
            </w:r>
          </w:p>
        </w:tc>
      </w:tr>
    </w:tbl>
    <w:p/>
    <w:p>
      <w:pPr>
        <w:pStyle w:val="Heading2"/>
        <w:spacing w:after="120" w:before="240"/>
      </w:pPr>
      <w:r>
        <w:t xml:space="preserv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Carpet installation, national average, materials + labor</w:t>
            </w:r>
          </w:p>
        </w:tc>
        <w:tc>
          <w:tcPr>
            <w:tcW w:type="dxa" w:w="1500"/>
          </w:tcPr>
          <w:p>
            <w:r>
              <w:t xml:space="preserve">$5.27–$7.72/sq ft (use $6.50 midpoint)</w:t>
            </w:r>
          </w:p>
        </w:tc>
        <w:tc>
          <w:tcPr>
            <w:tcW w:type="dxa" w:w="1500"/>
          </w:tcPr>
          <w:p>
            <w:r>
              <w:t xml:space="preserve">Homewyse — Cost to Install Carpet</w:t>
            </w:r>
          </w:p>
        </w:tc>
        <w:tc>
          <w:tcPr>
            <w:tcW w:type="dxa" w:w="1500"/>
          </w:tcPr>
          <w:p>
            <w:r>
              <w:t xml:space="preserve">2026-05</w:t>
            </w:r>
          </w:p>
        </w:tc>
        <w:tc>
          <w:tcPr>
            <w:tcW w:type="dxa" w:w="1500"/>
          </w:tcPr>
          <w:p>
            <w:r>
              <w:t xml:space="preserve">MEDIUM</w:t>
            </w:r>
          </w:p>
        </w:tc>
      </w:tr>
      <w:tr>
        <w:tc>
          <w:tcPr>
            <w:tcW w:type="dxa" w:w="1500"/>
          </w:tcPr>
          <w:p>
            <w:r>
              <w:t xml:space="preserve">S2</w:t>
            </w:r>
          </w:p>
        </w:tc>
        <w:tc>
          <w:tcPr>
            <w:tcW w:type="dxa" w:w="1500"/>
          </w:tcPr>
          <w:p>
            <w:r>
              <w:t xml:space="preserve">Solid hardwood floor installation, national average, materials + labor</w:t>
            </w:r>
          </w:p>
        </w:tc>
        <w:tc>
          <w:tcPr>
            <w:tcW w:type="dxa" w:w="1500"/>
          </w:tcPr>
          <w:p>
            <w:r>
              <w:t xml:space="preserve">$13.19–$16.72/sq ft (use $14.96 midpoint)</w:t>
            </w:r>
          </w:p>
        </w:tc>
        <w:tc>
          <w:tcPr>
            <w:tcW w:type="dxa" w:w="1500"/>
          </w:tcPr>
          <w:p>
            <w:r>
              <w:t xml:space="preserve">Homewyse — Cost to Install Hardwood Floor</w:t>
            </w:r>
          </w:p>
        </w:tc>
        <w:tc>
          <w:tcPr>
            <w:tcW w:type="dxa" w:w="1500"/>
          </w:tcPr>
          <w:p>
            <w:r>
              <w:t xml:space="preserve">2026-05</w:t>
            </w:r>
          </w:p>
        </w:tc>
        <w:tc>
          <w:tcPr>
            <w:tcW w:type="dxa" w:w="1500"/>
          </w:tcPr>
          <w:p>
            <w:r>
              <w:t xml:space="preserve">MEDIUM</w:t>
            </w:r>
          </w:p>
        </w:tc>
      </w:tr>
      <w:tr>
        <w:tc>
          <w:tcPr>
            <w:tcW w:type="dxa" w:w="1500"/>
          </w:tcPr>
          <w:p>
            <w:r>
              <w:t xml:space="preserve">S3</w:t>
            </w:r>
          </w:p>
        </w:tc>
        <w:tc>
          <w:tcPr>
            <w:tcW w:type="dxa" w:w="1500"/>
          </w:tcPr>
          <w:p>
            <w:r>
              <w:t xml:space="preserve">Ceramic floor tile installation, national average, materials + labor</w:t>
            </w:r>
          </w:p>
        </w:tc>
        <w:tc>
          <w:tcPr>
            <w:tcW w:type="dxa" w:w="1500"/>
          </w:tcPr>
          <w:p>
            <w:r>
              <w:t xml:space="preserve">$16.38–$20.21/sq ft (use $18.30 midpoint)</w:t>
            </w:r>
          </w:p>
        </w:tc>
        <w:tc>
          <w:tcPr>
            <w:tcW w:type="dxa" w:w="1500"/>
          </w:tcPr>
          <w:p>
            <w:r>
              <w:t xml:space="preserve">Homewyse — Cost to Install Ceramic Floor Tile</w:t>
            </w:r>
          </w:p>
        </w:tc>
        <w:tc>
          <w:tcPr>
            <w:tcW w:type="dxa" w:w="1500"/>
          </w:tcPr>
          <w:p>
            <w:r>
              <w:t xml:space="preserve">2026-05</w:t>
            </w:r>
          </w:p>
        </w:tc>
        <w:tc>
          <w:tcPr>
            <w:tcW w:type="dxa" w:w="1500"/>
          </w:tcPr>
          <w:p>
            <w:r>
              <w:t xml:space="preserve">MEDIUM</w:t>
            </w:r>
          </w:p>
        </w:tc>
      </w:tr>
      <w:tr>
        <w:tc>
          <w:tcPr>
            <w:tcW w:type="dxa" w:w="1500"/>
          </w:tcPr>
          <w:p>
            <w:r>
              <w:t xml:space="preserve">S4</w:t>
            </w:r>
          </w:p>
        </w:tc>
        <w:tc>
          <w:tcPr>
            <w:tcW w:type="dxa" w:w="1500"/>
          </w:tcPr>
          <w:p>
            <w:r>
              <w:t xml:space="preserve">Mid-grade nylon carpet, material only</w:t>
            </w:r>
          </w:p>
        </w:tc>
        <w:tc>
          <w:tcPr>
            <w:tcW w:type="dxa" w:w="1500"/>
          </w:tcPr>
          <w:p>
            <w:r>
              <w:t xml:space="preserve">$2.50–$4.00/sq ft (use $3.25 midpoint)</w:t>
            </w:r>
          </w:p>
        </w:tc>
        <w:tc>
          <w:tcPr>
            <w:tcW w:type="dxa" w:w="1500"/>
          </w:tcPr>
          <w:p>
            <w:r>
              <w:t xml:space="preserve">HomeGuide — Carpet Prices Per Square Foot</w:t>
            </w:r>
          </w:p>
        </w:tc>
        <w:tc>
          <w:tcPr>
            <w:tcW w:type="dxa" w:w="1500"/>
          </w:tcPr>
          <w:p>
            <w:r>
              <w:t xml:space="preserve">2026</w:t>
            </w:r>
          </w:p>
        </w:tc>
        <w:tc>
          <w:tcPr>
            <w:tcW w:type="dxa" w:w="1500"/>
          </w:tcPr>
          <w:p>
            <w:r>
              <w:t xml:space="preserve">MEDIUM</w:t>
            </w:r>
          </w:p>
        </w:tc>
      </w:tr>
      <w:tr>
        <w:tc>
          <w:tcPr>
            <w:tcW w:type="dxa" w:w="1500"/>
          </w:tcPr>
          <w:p>
            <w:r>
              <w:t xml:space="preserve">S5</w:t>
            </w:r>
          </w:p>
        </w:tc>
        <w:tc>
          <w:tcPr>
            <w:tcW w:type="dxa" w:w="1500"/>
          </w:tcPr>
          <w:p>
            <w:r>
              <w:t xml:space="preserve">Solid hardwood flooring, material only</w:t>
            </w:r>
          </w:p>
        </w:tc>
        <w:tc>
          <w:tcPr>
            <w:tcW w:type="dxa" w:w="1500"/>
          </w:tcPr>
          <w:p>
            <w:r>
              <w:t xml:space="preserve">$4–$12/sq ft clustering (use $8.00 midpoint)</w:t>
            </w:r>
          </w:p>
        </w:tc>
        <w:tc>
          <w:tcPr>
            <w:tcW w:type="dxa" w:w="1500"/>
          </w:tcPr>
          <w:p>
            <w:r>
              <w:t xml:space="preserve">HomeGuide — Hardwood Flooring Cost</w:t>
            </w:r>
          </w:p>
        </w:tc>
        <w:tc>
          <w:tcPr>
            <w:tcW w:type="dxa" w:w="1500"/>
          </w:tcPr>
          <w:p>
            <w:r>
              <w:t xml:space="preserve">2026</w:t>
            </w:r>
          </w:p>
        </w:tc>
        <w:tc>
          <w:tcPr>
            <w:tcW w:type="dxa" w:w="1500"/>
          </w:tcPr>
          <w:p>
            <w:r>
              <w:t xml:space="preserve">MEDIUM</w:t>
            </w:r>
          </w:p>
        </w:tc>
      </w:tr>
      <w:tr>
        <w:tc>
          <w:tcPr>
            <w:tcW w:type="dxa" w:w="1500"/>
          </w:tcPr>
          <w:p>
            <w:r>
              <w:t xml:space="preserve">S6</w:t>
            </w:r>
          </w:p>
        </w:tc>
        <w:tc>
          <w:tcPr>
            <w:tcW w:type="dxa" w:w="1500"/>
          </w:tcPr>
          <w:p>
            <w:r>
              <w:t xml:space="preserve">Ceramic tile, material only</w:t>
            </w:r>
          </w:p>
        </w:tc>
        <w:tc>
          <w:tcPr>
            <w:tcW w:type="dxa" w:w="1500"/>
          </w:tcPr>
          <w:p>
            <w:r>
              <w:t xml:space="preserve">$1–$8/sq ft (use $4.50 midpoint)</w:t>
            </w:r>
          </w:p>
        </w:tc>
        <w:tc>
          <w:tcPr>
            <w:tcW w:type="dxa" w:w="1500"/>
          </w:tcPr>
          <w:p>
            <w:r>
              <w:t xml:space="preserve">Ximator — Ceramic Tile Cost Per Square Foot 2026</w:t>
            </w:r>
          </w:p>
        </w:tc>
        <w:tc>
          <w:tcPr>
            <w:tcW w:type="dxa" w:w="1500"/>
          </w:tcPr>
          <w:p>
            <w:r>
              <w:t xml:space="preserve">2026-06</w:t>
            </w:r>
          </w:p>
        </w:tc>
        <w:tc>
          <w:tcPr>
            <w:tcW w:type="dxa" w:w="1500"/>
          </w:tcPr>
          <w:p>
            <w:r>
              <w:t xml:space="preserve">MEDIUM</w:t>
            </w:r>
          </w:p>
        </w:tc>
      </w:tr>
      <w:tr>
        <w:tc>
          <w:tcPr>
            <w:tcW w:type="dxa" w:w="1500"/>
          </w:tcPr>
          <w:p>
            <w:r>
              <w:t xml:space="preserve">S7</w:t>
            </w:r>
          </w:p>
        </w:tc>
        <w:tc>
          <w:tcPr>
            <w:tcW w:type="dxa" w:w="1500"/>
          </w:tcPr>
          <w:p>
            <w:r>
              <w:t xml:space="preserve">Life expectancy of home flooring components: carpet 8–10 yrs; tile 75–100 yrs; all wood floors "Lifetime" (100+ yrs structurally)</w:t>
            </w:r>
          </w:p>
        </w:tc>
        <w:tc>
          <w:tcPr>
            <w:tcW w:type="dxa" w:w="1500"/>
          </w:tcPr>
          <w:p>
            <w:r>
              <w:t xml:space="preserve">see table</w:t>
            </w:r>
          </w:p>
        </w:tc>
        <w:tc>
          <w:tcPr>
            <w:tcW w:type="dxa" w:w="1500"/>
          </w:tcPr>
          <w:p>
            <w:r>
              <w:t xml:space="preserve">National Association of Home Builders / Bank of America Home Equity, "Study of Life Expectancy of Home Components"</w:t>
            </w:r>
          </w:p>
        </w:tc>
        <w:tc>
          <w:tcPr>
            <w:tcW w:type="dxa" w:w="1500"/>
          </w:tcPr>
          <w:p>
            <w:r>
              <w:t xml:space="preserve">2007-02 (still the standard-cited industry reference as of 2026)</w:t>
            </w:r>
          </w:p>
        </w:tc>
        <w:tc>
          <w:tcPr>
            <w:tcW w:type="dxa" w:w="1500"/>
          </w:tcPr>
          <w:p>
            <w:r>
              <w:t xml:space="preserve">MEDIUM</w:t>
            </w:r>
          </w:p>
        </w:tc>
      </w:tr>
      <w:tr>
        <w:tc>
          <w:tcPr>
            <w:tcW w:type="dxa" w:w="1500"/>
          </w:tcPr>
          <w:p>
            <w:r>
              <w:t xml:space="preserve">S8</w:t>
            </w:r>
          </w:p>
        </w:tc>
        <w:tc>
          <w:tcPr>
            <w:tcW w:type="dxa" w:w="1500"/>
          </w:tcPr>
          <w:p>
            <w:r>
              <w:t xml:space="preserve">Full hardwood sand-and-refinish, professional</w:t>
            </w:r>
          </w:p>
        </w:tc>
        <w:tc>
          <w:tcPr>
            <w:tcW w:type="dxa" w:w="1500"/>
          </w:tcPr>
          <w:p>
            <w:r>
              <w:t xml:space="preserve">$3.50–$6.50/sq ft (use $5.00 midpoint)</w:t>
            </w:r>
          </w:p>
        </w:tc>
        <w:tc>
          <w:tcPr>
            <w:tcW w:type="dxa" w:w="1500"/>
          </w:tcPr>
          <w:p>
            <w:r>
              <w:t xml:space="preserve">HomeGuide — Cost to Refinish Hardwood Floors</w:t>
            </w:r>
          </w:p>
        </w:tc>
        <w:tc>
          <w:tcPr>
            <w:tcW w:type="dxa" w:w="1500"/>
          </w:tcPr>
          <w:p>
            <w:r>
              <w:t xml:space="preserve">2026</w:t>
            </w:r>
          </w:p>
        </w:tc>
        <w:tc>
          <w:tcPr>
            <w:tcW w:type="dxa" w:w="1500"/>
          </w:tcPr>
          <w:p>
            <w:r>
              <w:t xml:space="preserve">MEDIUM</w:t>
            </w:r>
          </w:p>
        </w:tc>
      </w:tr>
      <w:tr>
        <w:tc>
          <w:tcPr>
            <w:tcW w:type="dxa" w:w="1500"/>
          </w:tcPr>
          <w:p>
            <w:r>
              <w:t xml:space="preserve">S9</w:t>
            </w:r>
          </w:p>
        </w:tc>
        <w:tc>
          <w:tcPr>
            <w:tcW w:type="dxa" w:w="1500"/>
          </w:tcPr>
          <w:p>
            <w:r>
              <w:t xml:space="preserve">Hardwood recoat (light refinish, no full sand)</w:t>
            </w:r>
          </w:p>
        </w:tc>
        <w:tc>
          <w:tcPr>
            <w:tcW w:type="dxa" w:w="1500"/>
          </w:tcPr>
          <w:p>
            <w:r>
              <w:t xml:space="preserve">$1–$2/sq ft (use $1.50 midpoint)</w:t>
            </w:r>
          </w:p>
        </w:tc>
        <w:tc>
          <w:tcPr>
            <w:tcW w:type="dxa" w:w="1500"/>
          </w:tcPr>
          <w:p>
            <w:r>
              <w:t xml:space="preserve">HomeGuide / industry breakdown — Cost to Refinish Hardwood Floors</w:t>
            </w:r>
          </w:p>
        </w:tc>
        <w:tc>
          <w:tcPr>
            <w:tcW w:type="dxa" w:w="1500"/>
          </w:tcPr>
          <w:p>
            <w:r>
              <w:t xml:space="preserve">2026</w:t>
            </w:r>
          </w:p>
        </w:tc>
        <w:tc>
          <w:tcPr>
            <w:tcW w:type="dxa" w:w="1500"/>
          </w:tcPr>
          <w:p>
            <w:r>
              <w:t xml:space="preserve">MEDIUM</w:t>
            </w:r>
          </w:p>
        </w:tc>
      </w:tr>
      <w:tr>
        <w:tc>
          <w:tcPr>
            <w:tcW w:type="dxa" w:w="1500"/>
          </w:tcPr>
          <w:p>
            <w:r>
              <w:t xml:space="preserve">S10</w:t>
            </w:r>
          </w:p>
        </w:tc>
        <w:tc>
          <w:tcPr>
            <w:tcW w:type="dxa" w:w="1500"/>
          </w:tcPr>
          <w:p>
            <w:r>
              <w:t xml:space="preserve">Professional carpet cleaning</w:t>
            </w:r>
          </w:p>
        </w:tc>
        <w:tc>
          <w:tcPr>
            <w:tcW w:type="dxa" w:w="1500"/>
          </w:tcPr>
          <w:p>
            <w:r>
              <w:t xml:space="preserve">$0.25–$0.75/sq ft (use $0.50 midpoint)</w:t>
            </w:r>
          </w:p>
        </w:tc>
        <w:tc>
          <w:tcPr>
            <w:tcW w:type="dxa" w:w="1500"/>
          </w:tcPr>
          <w:p>
            <w:r>
              <w:t xml:space="preserve">HomeGuide — Carpet Cleaning Prices</w:t>
            </w:r>
          </w:p>
        </w:tc>
        <w:tc>
          <w:tcPr>
            <w:tcW w:type="dxa" w:w="1500"/>
          </w:tcPr>
          <w:p>
            <w:r>
              <w:t xml:space="preserve">2026</w:t>
            </w:r>
          </w:p>
        </w:tc>
        <w:tc>
          <w:tcPr>
            <w:tcW w:type="dxa" w:w="1500"/>
          </w:tcPr>
          <w:p>
            <w:r>
              <w:t xml:space="preserve">MEDIUM</w:t>
            </w:r>
          </w:p>
        </w:tc>
      </w:tr>
      <w:tr>
        <w:tc>
          <w:tcPr>
            <w:tcW w:type="dxa" w:w="1500"/>
          </w:tcPr>
          <w:p>
            <w:r>
              <w:t xml:space="preserve">S11</w:t>
            </w:r>
          </w:p>
        </w:tc>
        <w:tc>
          <w:tcPr>
            <w:tcW w:type="dxa" w:w="1500"/>
          </w:tcPr>
          <w:p>
            <w:r>
              <w:t xml:space="preserve">Tile &amp; grout cleaning + sealing, combined</w:t>
            </w:r>
          </w:p>
        </w:tc>
        <w:tc>
          <w:tcPr>
            <w:tcW w:type="dxa" w:w="1500"/>
          </w:tcPr>
          <w:p>
            <w:r>
              <w:t xml:space="preserve">~$2.50/sq ft (use as single combined figure)</w:t>
            </w:r>
          </w:p>
        </w:tc>
        <w:tc>
          <w:tcPr>
            <w:tcW w:type="dxa" w:w="1500"/>
          </w:tcPr>
          <w:p>
            <w:r>
              <w:t xml:space="preserve">HomeGuide — Tile and Grout Cleaning Costs</w:t>
            </w:r>
          </w:p>
        </w:tc>
        <w:tc>
          <w:tcPr>
            <w:tcW w:type="dxa" w:w="1500"/>
          </w:tcPr>
          <w:p>
            <w:r>
              <w:t xml:space="preserve">2026</w:t>
            </w:r>
          </w:p>
        </w:tc>
        <w:tc>
          <w:tcPr>
            <w:tcW w:type="dxa" w:w="1500"/>
          </w:tcPr>
          <w:p>
            <w:r>
              <w:t xml:space="preserve">MEDIUM</w:t>
            </w:r>
          </w:p>
        </w:tc>
      </w:tr>
      <w:tr>
        <w:tc>
          <w:tcPr>
            <w:tcW w:type="dxa" w:w="1500"/>
          </w:tcPr>
          <w:p>
            <w:r>
              <w:t xml:space="preserve">S12</w:t>
            </w:r>
          </w:p>
        </w:tc>
        <w:tc>
          <w:tcPr>
            <w:tcW w:type="dxa" w:w="1500"/>
          </w:tcPr>
          <w:p>
            <w:r>
              <w:t xml:space="preserve">USD/CAD daily exchange rate</w:t>
            </w:r>
          </w:p>
        </w:tc>
        <w:tc>
          <w:tcPr>
            <w:tcW w:type="dxa" w:w="1500"/>
          </w:tcPr>
          <w:p>
            <w:r>
              <w:t xml:space="preserve">1 USD = 1.3785 CAD</w:t>
            </w:r>
          </w:p>
        </w:tc>
        <w:tc>
          <w:tcPr>
            <w:tcW w:type="dxa" w:w="1500"/>
          </w:tcPr>
          <w:p>
            <w:r>
              <w:t xml:space="preserve">Bank of Canada, Daily Exchange Rates (FXUSDCAD)</w:t>
            </w:r>
          </w:p>
        </w:tc>
        <w:tc>
          <w:tcPr>
            <w:tcW w:type="dxa" w:w="1500"/>
          </w:tcPr>
          <w:p>
            <w:r>
              <w:t xml:space="preserve">2026-08-20</w:t>
            </w:r>
          </w:p>
        </w:tc>
        <w:tc>
          <w:tcPr>
            <w:tcW w:type="dxa" w:w="1500"/>
          </w:tcPr>
          <w:p>
            <w:r>
              <w:t xml:space="preserve">HIGH</w:t>
            </w:r>
          </w:p>
        </w:tc>
      </w:tr>
    </w:tbl>
    <w:p/>
    <w:p>
      <w:pPr>
        <w:pStyle w:val="Heading3"/>
        <w:spacing w:after="100" w:before="200"/>
      </w:pPr>
      <w:r>
        <w:t xml:space="preserve">Appendix G — "How To…" Math Questions To Research</w:t>
      </w:r>
    </w:p>
    <w:p>
      <w:r>
        <w:rPr>
          <w:b/>
          <w:bCs/>
        </w:rPr>
        <w:t xml:space="preserve">Vocabulary terms</w:t>
      </w:r>
    </w:p>
    <w:p>
      <w:pPr>
        <w:ind w:left="360"/>
      </w:pPr>
      <w:r>
        <w:t xml:space="preserve">- Area</w:t>
      </w:r>
    </w:p>
    <w:p>
      <w:pPr>
        <w:ind w:left="360"/>
      </w:pPr>
      <w:r>
        <w:t xml:space="preserve">- Currency</w:t>
      </w:r>
    </w:p>
    <w:p>
      <w:pPr>
        <w:ind w:left="360"/>
      </w:pPr>
      <w:r>
        <w:t xml:space="preserve">- Ratio</w:t>
      </w:r>
    </w:p>
    <w:p>
      <w:pPr>
        <w:ind w:left="360"/>
      </w:pPr>
      <w:r>
        <w:t xml:space="preserve">- Bar Graph</w:t>
      </w:r>
    </w:p>
    <w:p>
      <w:r>
        <w:rPr>
          <w:b/>
          <w:bCs/>
        </w:rPr>
        <w:t xml:space="preserve">"How to…" questions</w:t>
      </w:r>
    </w:p>
    <w:p>
      <w:pPr>
        <w:ind w:left="360"/>
      </w:pPr>
      <w:r>
        <w:t xml:space="preserve">- How to find the area of a rectangle</w:t>
      </w:r>
    </w:p>
    <w:p>
      <w:pPr>
        <w:ind w:left="360"/>
      </w:pPr>
      <w:r>
        <w:t xml:space="preserve">- How to convert an amount from one unit to another unit</w:t>
      </w:r>
    </w:p>
    <w:p>
      <w:pPr>
        <w:ind w:left="360"/>
      </w:pPr>
      <w:r>
        <w:t xml:space="preserve">- How to find the percent of a number</w:t>
      </w:r>
    </w:p>
    <w:p>
      <w:pPr>
        <w:ind w:left="360"/>
      </w:pPr>
      <w:r>
        <w:t xml:space="preserve">- How to compare two or more values</w:t>
      </w:r>
    </w:p>
    <w:p>
      <w:pPr>
        <w:ind w:left="360"/>
      </w:pPr>
      <w:r>
        <w:t xml:space="preserve">- How to graph a coordinate pair on the coordinate plane</w:t>
      </w:r>
    </w:p>
    <w:p>
      <w:pPr>
        <w:ind w:left="360"/>
      </w:pPr>
      <w:r>
        <w:t xml:space="preserve">- How to convert numbers to percents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wj6natzjhxirfj7kc6ny" Type="http://schemas.openxmlformats.org/officeDocument/2006/relationships/hyperlink" Target="https://www.angi.com/articles/pros-and-cons-carpet-hardwood-laminate-and-tile.htm" TargetMode="External"/><Relationship Id="rId4txq9duie7vehbeyu4exg" Type="http://schemas.openxmlformats.org/officeDocument/2006/relationships/hyperlink" Target="https://blog.hammondknoll.com/cost-clean-every-floor-hom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2026-08-20T21:34:21.098Z</dcterms:created>
  <dcterms:modified xsi:type="dcterms:W3CDTF">2026-08-20T21:34:21.103Z</dcterms:modified>
</cp:coreProperties>
</file>

<file path=docProps/custom.xml><?xml version="1.0" encoding="utf-8"?>
<Properties xmlns="http://schemas.openxmlformats.org/officeDocument/2006/custom-properties" xmlns:vt="http://schemas.openxmlformats.org/officeDocument/2006/docPropsVTypes"/>
</file>