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Carpenter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Bdr>
          <w:top w:val="single" w:color="990000" w:sz="12"/>
          <w:left w:val="single" w:color="990000" w:sz="12"/>
          <w:right w:val="single" w:color="990000" w:sz="12"/>
        </w:pBdr>
        <w:shd w:fill="FFF3F3" w:val="clear"/>
        <w:spacing w:after="40" w:before="120"/>
      </w:pPr>
      <w:r>
        <w:rPr>
          <w:b/>
          <w:bCs/>
        </w:rPr>
        <w:t xml:space="preserve">SENSITIVITY DISCLOSURE (Tier 2 Probe 5 -- PASS_DISCLOSED)</w:t>
      </w:r>
    </w:p>
    <w:p>
      <w:pPr>
        <w:pBdr>
          <w:left w:val="single" w:color="990000" w:sz="12"/>
          <w:right w:val="single" w:color="990000" w:sz="12"/>
        </w:pBdr>
        <w:shd w:fill="FFF3F3" w:val="clear"/>
        <w:spacing w:after="40" w:before="0"/>
      </w:pPr>
      <w:r>
        <w:t xml:space="preserve">Base reading (residential wear-life figures at face value): Option A wins 15-year TCO by 2.8% -- a razor-thin margin. Applying short-term-rental heavy-traffic wear (the Twist) to carpet's replacement cadence flips the winner to Option B by 15.3%. See sensitivity_model.py.</w:t>
      </w:r>
    </w:p>
    <w:p>
      <w:pPr>
        <w:pBdr>
          <w:left w:val="single" w:color="990000" w:sz="12"/>
          <w:right w:val="single" w:color="990000" w:sz="12"/>
        </w:pBdr>
        <w:shd w:fill="FFF3F3" w:val="clear"/>
        <w:spacing w:after="40" w:before="0"/>
      </w:pPr>
      <w:r>
        <w:t xml:space="preserve">- sqft_chz: Scales both options' cost gap roughly proportionally; does not flip the base-reading winner at the tested range.</w:t>
      </w:r>
    </w:p>
    <w:p>
      <w:pPr>
        <w:pBdr>
          <w:bottom w:val="single" w:color="990000" w:sz="12"/>
          <w:left w:val="single" w:color="990000" w:sz="12"/>
          <w:right w:val="single" w:color="990000" w:sz="12"/>
        </w:pBdr>
        <w:shd w:fill="FFF3F3" w:val="clear"/>
        <w:spacing w:after="200" w:before="0"/>
      </w:pPr>
      <w:r>
        <w:t xml:space="preserve">- carpet_replace_trigger_years (Category F): How long carpet actually survives in this specific fictional short-term rental before a full replacement is genuinely bought cannot be known in advance by research -- it depends on future guest behavior, maintenance quality, and traffic that has not happened yet, the same kind of irreducible forecast uncertainty as a future price. MA2 fixes the case at the sourced range's upper end (10 years); at -50% (5 years) the verdict flips to A, and at +50% (15 years) the margin widens past the SPEC §2 20% cap. Both directions are disclosed here and in FACILITATOR.md/case.md's Modeling Assumptions, not hidden. Given the base margin is already only 2.8%, this dial is doing real work -- flagged as the case's single most load-bearing sensitivity alongside MA4.</w:t>
      </w:r>
    </w:p>
    <w:p>
      <w:pPr>
        <w:pStyle w:val="Heading1"/>
        <w:spacing w:after="120" w:before="240"/>
      </w:pPr>
      <w:r>
        <w:t xml:space="preserve">The Two Arguments and the Margin</w:t>
      </w:r>
    </w:p>
    <w:p>
      <w:r>
        <w:rPr>
          <w:b/>
          <w:bCs/>
        </w:rPr>
        <w:t xml:space="preserve">Argument A (Carpet): </w:t>
      </w:r>
      <w:r>
        <w:t xml:space="preserve">Option A (carpet) has a much lower initial cost -- CD$14,640.92 vs. Option B's CD$22,805.26, roughly CD$8,164 cheaper up front -- and it is the only option that fits under the Berisels' CD$17,900 soft budget cap by a comfortable margin (18.2% under), while Option B blows past the cap by 27.4%. Read the ordinary residential wear-life figures from Appendix B at face value, and Option A also wins on 15-year total cost of ownership -- by a razor-thin 2.8%.</w:t>
      </w:r>
    </w:p>
    <w:p>
      <w:pPr>
        <w:spacing w:before="120"/>
      </w:pPr>
      <w:r>
        <w:rPr>
          <w:b/>
          <w:bCs/>
        </w:rPr>
        <w:t xml:space="preserve">Argument B (Hardwood): </w:t>
      </w:r>
      <w:r>
        <w:t xml:space="preserve">Option B (hardwood) matches the Berisels' own stated 'comfort and luxury' goal directly, and its wear-life advantage is not just longer -- it survives real Airbnb-style heavy, weekly-turnover foot traffic in a way carpet's much shorter cited wear life does not. Once that traffic pattern is factored into how often carpet actually needs full replacement inside the 15-year horizon (not the generic residential figure Appendix B cites), hardwood's 15-year total cost of ownership overtakes carpet's and becomes the cheaper option, by 15.3%.</w:t>
      </w:r>
    </w:p>
    <w:p>
      <w:pPr>
        <w:spacing w:after="200" w:before="120"/>
      </w:pPr>
      <w:r>
        <w:rPr>
          <w:b/>
          <w:bCs/>
        </w:rPr>
        <w:t xml:space="preserve">Base margin: 2.8% (Option A cheaper). Twist margin: 15.3% (Option B cheaper, once the winner flips). </w:t>
      </w:r>
      <w:r>
        <w:t xml:space="preserve">Primary metric = 15-year total cost of ownership (CAD): initial install (materials + 2.6% delivery + labor, USD-&gt;CAD at 1.3785) plus all maintenance/replacement over 15 years. Base reading (Appendix B/C figures applied at face value, one carpet replacement at year 10; hardwood serviced only at the two years Appendix F MA3 actually states -- recoat year 5, refinish year 10): Option A = CD$33,723.93, Option B = CD$34,674.14, margin = (34674.14-33723.93)/33723.93 = 2.8%, Option A cheaper. Twist reading (short-term-rental heavy traffic roughly halves carpet's effective replacement trigger, forcing two full carpet replacements -- year 5 and year 10 -- inside the 15-year horizon instead of one; hardwood's schedule is unaffected): Option A = CD$39,986.87, Option B = CD$34,674.14, margin = (39986.87-34674.14)/34674.14 = 15.3%, Option B cheaper. The twist flips the winner. See sensitivity_model.py evaluate()/evaluate_twist(). (Corrected 2026-08-20 after Tier 2 probe 1 cold-solve caught an undocumented third hardwood service event in an earlier model version -- see sensitivity_model.py's CORRECTION note.)</w:t>
      </w:r>
    </w:p>
    <w:p>
      <w:pPr>
        <w:pStyle w:val="Heading1"/>
        <w:spacing w:after="120" w:before="240"/>
      </w:pPr>
      <w:r>
        <w:t xml:space="preserve">Guide Notes: Carpenter</w:t>
      </w:r>
    </w:p>
    <w:p>
      <w:r>
        <w:rPr>
          <w:b/>
          <w:bCs/>
        </w:rPr>
        <w:t xml:space="preserve">Case:</w:t>
      </w:r>
      <w:r>
        <w:t xml:space="preserve"> Carpenter · </w:t>
      </w:r>
      <w:r>
        <w:rPr>
          <w:b/>
          <w:bCs/>
        </w:rPr>
        <w:t xml:space="preserve">Tier:</w:t>
      </w:r>
      <w:r>
        <w:t xml:space="preserve"> T2 · </w:t>
      </w:r>
      <w:r>
        <w:rPr>
          <w:b/>
          <w:bCs/>
        </w:rPr>
        <w:t xml:space="preserve">Band:</w:t>
      </w:r>
      <w:r>
        <w:t xml:space="preserve"> MS-core · </w:t>
      </w:r>
      <w:r>
        <w:rPr>
          <w:b/>
          <w:bCs/>
        </w:rPr>
        <w:t xml:space="preserve">Studio:</w:t>
      </w:r>
      <w:r>
        <w:t xml:space="preserve"> Adventure </w:t>
      </w:r>
      <w:r>
        <w:rPr>
          <w:b/>
          <w:bCs/>
        </w:rPr>
        <w:t xml:space="preserve">Standards:</w:t>
      </w:r>
      <w:r>
        <w:t xml:space="preserve"> 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 ids (10 skills — area of a rectangle, unit conversion, percent of a number, currency, ratio, comparison, bar graph, coordinate graphing, percent conversion)</w:t>
      </w:r>
    </w:p>
    <w:p>
      <w:r>
        <w:t xml:space="preserve">Legacy conversion, 2026-08-20, built from the original case study docx (</w:t>
      </w:r>
      <w:r>
        <w:rPr>
          <w:rFonts w:ascii="Courier New" w:cs="Courier New" w:eastAsia="Courier New" w:hAnsi="Courier New"/>
        </w:rPr>
        <w:t xml:space="preserve">source/Y3/Session 4/Carpenter/Case Study_ Carpenter.docx</w:t>
      </w:r>
      <w:r>
        <w:t xml:space="preserve">) onto the current 11-anchor ladder. The protagonist, clients, budget cap, and cross-border delivery arrangement are preserved verbatim from the source; the material/maintenance cost table was fully re-sourced to real, cited 2026 figures (the source docx table carried no citations at all). The original </w:t>
      </w:r>
      <w:r>
        <w:rPr>
          <w:rFonts w:ascii="Courier New" w:cs="Courier New" w:eastAsia="Courier New" w:hAnsi="Courier New"/>
        </w:rPr>
        <w:t xml:space="preserve">Guide Notes.docx</w:t>
      </w:r>
      <w:r>
        <w:t xml:space="preserve"> did not actually describe this case — it was a mismatched template about an unrelated family scenario with unrelated stock images — so this Guide Notes document is newly authored for Carpenter specifically. See </w:t>
      </w:r>
      <w:r>
        <w:rPr>
          <w:rFonts w:ascii="Courier New" w:cs="Courier New" w:eastAsia="Courier New" w:hAnsi="Courier New"/>
        </w:rPr>
        <w:t xml:space="preserve">case.json.legacy_conversion_note</w:t>
      </w:r>
      <w:r>
        <w:t xml:space="preserve"> for the full account.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a real professional dilemma, not a worksheet with a story stapled on. Name the opener — "One carpenter, one client who said 'we trust you' — and a flooring choice that has to survive ten years of Airbnb guests, not just look good on install day."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Read the Overview aloud, then Background's two sentences about the budget (CD$17,900 soft cap) and the "comfort and luxury" goal, with no Appendix numbers shown yet. Ask: "Just from what you've heard — does 'pick the cheaper one' sound like it settles this, or not?"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"Carpet or hardwood?" Show of hands, no discussion yet. Record the count — Close asks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do you mean by 'cheaper'?"</w:t>
      </w:r>
    </w:p>
    <w:p>
      <w:r>
        <w:t xml:space="preserve">Push on what "cheaper" means here. Cheaper to install this month? Cheaper counting the years this flooring actually has to survive? Cheaper relative to a budget cap that's explicitly </w:t>
      </w:r>
      <w:r>
        <w:rPr>
          <w:i/>
          <w:iCs/>
        </w:rPr>
        <w:t xml:space="preserve">soft</w:t>
      </w:r>
      <w:r>
        <w:t xml:space="preserve">, not a hard wall? Let the room sit in the ambiguity — "Is anyone courageous enough to define 'cheaper' before we start adding numbers?" Deliberately let it feel underdetermined: "Wow, this is a harder question than it sounded."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go through this process and find the data, how will we decide?"</w:t>
      </w:r>
    </w:p>
    <w:p>
      <w:r>
        <w:t xml:space="preserve">Once the room has picked a working definition of "cheaper" or "best," ask them to name the actual steps: total square footage by zone, initial cost per option, how each stacks against the budget cap, and cost over time including any replacement or refinishing. Re-ask: "Given how we just defined 'cheaper' — is that still the right process?"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Appendix F's four Modeling Assumptions as a group, out loud, before anyone computes anything. Ask which ones the room thinks matter most. (Facilitator note: MA4 — whether short-term-rental foot traffic changes the wear-life numbers — is the one that actually matters most, but let the room guess first; that's what the Twist is for.)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 and D2 together as a room: area takeoff, then cost per option.</w:t>
      </w:r>
    </w:p>
    <w:p>
      <w:r>
        <w:rPr>
          <w:b/>
          <w:bCs/>
        </w:rPr>
        <w:t xml:space="preserve">The trap:</w:t>
      </w:r>
      <w:r>
        <w:t xml:space="preserve"> most Heroes will price Option A as the obvious winner and stop there, because its initial cost is dramatically lower and it's the only one that fits comfortably under the CD$17,900 cap. They will apply Appendix B's wear-life figures (carpet 8–10 years) exactly as written — a generic </w:t>
      </w:r>
      <w:r>
        <w:rPr>
          <w:i/>
          <w:iCs/>
        </w:rPr>
        <w:t xml:space="preserve">residential</w:t>
      </w:r>
      <w:r>
        <w:t xml:space="preserve"> household figure — without noticing that Background already told them this flat turns over tenants </w:t>
      </w:r>
      <w:r>
        <w:rPr>
          <w:i/>
          <w:iCs/>
        </w:rPr>
        <w:t xml:space="preserve">at least weekly</w:t>
      </w:r>
      <w:r>
        <w:t xml:space="preserve"> with </w:t>
      </w:r>
      <w:r>
        <w:rPr>
          <w:i/>
          <w:iCs/>
        </w:rPr>
        <w:t xml:space="preserve">heavy foot traffic</w:t>
      </w:r>
      <w:r>
        <w:t xml:space="preserve">, which is nothing like a quiet family home. Cold-call on this specifically: "Whose 8-to-10-year number are you using — a family's living room, or a place that changes tenants every week?"</w:t>
      </w:r>
    </w:p>
    <w:p>
      <w:pPr>
        <w:pStyle w:val="Heading2"/>
        <w:spacing w:after="120" w:before="240"/>
      </w:pPr>
      <w:r>
        <w:t xml:space="preserve">Twist — drop this at roughly the 15-minute mark</w:t>
      </w:r>
    </w:p>
    <w:p>
      <w:r>
        <w:t xml:space="preserve">Deliver slowly, with pauses:</w:t>
      </w:r>
    </w:p>
    <w:p>
      <w:r>
        <w:t xml:space="preserve">"Newt makes one more call before he sends the pitch — to his flooring wholesaler, who's fitted plenty of short-term rentals. The wholesaler tells him something the spec sheet doesn't say: under nightly-turnover, heavy-traffic use — exactly what the Berisels are running — carpet's real-world replacement clock runs at roughly </w:t>
      </w:r>
      <w:r>
        <w:rPr>
          <w:i/>
          <w:iCs/>
        </w:rPr>
        <w:t xml:space="preserve">half</w:t>
      </w:r>
      <w:r>
        <w:t xml:space="preserve"> the normal residential figure. Not 8 to 10 years. More like 4 to 5. Hardwood, being a hard, dense material, doesn't see nearly the same effect — it might need a touch more frequent recoating, but it doesn't need replacing on a different clock."</w:t>
      </w:r>
    </w:p>
    <w:p>
      <w:r>
        <w:rPr>
          <w:b/>
          <w:bCs/>
        </w:rPr>
        <w:t xml:space="preserve">Facilitator-only.</w:t>
      </w:r>
      <w:r>
        <w:t xml:space="preserve"> Recompute Option A live with the room: instead of one full carpet replacement at year 10, two full replacements land inside the 15-year window — year 5 and year</w:t>
      </w:r>
    </w:p>
    <w:p>
      <w:pPr>
        <w:ind w:left="360"/>
      </w:pPr>
      <w:r>
        <w:t xml:space="preserve">10. Recompute the 15-year total cost of ownership with the room using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's </w:t>
      </w:r>
      <w:r>
        <w:rPr>
          <w:rFonts w:ascii="Courier New" w:cs="Courier New" w:eastAsia="Courier New" w:hAnsi="Courier New"/>
        </w:rPr>
        <w:t xml:space="preserve">evaluate_twist()</w:t>
      </w:r>
      <w:r>
        <w:t xml:space="preserve">: Option A's 15-year total rises from CD$33,723.93 to CD$39,986.87, while Option B's CD$34,674.14 doesn't move. The option that looked like the clear winner on both initial cost </w:t>
      </w:r>
      <w:r>
        <w:rPr>
          <w:i/>
          <w:iCs/>
        </w:rPr>
        <w:t xml:space="preserve">and</w:t>
      </w:r>
      <w:r>
        <w:t xml:space="preserve"> long-run cost a few minutes ago is now the </w:t>
      </w:r>
      <w:r>
        <w:rPr>
          <w:i/>
          <w:iCs/>
        </w:rPr>
        <w:t xml:space="preserve">more</w:t>
      </w:r>
      <w:r>
        <w:t xml:space="preserve"> expensive one over 15 years, by 15.3%.</w:t>
      </w:r>
    </w:p>
    <w:p>
      <w:r>
        <w:t xml:space="preserve">Ask: "You now have 60 seconds. Does this change your recommendation — or not?" Then, the follow-up that matters more than the vote: </w:t>
      </w:r>
      <w:r>
        <w:rPr>
          <w:b/>
          <w:bCs/>
        </w:rPr>
        <w:t xml:space="preserve">"What just broke in your original model? Were you wrong about the price of flooring — or were you just missing what kind of building this actually is?"</w:t>
      </w:r>
    </w:p>
    <w:p>
      <w:r>
        <w:t xml:space="preserve">Do not hand over a "correct" answer. A carpenter with a soft budget cap to respect and a client goal to honor can reasonably land on either option even after the Twist — that tension, not a trick, is the point.</w:t>
      </w:r>
    </w:p>
    <w:p>
      <w:r>
        <w:rPr>
          <w:b/>
          <w:bCs/>
        </w:rPr>
        <w:t xml:space="preserve">Twist soundness check (SPEC §6):</w:t>
      </w:r>
      <w:r>
        <w:t xml:space="preserve"> this twist was checked against every stated Background/ Appendix fact and Modeling Assumption, read both sequentially (in the order a Hero encounters them) and simultaneously (all at once, as a final numeric model) — it introduces no new figure that contradicts an earlier one, only a second, real lens (heavy short-term-rental traffic, already named in Background's first paragraph) on wear-life data already in front of the room. It holds under both readings, and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's </w:t>
      </w:r>
      <w:r>
        <w:rPr>
          <w:rFonts w:ascii="Courier New" w:cs="Courier New" w:eastAsia="Courier New" w:hAnsi="Courier New"/>
        </w:rPr>
        <w:t xml:space="preserve">evaluate()</w:t>
      </w:r>
      <w:r>
        <w:t xml:space="preserve">/</w:t>
      </w:r>
      <w:r>
        <w:rPr>
          <w:rFonts w:ascii="Courier New" w:cs="Courier New" w:eastAsia="Courier New" w:hAnsi="Courier New"/>
        </w:rPr>
        <w:t xml:space="preserve">evaluate_twist()</w:t>
      </w:r>
      <w:r>
        <w:t xml:space="preserve"> confirm the winner genuinely flips (base: A cheaper by 2.8%; twist: B cheaper by 15.3%).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"Did the traffic-adjusted recompute change your hand — or did it just change </w:t>
      </w:r>
      <w:r>
        <w:rPr>
          <w:i/>
          <w:iCs/>
        </w:rPr>
        <w:t xml:space="preserve">why</w:t>
      </w:r>
      <w:r>
        <w:t xml:space="preserve"> you're holding it up?"</w:t>
      </w:r>
    </w:p>
    <w:p>
      <w:pPr>
        <w:pStyle w:val="Heading2"/>
        <w:spacing w:after="120" w:before="240"/>
      </w:pPr>
      <w:r>
        <w:t xml:space="preserve">Close</w:t>
      </w:r>
    </w:p>
    <w:p>
      <w:r>
        <w:t xml:space="preserve">Re-vote once more after full discussion. Ask: "Did we ask the right question at Anchor 2, or did 'cheaper' turn out to mean something different by the end?" And: "What math was new to you today, and how did you attack it?"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t xml:space="preserve">The original case's own launch question — "would you choose differently for a house you're going to rent out?" — turns out to be the entire case, once the numbers are run honestly. The transferable lesson: </w:t>
      </w:r>
      <w:r>
        <w:rPr>
          <w:b/>
          <w:bCs/>
        </w:rPr>
        <w:t xml:space="preserve">a wear-life figure is only as good as the traffic pattern it was measured under</w:t>
      </w:r>
      <w:r>
        <w:t xml:space="preserve">, and a short-term rental is not a family home wearing its floors slowly. Read literally, Appendix B's numbers make carpet the clear winner on every axis. Read in the context Background already gave — heavy, weekly-turnover traffic — the same numbers flip the recommendation.</w:t>
      </w:r>
    </w:p>
    <w:p>
      <w:pPr>
        <w:pStyle w:val="Heading2"/>
        <w:spacing w:after="120" w:before="240"/>
      </w:pPr>
      <w:r>
        <w:t xml:space="preserve">Five Socratic Questions</w:t>
      </w:r>
    </w:p>
    <w:p>
      <w:r>
        <w:t xml:space="preserve">Use these across Anchors 2–4 and the Data Deep Dive — each is answerable only with this case's own numbers, not general opinion.</w:t>
      </w:r>
    </w:p>
    <w:p>
      <w:pPr>
        <w:ind w:left="360"/>
      </w:pPr>
      <w:r>
        <w:t xml:space="preserve">1. Option A costs about CD$8,164 less to install than Option B — but Option B is the only one that matches what the Berisels actually said they wanted. How many dollars of "comfort and luxury" is that gap worth?</w:t>
      </w:r>
    </w:p>
    <w:p>
      <w:pPr>
        <w:ind w:left="360"/>
      </w:pPr>
      <w:r>
        <w:t xml:space="preserve">2. Option B alone blows past the CD$17,900 soft cap by CD$4,905. Is a "soft" cap a real constraint or not — and how would you argue that to a client who set the number themselves?</w:t>
      </w:r>
    </w:p>
    <w:p>
      <w:pPr>
        <w:ind w:left="360"/>
      </w:pPr>
      <w:r>
        <w:t xml:space="preserve">3. Appendix B's carpet wear-life (8–10 years) is a general residential figure. Background says this flat turns over tenants weekly with heavy foot traffic. What number would you use instead, and why?</w:t>
      </w:r>
    </w:p>
    <w:p>
      <w:pPr>
        <w:ind w:left="360"/>
      </w:pPr>
      <w:r>
        <w:t xml:space="preserve">4. Before the Twist, Option A wins 15-year total cost by only 2.8%. After it, Option B wins by 15.3%. What single number, if it changed, could flip the case back the other way?</w:t>
      </w:r>
    </w:p>
    <w:p>
      <w:pPr>
        <w:ind w:left="360"/>
      </w:pPr>
      <w:r>
        <w:t xml:space="preserve">5. Newt is being paid to give a professional recommendation, not just show two totals. If the Berisels' real priority is "never having a flooring emergency mid-booking," does that change which option you'd pitch, even if it isn't the cheaper one?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(10 ids) and </w:t>
      </w:r>
      <w:r>
        <w:rPr>
          <w:rFonts w:ascii="Courier New" w:cs="Courier New" w:eastAsia="Courier New" w:hAnsi="Courier New"/>
        </w:rPr>
        <w:t xml:space="preserve">LEARNING_GOALS.md</w:t>
      </w:r>
      <w:r>
        <w:t xml:space="preserve"> for the full deliverable ↔ skill matrix. In brief: area of a rectangle, unit conversion (meters↔feet, USD↔CAD), percent of a number, currency, ratio, comparison, bar graphs, coordinate graphing, and percent conversion.</w:t>
      </w:r>
    </w:p>
    <w:p>
      <w:pPr>
        <w:pStyle w:val="Heading2"/>
        <w:spacing w:after="120" w:before="240"/>
      </w:pPr>
      <w:r>
        <w:t xml:space="preserve">Cohort Bands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case.json.cohort_bands[]</w:t>
      </w:r>
      <w:r>
        <w:t xml:space="preserve">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Full (12–20):</w:t>
      </w:r>
      <w:r>
        <w:t xml:space="preserve"> Anchors 2–3 run as written; the room splits into an "up-front budget" faction   and a "comfort-and-luxury/long-run" faction before the Twist forces everyone to re-price   carpet's replacement cadence.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Compressed (6–11):</w:t>
      </w:r>
      <w:r>
        <w:t xml:space="preserve"> Anchors 2–3 combine into one pass; D4's cumulative cost-over-time chart   is worked as one shared example (one option) instead of every Hero building both independently.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1:1 / pair (1–2):</w:t>
      </w:r>
      <w:r>
        <w:t xml:space="preserve"> No vote to take — Anchor 1 becomes a stated initial position instead of a   cold-call show of hands; the guide plays devil's advocate directly, arguing whichever side the   Hero didn't pick.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Cold-call launch, 30-second commitments, stand/sit vote (Anchor 1) — no explanation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defense: "Convince us why it's better, not just cheaper"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models: "Whose wear-life number are you using — and for what kind of building?"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wholesaler's heavy-traffic wear-life call,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recommit: who reverses? "What just broke?"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— two named threads: (1) up-front cash cost vs. long-run total cost of ownership as competing definitions of "cheaper"; (2) a soft budget cap vs. an explicit client goal ("comfort and luxury") as competing definitions of "the right pitch"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1"/>
        <w:spacing w:after="120" w:before="280"/>
      </w:pPr>
      <w:r>
        <w:t xml:space="preserve">What a Strong Defense Sounds Like</w:t>
      </w:r>
    </w:p>
    <w:p>
      <w:pPr>
        <w:spacing w:after="200"/>
      </w:pPr>
      <w:r>
        <w:t xml:space="preserve">This is not an answer key -- there is no single correct Option, and a strong pitch can land on either A or B. What separates a strong pitch from a weak one is reasoning quality, not the final vote. Listen for a pitch that: states plainly which cost definition it is using (initial cost vs. 15-year total cost of ownership) rather than switching silently between them; treats the CD$17,900 cap as the soft target it actually is, engaging D3's comparison honestly whether the total lands above or below it; shows real arithmetic behind the area takeoff and currency conversion rather than a bottom-line number alone; and -- most importantly -- explicitly names and defends its own stance on Appendix F's Modeling Assumption MA4 (whether short-term-rental foot traffic changes the wear-life figures), since that single judgment call is what the Twist shows can flip the entire recommendation. A Hero who reads the general residential wear-life numbers literally and a Hero who challenges them because of the flat's actual weekly-turnover use can both give a strong defense; the weak defense is the one that never notices there was a choice to make there at all.</w:t>
      </w:r>
    </w:p>
    <w:p>
      <w:pPr>
        <w:pStyle w:val="Heading1"/>
        <w:spacing w:after="120" w:before="280"/>
      </w:pPr>
      <w:r>
        <w:t xml:space="preserve">Skills This Case Exercises</w:t>
      </w:r>
    </w:p>
    <w:p>
      <w:r>
        <w:t xml:space="preserve">- geometry-area</w:t>
      </w:r>
    </w:p>
    <w:p>
      <w:r>
        <w:t xml:space="preserve">- geometry-how-to-find-the-area-of-a-rectangle</w:t>
      </w:r>
    </w:p>
    <w:p>
      <w:r>
        <w:t xml:space="preserve">- measurement-how-to-convert-an-amount-from-one-unit-to-another-unit</w:t>
      </w:r>
    </w:p>
    <w:p>
      <w:r>
        <w:t xml:space="preserve">- advanced-numbers-how-to-find-the-percent-of-a-number</w:t>
      </w:r>
    </w:p>
    <w:p>
      <w:r>
        <w:t xml:space="preserve">- measurement-currency</w:t>
      </w:r>
    </w:p>
    <w:p>
      <w:r>
        <w:t xml:space="preserve">- measurement-ratio</w:t>
      </w:r>
    </w:p>
    <w:p>
      <w:r>
        <w:t xml:space="preserve">- number-sense-how-to-compare-two-or-more-values</w:t>
      </w:r>
    </w:p>
    <w:p>
      <w:r>
        <w:t xml:space="preserve">- number-sense-bar-graph</w:t>
      </w:r>
    </w:p>
    <w:p>
      <w:r>
        <w:t xml:space="preserve">- geometry-how-to-graph-a-coordinate-pair-on-the-coordinate-plane</w:t>
      </w:r>
    </w:p>
    <w:p>
      <w:r>
        <w:t xml:space="preserve">- advanced-numbers-how-to-convert-numbers-to-percents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2026-08-20T21:34:21.105Z</dcterms:created>
  <dcterms:modified xsi:type="dcterms:W3CDTF">2026-08-20T21:34:21.105Z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