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Deluge Gun</w:t>
      </w:r>
    </w:p>
    <w:p>
      <w:pPr>
        <w:spacing w:after="240"/>
        <w:jc w:val="center"/>
      </w:pPr>
      <w:r>
        <w:rPr>
          <w:i/>
          <w:iCs/>
          <w:sz w:val="22"/>
          <w:szCs w:val="22"/>
        </w:rPr>
        <w:t xml:space="preserve"/>
      </w:r>
    </w:p>
    <w:p>
      <w:r>
        <w:t xml:space="preserve">MS | Math | Case Study | 2026-27 | Launchpad</w:t>
      </w:r>
    </w:p>
    <w:p>
      <w:r>
        <w:rPr>
          <w:i/>
          <w:iCs/>
        </w:rPr>
        <w:t xml:space="preserve">(Band: HS. This case uses precalculus trigonometry — the Pythagorean identity, inverse trigonometric functions, and solving a trig equation over a restricted interval — and is written for a Hero who already knows the sine and cosine functions and is ready to use them to make a real, timed decision.)</w:t>
      </w:r>
    </w:p>
    <w:p>
      <w:pPr>
        <w:pStyle w:val="Heading2"/>
        <w:spacing w:after="120" w:before="240"/>
      </w:pPr>
      <w:r>
        <w:t xml:space="preserve">Overview</w:t>
      </w:r>
    </w:p>
    <w:p>
      <w:r>
        <w:t xml:space="preserve">Danny Ruiz keys the radio twice before anyone answers.</w:t>
      </w:r>
    </w:p>
    <w:p>
      <w:r>
        <w:t xml:space="preserve">The collapsed parapet is still smoking along the roofline, a jagged gray tooth against the orange glow behind it, and the safety officer's tape line is already up — nobody crosses it, not even to drag hose closer. Danny's boots are planted at the base of the ladder truck, one hand on the joystick that swings the portable monitor, the other still holding the radio. Two numbers are chalked on the inside of his forearm in grease pencil, the way he always writes them before he commits to a stream: one flat, one steep. Behind him, the pump operator is already dialed to pressure and waiting on his word.</w:t>
      </w:r>
    </w:p>
    <w:p>
      <w:r>
        <w:t xml:space="preserve">Somewhere past that tape line, on the other side of the debris, is the exact spot the incident commander needs water landing — and needs it landing </w:t>
      </w:r>
      <w:r>
        <w:rPr>
          <w:i/>
          <w:iCs/>
        </w:rPr>
        <w:t xml:space="preserve">now</w:t>
      </w:r>
      <w:r>
        <w:t xml:space="preserve">, not after Danny walks the stream in by trial and error while the crew inside a collapse zone waits on him. He has one shot to set the angle before the water leaves the barrel, and two different angles on his arm both claim they'll reach it.</w:t>
      </w:r>
    </w:p>
    <w:p>
      <w:r>
        <w:t xml:space="preserve">Danny closes his fist around the joystick and doesn't move it yet.</w:t>
      </w:r>
    </w:p>
    <w:p>
      <w:pPr>
        <w:pStyle w:val="Heading2"/>
        <w:spacing w:after="120" w:before="240"/>
      </w:pPr>
      <w:r>
        <w:t xml:space="preserve">Background</w:t>
      </w:r>
    </w:p>
    <w:p>
      <w:r>
        <w:t xml:space="preserve">Danny Ruiz is the apparatus operator for Engine 14, part of the Ridgeview Fire Department's initial alarm assignment to a defensive structure fire at a mixed-use commercial building. A section of the building's parapet wall has already come down, and the incident commander has declared the front of the structure a </w:t>
      </w:r>
      <w:r>
        <w:rPr>
          <w:b/>
          <w:bCs/>
        </w:rPr>
        <w:t xml:space="preserve">collapse zone</w:t>
      </w:r>
      <w:r>
        <w:t xml:space="preserve"> — no personnel may work inside it, and every stream aimed at the fire has to be thrown </w:t>
      </w:r>
      <w:r>
        <w:rPr>
          <w:i/>
          <w:iCs/>
        </w:rPr>
        <w:t xml:space="preserve">into</w:t>
      </w:r>
      <w:r>
        <w:t xml:space="preserve"> the zone from outside its boundary (SEE APPENDIX A). Danny's monitor is a portable ground-mounted master-stream device, fed by Engine 14's pump, discharging through a fixed smoothbore tip (SEE APPENDIX B). The only thing Danny controls in the next thirty seconds is the monitor's </w:t>
      </w:r>
      <w:r>
        <w:rPr>
          <w:b/>
          <w:bCs/>
        </w:rPr>
        <w:t xml:space="preserve">elevation angle</w:t>
      </w:r>
      <w:r>
        <w:t xml:space="preserve"> — the pump pressure and tip are already set and are not going to change.</w:t>
      </w:r>
    </w:p>
    <w:p>
      <w:r>
        <w:t xml:space="preserve">The physics of a smoothbore stream is symmetric in a specific, exploitable way: for a fixed nozzle pressure, tip size, and target distance, there are generally </w:t>
      </w:r>
      <w:r>
        <w:rPr>
          <w:b/>
          <w:bCs/>
        </w:rPr>
        <w:t xml:space="preserve">two</w:t>
      </w:r>
      <w:r>
        <w:t xml:space="preserve"> elevation angles that land water at exactly that same distance — one flat and fast, one steep and lofted (SEE APPENDIX C, APPENDIX D). Danny has both written on his arm.</w:t>
      </w:r>
    </w:p>
    <w:p>
      <w:r>
        <w:rPr>
          <w:b/>
          <w:bCs/>
        </w:rPr>
        <w:t xml:space="preserve">The Low Arc.</w:t>
      </w:r>
      <w:r>
        <w:t xml:space="preserve"> The flatter of the two solved angles. It keeps the stream low and fast the whole way to the target, which means less of the stream's flow is lost to crosswind before it lands — but a flat, low trajectory travels close to the ground for its entire path, straight through the collapse zone's own debris field and any low obstruction sitting in front of the building.</w:t>
      </w:r>
    </w:p>
    <w:p>
      <w:r>
        <w:rPr>
          <w:b/>
          <w:bCs/>
        </w:rPr>
        <w:t xml:space="preserve">The High Arc.</w:t>
      </w:r>
      <w:r>
        <w:t xml:space="preserve"> The steeper, complementary solved angle — mathematically forced to reach the identical target distance as the Low Arc (SEE APPENDIX C). It spends far longer in the air and loses more of its flow to wind before landing, but it rises high enough to come down almost straight into the target from above, clearing any ground-level obstruction in the collapse zone without ever needing to pass through it.</w:t>
      </w:r>
    </w:p>
    <w:p>
      <w:r>
        <w:t xml:space="preserve">Both angles are real, valid solutions to the same equation. Ridgeview's SOP does not pre-select one over the other — that call belongs to the operator, in the moment, for this fire. Real, public documentation behind both the collapse-zone standoff rule and the smoothbore discharge formula this case is built on is in APPENDIX E. Every external source cited anywhere in this case is collected in APPENDIX G. The vocabulary and "how to…" skills this case asks you to research are listed in APPENDIX H — that is where Challenge 1 sends you.</w:t>
      </w:r>
    </w:p>
    <w:p>
      <w:pPr>
        <w:pStyle w:val="Heading2"/>
        <w:spacing w:after="120" w:before="240"/>
      </w:pPr>
      <w:r>
        <w:t xml:space="preserve">Dilemma</w:t>
      </w:r>
    </w:p>
    <w:p>
      <w:r>
        <w:t xml:space="preserve">You are Danny Ruiz.</w:t>
      </w:r>
    </w:p>
    <w:p>
      <w:r>
        <w:t xml:space="preserve">Do you:</w:t>
      </w:r>
    </w:p>
    <w:p>
      <w:r>
        <w:rPr>
          <w:b/>
          <w:bCs/>
        </w:rPr>
        <w:t xml:space="preserve">A.)</w:t>
      </w:r>
      <w:r>
        <w:t xml:space="preserve"> Command </w:t>
      </w:r>
      <w:r>
        <w:rPr>
          <w:b/>
          <w:bCs/>
        </w:rPr>
        <w:t xml:space="preserve">the Low Arc</w:t>
      </w:r>
      <w:r>
        <w:t xml:space="preserve"> — the flatter of the two solved elevation angles, favoring flow efficiency </w:t>
      </w:r>
      <w:r>
        <w:rPr>
          <w:b/>
          <w:bCs/>
        </w:rPr>
        <w:t xml:space="preserve">OR</w:t>
      </w:r>
    </w:p>
    <w:p>
      <w:r>
        <w:rPr>
          <w:b/>
          <w:bCs/>
        </w:rPr>
        <w:t xml:space="preserve">B.)</w:t>
      </w:r>
      <w:r>
        <w:t xml:space="preserve"> Command </w:t>
      </w:r>
      <w:r>
        <w:rPr>
          <w:b/>
          <w:bCs/>
        </w:rPr>
        <w:t xml:space="preserve">the High Arc</w:t>
      </w:r>
      <w:r>
        <w:t xml:space="preserve"> — the steeper of the two solved elevation angles, favoring obstruction clearance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velocity-component verification worksheet. For each arc, compute the horizontal and     vertical velocity components from the arc's solved angle and the nozzle's derived exit     velocity (Appendix C), then use the Pythagorean identity to verify, showing your algebra,     that those two components recombine to the nozzle's own rated exit velocity.     D2. A two-angle solution worksheet. Starting from the range equation and the collapse zone's     mandated stand-off distance (Appendix A), solve the resulting trigonometric equation for the     elevation angle over the interval 0° to 90°, showing both valid solutions — the Low Arc and     the High Arc — with your algebra and your evaluation of the inverse trig function shown step     by step.     D3. A hang-time and clearance comparison. For each arc, compute the time of flight and the     trajectory's apex (maximum) height, then compute each arc's actual height at the parapet     remnant's horizontal distance from the monitor (Appendix A), and state whether that arc     clears the remnant. Explain what your results tell Danny about each arc's ability to clear     ground-level obstructions inside the collapse zone.     D4. An effective-flow table. Apply the wind-drift loss model (Appendix F) to each arc's rated     flow to find the effective gallons of water landing on target per minute for each arc, and     state the margin between the two arcs.     D5. An original visual (this satisfies Challenge 2(b)). A labeled diagram or graph, to scale     or made with a graphing tool, showing both trajectories from the monitor to the target     distance, with each arc's elevation angle marked in both degrees and radians, and each arc's     apex height labeled.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Collapse Zone Constraint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Structure height used to set the collapse zone</w:t>
            </w:r>
          </w:p>
        </w:tc>
        <w:tc>
          <w:tcPr>
            <w:tcW w:type="dxa" w:w="4500"/>
          </w:tcPr>
          <w:p>
            <w:r>
              <w:t xml:space="preserve">150 ft (MA1, stated scenario assumption — see Appendix F)</w:t>
            </w:r>
          </w:p>
        </w:tc>
      </w:tr>
      <w:tr>
        <w:tc>
          <w:tcPr>
            <w:tcW w:type="dxa" w:w="4500"/>
          </w:tcPr>
          <w:p>
            <w:r>
              <w:t xml:space="preserve">Collapse zone standoff multiplier (industry rule of thumb)</w:t>
            </w:r>
          </w:p>
        </w:tc>
        <w:tc>
          <w:tcPr>
            <w:tcW w:type="dxa" w:w="4500"/>
          </w:tcPr>
          <w:p>
            <w:r>
              <w:t xml:space="preserve">1.5× building height [S1]</w:t>
            </w:r>
          </w:p>
        </w:tc>
      </w:tr>
      <w:tr>
        <w:tc>
          <w:tcPr>
            <w:tcW w:type="dxa" w:w="4500"/>
          </w:tcPr>
          <w:p>
            <w:r>
              <w:t xml:space="preserve">Mandated stand-off distance from the structure (= multiplier × height)</w:t>
            </w:r>
          </w:p>
        </w:tc>
        <w:tc>
          <w:tcPr>
            <w:tcW w:type="dxa" w:w="4500"/>
          </w:tcPr>
          <w:p>
            <w:r>
              <w:t xml:space="preserve">225 ft (1.5 × 150 ft)</w:t>
            </w:r>
          </w:p>
        </w:tc>
      </w:tr>
      <w:tr>
        <w:tc>
          <w:tcPr>
            <w:tcW w:type="dxa" w:w="4500"/>
          </w:tcPr>
          <w:p>
            <w:r>
              <w:t xml:space="preserve">Whether personnel may work inside the collapse zone while it is declared</w:t>
            </w:r>
          </w:p>
        </w:tc>
        <w:tc>
          <w:tcPr>
            <w:tcW w:type="dxa" w:w="4500"/>
          </w:tcPr>
          <w:p>
            <w:r>
              <w:t xml:space="preserve">No</w:t>
            </w:r>
          </w:p>
        </w:tc>
      </w:tr>
      <w:tr>
        <w:tc>
          <w:tcPr>
            <w:tcW w:type="dxa" w:w="4500"/>
          </w:tcPr>
          <w:p>
            <w:r>
              <w:t xml:space="preserve">Whether Danny may reposition the monitor inside the mandated standoff</w:t>
            </w:r>
          </w:p>
        </w:tc>
        <w:tc>
          <w:tcPr>
            <w:tcW w:type="dxa" w:w="4500"/>
          </w:tcPr>
          <w:p>
            <w:r>
              <w:t xml:space="preserve">No</w:t>
            </w:r>
          </w:p>
        </w:tc>
      </w:tr>
      <w:tr>
        <w:tc>
          <w:tcPr>
            <w:tcW w:type="dxa" w:w="4500"/>
          </w:tcPr>
          <w:p>
            <w:r>
              <w:t xml:space="preserve">Collapsed parapet remnant height</w:t>
            </w:r>
          </w:p>
        </w:tc>
        <w:tc>
          <w:tcPr>
            <w:tcW w:type="dxa" w:w="4500"/>
          </w:tcPr>
          <w:p>
            <w:r>
              <w:t xml:space="preserve">12 ft (MA3, stated scenario assumption — see Appendix F)</w:t>
            </w:r>
          </w:p>
        </w:tc>
      </w:tr>
      <w:tr>
        <w:tc>
          <w:tcPr>
            <w:tcW w:type="dxa" w:w="4500"/>
          </w:tcPr>
          <w:p>
            <w:r>
              <w:t xml:space="preserve">Horizontal distance from the monitor to the parapet remnant</w:t>
            </w:r>
          </w:p>
        </w:tc>
        <w:tc>
          <w:tcPr>
            <w:tcW w:type="dxa" w:w="4500"/>
          </w:tcPr>
          <w:p>
            <w:r>
              <w:t xml:space="preserve">200 ft (MA3 — 25 ft short of the 225 ft target, i.e. the parapet stands close to the building face, in front of the target)</w:t>
            </w:r>
          </w:p>
        </w:tc>
      </w:tr>
    </w:tbl>
    <w:p/>
    <w:p>
      <w:r>
        <w:rPr>
          <w:i/>
          <w:iCs/>
        </w:rPr>
        <w:t xml:space="preserve">Note: Ridgeview Fire Department and this specific incident are a scenario construction for this case — there is no real department or fire by this name. The collapse-zone standoff rule itself (stand-off distance set as a multiple of building height) is a real, widely taught fireground safety practice, cited in Appendix E and Appendix G, and is used here as the case's hard, non-negotiable target-distance constraint.</w:t>
      </w:r>
    </w:p>
    <w:p>
      <w:pPr>
        <w:pStyle w:val="Heading2"/>
        <w:spacing w:after="120" w:before="240"/>
      </w:pPr>
      <w:r>
        <w:t xml:space="preserve">Appendix B: Engine 14's Monitor and Nozzle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Nozzle type</w:t>
            </w:r>
          </w:p>
        </w:tc>
        <w:tc>
          <w:tcPr>
            <w:tcW w:type="dxa" w:w="4500"/>
          </w:tcPr>
          <w:p>
            <w:r>
              <w:t xml:space="preserve">Fixed smoothbore tip, portable ground monitor (Task Force Tips BlitzFire High Elevation, model XX232A-HE) [S6]</w:t>
            </w:r>
          </w:p>
        </w:tc>
      </w:tr>
      <w:tr>
        <w:tc>
          <w:tcPr>
            <w:tcW w:type="dxa" w:w="4500"/>
          </w:tcPr>
          <w:p>
            <w:r>
              <w:t xml:space="preserve">Tip diameter</w:t>
            </w:r>
          </w:p>
        </w:tc>
        <w:tc>
          <w:tcPr>
            <w:tcW w:type="dxa" w:w="4500"/>
          </w:tcPr>
          <w:p>
            <w:r>
              <w:t xml:space="preserve">1-3/8 in (1.375 in) — standard stacked smoothbore master-stream tip size [S4]</w:t>
            </w:r>
          </w:p>
        </w:tc>
      </w:tr>
      <w:tr>
        <w:tc>
          <w:tcPr>
            <w:tcW w:type="dxa" w:w="4500"/>
          </w:tcPr>
          <w:p>
            <w:r>
              <w:t xml:space="preserve">Nozzle operating pressure</w:t>
            </w:r>
          </w:p>
        </w:tc>
        <w:tc>
          <w:tcPr>
            <w:tcW w:type="dxa" w:w="4500"/>
          </w:tcPr>
          <w:p>
            <w:r>
              <w:t xml:space="preserve">80 psi — standard smoothbore master-stream operating pressure [S3]</w:t>
            </w:r>
          </w:p>
        </w:tc>
      </w:tr>
      <w:tr>
        <w:tc>
          <w:tcPr>
            <w:tcW w:type="dxa" w:w="4500"/>
          </w:tcPr>
          <w:p>
            <w:r>
              <w:t xml:space="preserve">Rated discharge at that tip and pressure</w:t>
            </w:r>
          </w:p>
        </w:tc>
        <w:tc>
          <w:tcPr>
            <w:tcW w:type="dxa" w:w="4500"/>
          </w:tcPr>
          <w:p>
            <w:r>
              <w:t xml:space="preserve">500 GPM — the monitor's own manufacturer flow rating [S6], consistent with the 502 GPM a 1-3/8 in tip at 80 psi produces under the published smoothbore discharge table [S4]</w:t>
            </w:r>
          </w:p>
        </w:tc>
      </w:tr>
      <w:tr>
        <w:tc>
          <w:tcPr>
            <w:tcW w:type="dxa" w:w="4500"/>
          </w:tcPr>
          <w:p>
            <w:r>
              <w:t xml:space="preserve">Monitor's mechanical elevation range</w:t>
            </w:r>
          </w:p>
        </w:tc>
        <w:tc>
          <w:tcPr>
            <w:tcW w:type="dxa" w:w="4500"/>
          </w:tcPr>
          <w:p>
            <w:r>
              <w:t xml:space="preserve">10° to 86° above horizontal [S6]</w:t>
            </w:r>
          </w:p>
        </w:tc>
      </w:tr>
    </w:tbl>
    <w:p/>
    <w:p>
      <w:pPr>
        <w:pStyle w:val="Heading2"/>
        <w:spacing w:after="120" w:before="240"/>
      </w:pPr>
      <w:r>
        <w:t xml:space="preserve">Appendix C: The Range Equation</w:t>
      </w:r>
    </w:p>
    <w:p>
      <w:r>
        <w:t xml:space="preserve">The horizontal distance a smoothbore stream travels, modeled as ideal projectile motion (no air resistance), is:</w:t>
      </w:r>
    </w:p>
    <w:p>
      <w:r>
        <w:t xml:space="preserve">$$R = \frac{v^2 \sin(2\theta)}{g}$$</w:t>
      </w:r>
    </w:p>
    <w:p>
      <w:r>
        <w:t xml:space="preserve">where $R$ is the horizontal range (ft), $v$ is the stream's exit velocity (ft/s) leaving the nozzle, $\theta$ is the monitor's elevation angle, and $g$ is the acceleration of gravity, </w:t>
      </w:r>
      <w:r>
        <w:rPr>
          <w:b/>
          <w:bCs/>
        </w:rPr>
        <w:t xml:space="preserve">32.2 ft/s²</w:t>
      </w:r>
      <w:r>
        <w:t xml:space="preserve"> (the standard US-customary value used throughout this case; see [S5] for the formula's textbook derivation) [S5].</w:t>
      </w:r>
    </w:p>
    <w:p>
      <w:r>
        <w:rPr>
          <w:b/>
          <w:bCs/>
        </w:rPr>
        <w:t xml:space="preserve">Deriving the exit velocity $v$.</w:t>
      </w:r>
      <w:r>
        <w:t xml:space="preserve"> The nozzle's rated discharge (Appendix B) is a volume flow rate; the nozzle's tip is a fixed circular opening. The exit velocity is the flow rate divided by the tip's cross-sectional area (a continuity-equation argument, shown in full in your D1 work):</w:t>
      </w:r>
    </w:p>
    <w:p>
      <w:r>
        <w:t xml:space="preserve">$$v = \frac{Q}{A}, \qquad A = \pi\left(\frac{d}{2}\right)^2$$</w:t>
      </w:r>
    </w:p>
    <w:p>
      <w:r>
        <w:t xml:space="preserve">with $Q$ converted to cubic feet per second and $A$ to square feet. Carried out with the tip diameter and rated discharge from Appendix B, this gives:</w:t>
      </w:r>
    </w:p>
    <w:p>
      <w:r>
        <w:t xml:space="preserve">$$v \approx 108\text{ ft/s} \quad \text{(derived — see D1 for the full worked conversion; not itself a directly published figure)}$$</w:t>
      </w:r>
    </w:p>
    <w:p>
      <w:r>
        <w:rPr>
          <w:b/>
          <w:bCs/>
        </w:rPr>
        <w:t xml:space="preserve">Solving for the angle.</w:t>
      </w:r>
      <w:r>
        <w:t xml:space="preserve"> With $R$ fixed by Appendix A and $v$ fixed above, the range equation becomes a trigonometric equation in the single unknown $\theta$:</w:t>
      </w:r>
    </w:p>
    <w:p>
      <w:r>
        <w:t xml:space="preserve">$$\sin(2\theta) = \frac{Rg}{v^2}$$</w:t>
      </w:r>
    </w:p>
    <w:p>
      <w:r>
        <w:t xml:space="preserve">This is the equation Challenge D2 asks you to solve over the interval $0° &lt; \theta &lt; 90°$. Because $\sin$ is positive on both $(0°, 90°)$ and $(90°, 180°)$ for the doubled angle $2\theta$, this equation generically has </w:t>
      </w:r>
      <w:r>
        <w:rPr>
          <w:b/>
          <w:bCs/>
        </w:rPr>
        <w:t xml:space="preserve">two</w:t>
      </w:r>
      <w:r>
        <w:t xml:space="preserve"> solutions in that interval, and they are always complementary ($\theta_{\text{low}} + \theta_{\text{high}} = 90°$) — that complementary relationship is itself a consequence of a trigonometric identity, which is exactly what Challenge D1 asks you to verify using the components you compute for each arc.</w:t>
      </w:r>
    </w:p>
    <w:p>
      <w:r>
        <w:rPr>
          <w:b/>
          <w:bCs/>
        </w:rPr>
        <w:t xml:space="preserve">The height of a trajectory at a given distance.</w:t>
      </w:r>
      <w:r>
        <w:t xml:space="preserve"> Challenge D3 also asks you to check each arc's height at the parapet remnant's location (Appendix A), not just at its highest point. The same projectile-motion model that gives the range equation above also gives the stream's height $y$ at any horizontal distance $x$ from the monitor:</w:t>
      </w:r>
    </w:p>
    <w:p>
      <w:r>
        <w:t xml:space="preserve">$$y(x) = x\tan\theta - \frac{gx^2}{2v^2\cos^2\theta}$$</w:t>
      </w:r>
    </w:p>
    <w:p>
      <w:r>
        <w:t xml:space="preserve">Note that $y(R) = 0$ for either arc by construction (that is what "range" means) — this formula only tells you something about clearing an obstruction when that obstruction stands </w:t>
      </w:r>
      <w:r>
        <w:rPr>
          <w:b/>
          <w:bCs/>
        </w:rPr>
        <w:t xml:space="preserve">short of</w:t>
      </w:r>
      <w:r>
        <w:t xml:space="preserve"> the target distance, which is exactly why Appendix A places the parapet remnant 25 ft short of the 225 ft target rather than at the target itself.</w:t>
      </w:r>
    </w:p>
    <w:p>
      <w:pPr>
        <w:pStyle w:val="Heading2"/>
        <w:spacing w:after="120" w:before="240"/>
      </w:pPr>
      <w:r>
        <w:t xml:space="preserve">Appendix D: What You're Solving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Symbol</w:t>
            </w:r>
          </w:p>
        </w:tc>
        <w:tc>
          <w:tcPr>
            <w:tcW w:type="dxa" w:w="3000"/>
            <w:shd w:fill="DDDDDD" w:val="clear"/>
          </w:tcPr>
          <w:p>
            <w:r>
              <w:t xml:space="preserve">Value</w:t>
            </w:r>
          </w:p>
        </w:tc>
      </w:tr>
      <w:tr>
        <w:tc>
          <w:tcPr>
            <w:tcW w:type="dxa" w:w="3000"/>
          </w:tcPr>
          <w:p>
            <w:r>
              <w:t xml:space="preserve">Mandated target distance</w:t>
            </w:r>
          </w:p>
        </w:tc>
        <w:tc>
          <w:tcPr>
            <w:tcW w:type="dxa" w:w="3000"/>
          </w:tcPr>
          <w:p>
            <w:r>
              <w:t xml:space="preserve">$R$</w:t>
            </w:r>
          </w:p>
        </w:tc>
        <w:tc>
          <w:tcPr>
            <w:tcW w:type="dxa" w:w="3000"/>
          </w:tcPr>
          <w:p>
            <w:r>
              <w:t xml:space="preserve">225 ft (from Appendix A)</w:t>
            </w:r>
          </w:p>
        </w:tc>
      </w:tr>
      <w:tr>
        <w:tc>
          <w:tcPr>
            <w:tcW w:type="dxa" w:w="3000"/>
          </w:tcPr>
          <w:p>
            <w:r>
              <w:t xml:space="preserve">Nozzle exit velocity</w:t>
            </w:r>
          </w:p>
        </w:tc>
        <w:tc>
          <w:tcPr>
            <w:tcW w:type="dxa" w:w="3000"/>
          </w:tcPr>
          <w:p>
            <w:r>
              <w:t xml:space="preserve">$v$</w:t>
            </w:r>
          </w:p>
        </w:tc>
        <w:tc>
          <w:tcPr>
            <w:tcW w:type="dxa" w:w="3000"/>
          </w:tcPr>
          <w:p>
            <w:r>
              <w:t xml:space="preserve">108 ft/s (derived, from Appendix C)</w:t>
            </w:r>
          </w:p>
        </w:tc>
      </w:tr>
      <w:tr>
        <w:tc>
          <w:tcPr>
            <w:tcW w:type="dxa" w:w="3000"/>
          </w:tcPr>
          <w:p>
            <w:r>
              <w:t xml:space="preserve">Acceleration of gravity</w:t>
            </w:r>
          </w:p>
        </w:tc>
        <w:tc>
          <w:tcPr>
            <w:tcW w:type="dxa" w:w="3000"/>
          </w:tcPr>
          <w:p>
            <w:r>
              <w:t xml:space="preserve">$g$</w:t>
            </w:r>
          </w:p>
        </w:tc>
        <w:tc>
          <w:tcPr>
            <w:tcW w:type="dxa" w:w="3000"/>
          </w:tcPr>
          <w:p>
            <w:r>
              <w:t xml:space="preserve">32.2 ft/s² (from Appendix C) [S5]</w:t>
            </w:r>
          </w:p>
        </w:tc>
      </w:tr>
      <w:tr>
        <w:tc>
          <w:tcPr>
            <w:tcW w:type="dxa" w:w="3000"/>
          </w:tcPr>
          <w:p>
            <w:r>
              <w:t xml:space="preserve">Rated discharge</w:t>
            </w:r>
          </w:p>
        </w:tc>
        <w:tc>
          <w:tcPr>
            <w:tcW w:type="dxa" w:w="3000"/>
          </w:tcPr>
          <w:p>
            <w:r>
              <w:t xml:space="preserve">$Q$</w:t>
            </w:r>
          </w:p>
        </w:tc>
        <w:tc>
          <w:tcPr>
            <w:tcW w:type="dxa" w:w="3000"/>
          </w:tcPr>
          <w:p>
            <w:r>
              <w:t xml:space="preserve">500 GPM (from Appendix B) [S6]</w:t>
            </w:r>
          </w:p>
        </w:tc>
      </w:tr>
      <w:tr>
        <w:tc>
          <w:tcPr>
            <w:tcW w:type="dxa" w:w="3000"/>
          </w:tcPr>
          <w:p>
            <w:r>
              <w:t xml:space="preserve">Parapet remnant height</w:t>
            </w:r>
          </w:p>
        </w:tc>
        <w:tc>
          <w:tcPr>
            <w:tcW w:type="dxa" w:w="3000"/>
          </w:tcPr>
          <w:p>
            <w:r>
              <w:t xml:space="preserve">—</w:t>
            </w:r>
          </w:p>
        </w:tc>
        <w:tc>
          <w:tcPr>
            <w:tcW w:type="dxa" w:w="3000"/>
          </w:tcPr>
          <w:p>
            <w:r>
              <w:t xml:space="preserve">12 ft (MA3, from Appendix A)</w:t>
            </w:r>
          </w:p>
        </w:tc>
      </w:tr>
      <w:tr>
        <w:tc>
          <w:tcPr>
            <w:tcW w:type="dxa" w:w="3000"/>
          </w:tcPr>
          <w:p>
            <w:r>
              <w:t xml:space="preserve">Parapet remnant's horizontal distance from the monitor</w:t>
            </w:r>
          </w:p>
        </w:tc>
        <w:tc>
          <w:tcPr>
            <w:tcW w:type="dxa" w:w="3000"/>
          </w:tcPr>
          <w:p>
            <w:r>
              <w:t xml:space="preserve">$x$</w:t>
            </w:r>
          </w:p>
        </w:tc>
        <w:tc>
          <w:tcPr>
            <w:tcW w:type="dxa" w:w="3000"/>
          </w:tcPr>
          <w:p>
            <w:r>
              <w:t xml:space="preserve">200 ft (MA3, from Appendix A)</w:t>
            </w:r>
          </w:p>
        </w:tc>
      </w:tr>
    </w:tbl>
    <w:p/>
    <w:p>
      <w:r>
        <w:t xml:space="preserve">Use these four values with the range equation in Appendix C to complete Challenges D1–D4.</w:t>
      </w:r>
    </w:p>
    <w:p>
      <w:pPr>
        <w:pStyle w:val="Heading2"/>
        <w:spacing w:after="120" w:before="240"/>
      </w:pPr>
      <w:r>
        <w:t xml:space="preserve">Appendix E: The Real Doctrine and the Real Formula</w:t>
      </w:r>
    </w:p>
    <w:p>
      <w:r>
        <w:t xml:space="preserve">Two real, published facts sit behind this case's dilemma.</w:t>
      </w:r>
    </w:p>
    <w:p>
      <w:r>
        <w:rPr>
          <w:b/>
          <w:bCs/>
        </w:rPr>
        <w:t xml:space="preserve">The collapse-zone standoff rule is real, taught fireground doctrine.</w:t>
      </w:r>
      <w:r>
        <w:t xml:space="preserve"> Fire service safety training establishes a minimum standoff distance from a structure with collapse potential, set as a multiple of the building's height, and instructs incident commanders to mark that perimeter and keep personnel and apparatus outside it during defensive operations [S1], [S2]. This case treats that standoff distance as Danny's one hard, non-negotiable constraint — he cannot move the monitor closer to improve the Low Arc's odds, no matter how much better its flow efficiency is.</w:t>
      </w:r>
    </w:p>
    <w:p>
      <w:r>
        <w:rPr>
          <w:b/>
          <w:bCs/>
        </w:rPr>
        <w:t xml:space="preserve">The smoothbore discharge formula is real, standard fire-hydraulics content</w:t>
      </w:r>
      <w:r>
        <w:t xml:space="preserve">, taught to every apparatus operator: $GPM = c \cdot d^2 \sqrt{NP}$, where $d$ is the tip diameter in inches, $NP$ is the nozzle pressure in psi, and $c$ is a published discharge coefficient close to 29.7 — the "Freeman Formula," $29.71d^2\sqrt{NP}$ (several fire-service organizations publish slightly different values of $c$; see Appendix G) [S3]. The standard operating pressure for a smoothbore master-stream nozzle — 80 psi — is also a real, widely-taught fireground figure [S3], and a published table of smoothbore tip sizes and their rated GPM at that pressure confirms the 1-3/8 in tip this case uses [S4]. The specific monitor in Appendix B is a real, currently-sold high-elevation portable monitor [S6] — high-elevation monitors are marketed specifically for situations like this one, where a target must be reached from beyond an obstruction.</w:t>
      </w:r>
    </w:p>
    <w:p>
      <w:r>
        <w:t xml:space="preserve">Neither of these real facts, on its own, produces the range equation's two-solution structure — that structure comes from ordinary projectile motion, the same idealized model taught in any introductory physics course, including the fact that two complementary launch angles produce the identical range [S5]. This case combines three real fire-service facts (a real safety rule, a real discharge formula, a real monitor's real elevation range) with that standard physics model to build a scenario Danny never actually filed an incident report for — Ridgeview Fire Department is fictional (SEE APPENDIX F).</w:t>
      </w:r>
    </w:p>
    <w:p>
      <w:pPr>
        <w:pStyle w:val="Heading2"/>
        <w:spacing w:after="120" w:before="240"/>
      </w:pPr>
      <w:r>
        <w:t xml:space="preserve">Appendix F: Modeling Assumptions</w:t>
      </w:r>
    </w:p>
    <w:p>
      <w:pPr>
        <w:ind w:left="480"/>
      </w:pPr>
      <w:r>
        <w:t xml:space="preserve">These figures are </w:t>
      </w:r>
      <w:r>
        <w:rPr>
          <w:b/>
          <w:bCs/>
        </w:rPr>
        <w:t xml:space="preserve">not sourced</w:t>
      </w:r>
      <w:r>
        <w:t xml:space="preserve"> in the way Appendix E is. They are stated scenario assumptions chosen by the case author, built from real public doctrine where possible.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 method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fictional structure's height, used with the real 1.5× rule [S1] to set the mandated stand-off distance $R$</w:t>
            </w:r>
          </w:p>
        </w:tc>
        <w:tc>
          <w:tcPr>
            <w:tcW w:type="dxa" w:w="1800"/>
          </w:tcPr>
          <w:p>
            <w:r>
              <w:t xml:space="preserve">150 ft (a plausible mixed-use commercial mid-/high-rise), giving $R = 225$ ft</w:t>
            </w:r>
          </w:p>
        </w:tc>
        <w:tc>
          <w:tcPr>
            <w:tcW w:type="dxa" w:w="1800"/>
          </w:tcPr>
          <w:p>
            <w:r>
              <w:t xml:space="preserve">No real address exists to cite — Ridgeview Fire Department and this incident are a scenario construction. 150 ft is an ordinary height for the kind of mixed-use commercial structure that gets a defensive, collapse-zone response; the </w:t>
            </w:r>
            <w:r>
              <w:rPr>
                <w:i/>
                <w:iCs/>
              </w:rPr>
              <w:t xml:space="preserve">rule</w:t>
            </w:r>
            <w:r>
              <w:t xml:space="preserve"> applied to that height (1.5×) is real and cited [S1].</w:t>
            </w:r>
          </w:p>
        </w:tc>
        <w:tc>
          <w:tcPr>
            <w:tcW w:type="dxa" w:w="1800"/>
          </w:tcPr>
          <w:p>
            <w:r>
              <w:t xml:space="preserve">Both solved elevation angles (Appendix C/D2) depend directly on $R$ — a different assumed height changes both solved angles. The answer is sensitive to this value; a Hero who assumes a different height should expect different angle solutions, though still a complementary pair within the monitor's real 10°-86° range [S6].</w:t>
            </w:r>
          </w:p>
        </w:tc>
      </w:tr>
      <w:tr>
        <w:tc>
          <w:tcPr>
            <w:tcW w:type="dxa" w:w="1800"/>
          </w:tcPr>
          <w:p>
            <w:r>
              <w:t xml:space="preserve">MA2</w:t>
            </w:r>
          </w:p>
        </w:tc>
        <w:tc>
          <w:tcPr>
            <w:tcW w:type="dxa" w:w="1800"/>
          </w:tcPr>
          <w:p>
            <w:r>
              <w:t xml:space="preserve">The wind-drift loss rate applied to each arc's rated flow, per second of time of flight</w:t>
            </w:r>
          </w:p>
        </w:tc>
        <w:tc>
          <w:tcPr>
            <w:tcW w:type="dxa" w:w="1800"/>
          </w:tcPr>
          <w:p>
            <w:r>
              <w:t xml:space="preserve">2% of rated flow lost per second of flight</w:t>
            </w:r>
          </w:p>
        </w:tc>
        <w:tc>
          <w:tcPr>
            <w:tcW w:type="dxa" w:w="1800"/>
          </w:tcPr>
          <w:p>
            <w:r>
              <w:t xml:space="preserve">Real fire-service doctrine holds, qualitatively, that a stream spends more time exposed to crosswind the longer it is airborne, and that this reduces how much of its rated flow actually lands on target — but no public source publishes a specific numeric loss-rate-per-second for a master stream. This case states one illustrative rate rather than presenting an invented number as if it were measured.</w:t>
            </w:r>
          </w:p>
        </w:tc>
        <w:tc>
          <w:tcPr>
            <w:tcW w:type="dxa" w:w="1800"/>
          </w:tcPr>
          <w:p>
            <w:r>
              <w:t xml:space="preserve">This is the case's single most load-bearing assumption — the answer to D4's margin is sensitive to this value. A Hero who argues for a different rate, and shows how it changes the effective-flow comparison, is doing exactly the T4 work this case is built to require.</w:t>
            </w:r>
          </w:p>
        </w:tc>
      </w:tr>
      <w:tr>
        <w:tc>
          <w:tcPr>
            <w:tcW w:type="dxa" w:w="1800"/>
          </w:tcPr>
          <w:p>
            <w:r>
              <w:t xml:space="preserve">MA3</w:t>
            </w:r>
          </w:p>
        </w:tc>
        <w:tc>
          <w:tcPr>
            <w:tcW w:type="dxa" w:w="1800"/>
          </w:tcPr>
          <w:p>
            <w:r>
              <w:t xml:space="preserve">The collapsed parapet remnant's height and its horizontal distance from the monitor</w:t>
            </w:r>
          </w:p>
        </w:tc>
        <w:tc>
          <w:tcPr>
            <w:tcW w:type="dxa" w:w="1800"/>
          </w:tcPr>
          <w:p>
            <w:r>
              <w:t xml:space="preserve">12 ft tall, standing at a fixed distance of 200 ft from the monitor</w:t>
            </w:r>
          </w:p>
        </w:tc>
        <w:tc>
          <w:tcPr>
            <w:tcW w:type="dxa" w:w="1800"/>
          </w:tcPr>
          <w:p>
            <w:r>
              <w:t xml:space="preserve">No real address or remnant exists to cite — like the structure height (MA1), this is a stated scenario figure. 12 ft is a plausible height for a </w:t>
            </w:r>
            <w:r>
              <w:rPr>
                <w:i/>
                <w:iCs/>
              </w:rPr>
              <w:t xml:space="preserve">partial</w:t>
            </w:r>
            <w:r>
              <w:t xml:space="preserve"> parapet collapse (a full parapet on a structure this size would be taller; a full collapse would leave no standing remnant at all — a partial collapse leaving a lower remnant is the middle, and most common, case). It stands short of the 225 ft target rather than at the target, because a parapet sits on the building's face and the target (the fire seat) is beyond it. </w:t>
            </w:r>
            <w:r>
              <w:rPr>
                <w:b/>
                <w:bCs/>
              </w:rPr>
              <w:t xml:space="preserve">This 200 ft distance is a fixed physical fact of this specific incident, independent of MA1</w:t>
            </w:r>
            <w:r>
              <w:t xml:space="preserve"> — a hypothetical taller or shorter structure (the kind of "what if" a discussion might explore) does not relocate a real, already-collapsed piece of debris; it only changes the mandated stand-off distance $R$ new water has to travel.</w:t>
            </w:r>
          </w:p>
        </w:tc>
        <w:tc>
          <w:tcPr>
            <w:tcW w:type="dxa" w:w="1800"/>
          </w:tcPr>
          <w:p>
            <w:r>
              <w:t xml:space="preserve">The case's clearance reasoning (Background, Appendix C's trajectory-height formula, and Challenge D3) depends on this remnant standing somewhere between the monitor and the target, not exactly at the target itself — a trajectory returns to ground level exactly at its own range by definition, so an obstruction placed exactly at $x=R$ would not meaningfully distinguish the two arcs' clearance the way one placed short of the target does.</w:t>
            </w:r>
          </w:p>
        </w:tc>
      </w:tr>
    </w:tbl>
    <w:p/>
    <w:p>
      <w:pPr>
        <w:pStyle w:val="Heading2"/>
        <w:spacing w:after="120" w:before="240"/>
      </w:pPr>
      <w:r>
        <w:t xml:space="preserve">Appendix G: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Collapse zone standoff distance is set as a multiple of building height</w:t>
            </w:r>
          </w:p>
        </w:tc>
        <w:tc>
          <w:tcPr>
            <w:tcW w:type="dxa" w:w="1500"/>
          </w:tcPr>
          <w:p>
            <w:r>
              <w:t xml:space="preserve">1.5 × building height</w:t>
            </w:r>
          </w:p>
        </w:tc>
        <w:tc>
          <w:tcPr>
            <w:tcW w:type="dxa" w:w="1500"/>
          </w:tcPr>
          <w:p>
            <w:r>
              <w:t xml:space="preserve">Christopher J. Naum, "Establishing Collapse Zones At Building Fires," </w:t>
            </w:r>
            <w:r>
              <w:rPr>
                <w:i/>
                <w:iCs/>
              </w:rPr>
              <w:t xml:space="preserve">Firehouse</w:t>
            </w:r>
            <w:r>
              <w:t xml:space="preserve"> (</w:t>
            </w:r>
            <w:hyperlink w:history="1" r:id="rIdzs4loavu9cnbmg7osn8yt">
              <w:r>
                <w:rPr>
                  <w:rStyle w:val="Hyperlink"/>
                </w:rPr>
                <w:t xml:space="preserve">link</w:t>
              </w:r>
            </w:hyperlink>
            <w:r>
              <w:t xml:space="preserve">)</w:t>
            </w:r>
          </w:p>
        </w:tc>
        <w:tc>
          <w:tcPr>
            <w:tcW w:type="dxa" w:w="1500"/>
          </w:tcPr>
          <w:p>
            <w:r>
              <w:t xml:space="preserve">Published 2015-04-01; accessed 2026-08-19</w:t>
            </w:r>
          </w:p>
        </w:tc>
        <w:tc>
          <w:tcPr>
            <w:tcW w:type="dxa" w:w="1500"/>
          </w:tcPr>
          <w:p>
            <w:r>
              <w:t xml:space="preserve">HIGH</w:t>
            </w:r>
          </w:p>
        </w:tc>
      </w:tr>
      <w:tr>
        <w:tc>
          <w:tcPr>
            <w:tcW w:type="dxa" w:w="1500"/>
          </w:tcPr>
          <w:p>
            <w:r>
              <w:t xml:space="preserve">S2</w:t>
            </w:r>
          </w:p>
        </w:tc>
        <w:tc>
          <w:tcPr>
            <w:tcW w:type="dxa" w:w="1500"/>
          </w:tcPr>
          <w:p>
            <w:r>
              <w:t xml:space="preserve">Incident commanders should establish and visually mark a collapse zone during defensive structure-fire operations</w:t>
            </w:r>
          </w:p>
        </w:tc>
        <w:tc>
          <w:tcPr>
            <w:tcW w:type="dxa" w:w="1500"/>
          </w:tcPr>
          <w:p>
            <w:r>
              <w:t xml:space="preserve">Qualitative safety practice (see note)</w:t>
            </w:r>
          </w:p>
        </w:tc>
        <w:tc>
          <w:tcPr>
            <w:tcW w:type="dxa" w:w="1500"/>
          </w:tcPr>
          <w:p>
            <w:r>
              <w:t xml:space="preserve">National Institute for Occupational Safety and Health (NIOSH), "Preventing Deaths &amp; Injuries to Firefighters by Establishing Collapse Zones at Structure Fires," Workplace Solutions Publication No. 2014-120 (</w:t>
            </w:r>
            <w:hyperlink w:history="1" r:id="rIdemllegbbdvzu4zkxxpv_y">
              <w:r>
                <w:rPr>
                  <w:rStyle w:val="Hyperlink"/>
                </w:rPr>
                <w:t xml:space="preserve">cdc.gov</w:t>
              </w:r>
            </w:hyperlink>
            <w:r>
              <w:t xml:space="preserve">)</w:t>
            </w:r>
          </w:p>
        </w:tc>
        <w:tc>
          <w:tcPr>
            <w:tcW w:type="dxa" w:w="1500"/>
          </w:tcPr>
          <w:p>
            <w:r>
              <w:t xml:space="preserve">Published 2014; accessed 2026-08-19</w:t>
            </w:r>
          </w:p>
        </w:tc>
        <w:tc>
          <w:tcPr>
            <w:tcW w:type="dxa" w:w="1500"/>
          </w:tcPr>
          <w:p>
            <w:r>
              <w:t xml:space="preserve">MEDIUM</w:t>
            </w:r>
          </w:p>
        </w:tc>
      </w:tr>
      <w:tr>
        <w:tc>
          <w:tcPr>
            <w:tcW w:type="dxa" w:w="1500"/>
          </w:tcPr>
          <w:p>
            <w:r>
              <w:t xml:space="preserve">S3</w:t>
            </w:r>
          </w:p>
        </w:tc>
        <w:tc>
          <w:tcPr>
            <w:tcW w:type="dxa" w:w="1500"/>
          </w:tcPr>
          <w:p>
            <w:r>
              <w:t xml:space="preserve">Smoothbore discharge formula ($GPM = 29.71d^2\sqrt{NP}$, the Freeman Formula) and the standard 80 psi operating pressure for smoothbore master-stream nozzles</w:t>
            </w:r>
          </w:p>
        </w:tc>
        <w:tc>
          <w:tcPr>
            <w:tcW w:type="dxa" w:w="1500"/>
          </w:tcPr>
          <w:p>
            <w:r>
              <w:t xml:space="preserve">$c \approx 29.71$; standard $NP = 80$ psi</w:t>
            </w:r>
          </w:p>
        </w:tc>
        <w:tc>
          <w:tcPr>
            <w:tcW w:type="dxa" w:w="1500"/>
          </w:tcPr>
          <w:p>
            <w:r>
              <w:t xml:space="preserve">Joseph R. Polenzani, "Deck Guns: Know Your Flow," </w:t>
            </w:r>
            <w:r>
              <w:rPr>
                <w:i/>
                <w:iCs/>
              </w:rPr>
              <w:t xml:space="preserve">Fire Engineering</w:t>
            </w:r>
            <w:r>
              <w:t xml:space="preserve"> (</w:t>
            </w:r>
            <w:hyperlink w:history="1" r:id="rId8ftnuq6tnxjcsxsoigx2v">
              <w:r>
                <w:rPr>
                  <w:rStyle w:val="Hyperlink"/>
                </w:rPr>
                <w:t xml:space="preserve">link</w:t>
              </w:r>
            </w:hyperlink>
            <w:r>
              <w:t xml:space="preserve">)</w:t>
            </w:r>
          </w:p>
        </w:tc>
        <w:tc>
          <w:tcPr>
            <w:tcW w:type="dxa" w:w="1500"/>
          </w:tcPr>
          <w:p>
            <w:r>
              <w:t xml:space="preserve">Published 2019-10-01; accessed 2026-08-19</w:t>
            </w:r>
          </w:p>
        </w:tc>
        <w:tc>
          <w:tcPr>
            <w:tcW w:type="dxa" w:w="1500"/>
          </w:tcPr>
          <w:p>
            <w:r>
              <w:t xml:space="preserve">HIGH</w:t>
            </w:r>
          </w:p>
        </w:tc>
      </w:tr>
      <w:tr>
        <w:tc>
          <w:tcPr>
            <w:tcW w:type="dxa" w:w="1500"/>
          </w:tcPr>
          <w:p>
            <w:r>
              <w:t xml:space="preserve">S4</w:t>
            </w:r>
          </w:p>
        </w:tc>
        <w:tc>
          <w:tcPr>
            <w:tcW w:type="dxa" w:w="1500"/>
          </w:tcPr>
          <w:p>
            <w:r>
              <w:t xml:space="preserve">Published rated discharge for a 1-3/8 in smoothbore master-stream tip at 80 psi</w:t>
            </w:r>
          </w:p>
        </w:tc>
        <w:tc>
          <w:tcPr>
            <w:tcW w:type="dxa" w:w="1500"/>
          </w:tcPr>
          <w:p>
            <w:r>
              <w:t xml:space="preserve">502 GPM</w:t>
            </w:r>
          </w:p>
        </w:tc>
        <w:tc>
          <w:tcPr>
            <w:tcW w:type="dxa" w:w="1500"/>
          </w:tcPr>
          <w:p>
            <w:r>
              <w:t xml:space="preserve">Paul Shapiro, "Fixed Master Stream Operations Using Smooth Bore Tips," </w:t>
            </w:r>
            <w:r>
              <w:rPr>
                <w:i/>
                <w:iCs/>
              </w:rPr>
              <w:t xml:space="preserve">Fire Engineering</w:t>
            </w:r>
            <w:r>
              <w:t xml:space="preserve"> (</w:t>
            </w:r>
            <w:hyperlink w:history="1" r:id="rId2dbpelxsqh7sxvp27yxow">
              <w:r>
                <w:rPr>
                  <w:rStyle w:val="Hyperlink"/>
                </w:rPr>
                <w:t xml:space="preserve">link</w:t>
              </w:r>
            </w:hyperlink>
            <w:r>
              <w:t xml:space="preserve">)</w:t>
            </w:r>
          </w:p>
        </w:tc>
        <w:tc>
          <w:tcPr>
            <w:tcW w:type="dxa" w:w="1500"/>
          </w:tcPr>
          <w:p>
            <w:r>
              <w:t xml:space="preserve">Published 2011-06-24; accessed 2026-08-19</w:t>
            </w:r>
          </w:p>
        </w:tc>
        <w:tc>
          <w:tcPr>
            <w:tcW w:type="dxa" w:w="1500"/>
          </w:tcPr>
          <w:p>
            <w:r>
              <w:t xml:space="preserve">HIGH</w:t>
            </w:r>
          </w:p>
        </w:tc>
      </w:tr>
      <w:tr>
        <w:tc>
          <w:tcPr>
            <w:tcW w:type="dxa" w:w="1500"/>
          </w:tcPr>
          <w:p>
            <w:r>
              <w:t xml:space="preserve">S5</w:t>
            </w:r>
          </w:p>
        </w:tc>
        <w:tc>
          <w:tcPr>
            <w:tcW w:type="dxa" w:w="1500"/>
          </w:tcPr>
          <w:p>
            <w:r>
              <w:t xml:space="preserve">Idealized (no-drag) projectile range formula, $R = v_0^2\sin(2\theta_0)/g$, and the fact that two complementary launch angles ($\theta$ and $90°-\theta$) produce the identical range</w:t>
            </w:r>
          </w:p>
        </w:tc>
        <w:tc>
          <w:tcPr>
            <w:tcW w:type="dxa" w:w="1500"/>
          </w:tcPr>
          <w:p>
            <w:r>
              <w:t xml:space="preserve">Equation 4.26, and worked example (15°/75° pair)</w:t>
            </w:r>
          </w:p>
        </w:tc>
        <w:tc>
          <w:tcPr>
            <w:tcW w:type="dxa" w:w="1500"/>
          </w:tcPr>
          <w:p>
            <w:r>
              <w:t xml:space="preserve">OpenStax, </w:t>
            </w:r>
            <w:r>
              <w:rPr>
                <w:i/>
                <w:iCs/>
              </w:rPr>
              <w:t xml:space="preserve">University Physics Volume 1</w:t>
            </w:r>
            <w:r>
              <w:t xml:space="preserve">, Section 4.3 "Motion in Two and Three Dimensions" — Projectile Motion (</w:t>
            </w:r>
            <w:hyperlink w:history="1" r:id="rIdl5emrs8c-05rztrps8oqz">
              <w:r>
                <w:rPr>
                  <w:rStyle w:val="Hyperlink"/>
                </w:rPr>
                <w:t xml:space="preserve">link</w:t>
              </w:r>
            </w:hyperlink>
            <w:r>
              <w:t xml:space="preserve">)</w:t>
            </w:r>
          </w:p>
        </w:tc>
        <w:tc>
          <w:tcPr>
            <w:tcW w:type="dxa" w:w="1500"/>
          </w:tcPr>
          <w:p>
            <w:r>
              <w:t xml:space="preserve">Accessed 2026-08-19</w:t>
            </w:r>
          </w:p>
        </w:tc>
        <w:tc>
          <w:tcPr>
            <w:tcW w:type="dxa" w:w="1500"/>
          </w:tcPr>
          <w:p>
            <w:r>
              <w:t xml:space="preserve">HIGH</w:t>
            </w:r>
          </w:p>
        </w:tc>
      </w:tr>
      <w:tr>
        <w:tc>
          <w:tcPr>
            <w:tcW w:type="dxa" w:w="1500"/>
          </w:tcPr>
          <w:p>
            <w:r>
              <w:t xml:space="preserve">S6</w:t>
            </w:r>
          </w:p>
        </w:tc>
        <w:tc>
          <w:tcPr>
            <w:tcW w:type="dxa" w:w="1500"/>
          </w:tcPr>
          <w:p>
            <w:r>
              <w:t xml:space="preserve">Elevation range and maximum rated flow of a real, currently-sold high-elevation portable fire monitor</w:t>
            </w:r>
          </w:p>
        </w:tc>
        <w:tc>
          <w:tcPr>
            <w:tcW w:type="dxa" w:w="1500"/>
          </w:tcPr>
          <w:p>
            <w:r>
              <w:t xml:space="preserve">10°-86° elevation; 500 GPM max flow</w:t>
            </w:r>
          </w:p>
        </w:tc>
        <w:tc>
          <w:tcPr>
            <w:tcW w:type="dxa" w:w="1500"/>
          </w:tcPr>
          <w:p>
            <w:r>
              <w:t xml:space="preserve">Task Force Tips, "BlitzFire High Elevation Oscillating Portable Monitor," model XX232A-HE, product page (</w:t>
            </w:r>
            <w:hyperlink w:history="1" r:id="rIddd-06gwio5elalofr0akh">
              <w:r>
                <w:rPr>
                  <w:rStyle w:val="Hyperlink"/>
                </w:rPr>
                <w:t xml:space="preserve">link</w:t>
              </w:r>
            </w:hyperlink>
            <w:r>
              <w:t xml:space="preserve">)</w:t>
            </w:r>
          </w:p>
        </w:tc>
        <w:tc>
          <w:tcPr>
            <w:tcW w:type="dxa" w:w="1500"/>
          </w:tcPr>
          <w:p>
            <w:r>
              <w:t xml:space="preserve">Accessed 2026-08-19</w:t>
            </w:r>
          </w:p>
        </w:tc>
        <w:tc>
          <w:tcPr>
            <w:tcW w:type="dxa" w:w="1500"/>
          </w:tcPr>
          <w:p>
            <w:r>
              <w:t xml:space="preserve">HIGH</w:t>
            </w:r>
          </w:p>
        </w:tc>
      </w:tr>
    </w:tbl>
    <w:p/>
    <w:p>
      <w:r>
        <w:rPr>
          <w:i/>
          <w:iCs/>
        </w:rPr>
        <w:t xml:space="preserve">Note on S2: the general practice of establishing and marking a collapse zone is well established and cross-referenced by multiple independent secondary sources (including S1 and the trade-press coverage found during research), but the NIOSH document itself returned an HTTP 403 to this case's automated fetch tool, so its exact wording could not be directly quoted — only its existence, title, and topic are confirmed. The specific "1.5× height" figure this case actually uses is cited to S1, not S2.</w:t>
      </w:r>
    </w:p>
    <w:p>
      <w:pPr>
        <w:pStyle w:val="Heading3"/>
        <w:spacing w:after="120" w:before="240"/>
      </w:pPr>
      <w:r>
        <w:t xml:space="preserve">Appendix H — "How To…" Math Questions To Research</w:t>
      </w:r>
    </w:p>
    <w:p>
      <w:r>
        <w:rPr>
          <w:b/>
          <w:bCs/>
        </w:rPr>
        <w:t xml:space="preserve">Vocabulary terms</w:t>
      </w:r>
    </w:p>
    <w:p>
      <w:pPr>
        <w:ind w:left="360"/>
      </w:pPr>
      <w:r>
        <w:t xml:space="preserve">- Pythagorean Identity</w:t>
      </w:r>
    </w:p>
    <w:p>
      <w:pPr>
        <w:ind w:left="360"/>
      </w:pPr>
      <w:r>
        <w:t xml:space="preserve">- Inverse Trigonometric Function</w:t>
      </w:r>
    </w:p>
    <w:p>
      <w:pPr>
        <w:ind w:left="360"/>
      </w:pPr>
      <w:r>
        <w:t xml:space="preserve">- Sine Function</w:t>
      </w:r>
    </w:p>
    <w:p>
      <w:pPr>
        <w:ind w:left="360"/>
      </w:pPr>
      <w:r>
        <w:t xml:space="preserve">- Cosine Function</w:t>
      </w:r>
    </w:p>
    <w:p>
      <w:pPr>
        <w:ind w:left="360"/>
      </w:pPr>
      <w:r>
        <w:t xml:space="preserve">- Reference Angle</w:t>
      </w:r>
    </w:p>
    <w:p>
      <w:pPr>
        <w:ind w:left="360"/>
      </w:pPr>
      <w:r>
        <w:t xml:space="preserve">- Radian</w:t>
      </w:r>
    </w:p>
    <w:p>
      <w:r>
        <w:rPr>
          <w:b/>
          <w:bCs/>
        </w:rPr>
        <w:t xml:space="preserve">"How to…" questions</w:t>
      </w:r>
    </w:p>
    <w:p>
      <w:pPr>
        <w:ind w:left="360"/>
      </w:pPr>
      <w:r>
        <w:t xml:space="preserve">- How to verify a trigonometric identity</w:t>
      </w:r>
    </w:p>
    <w:p>
      <w:pPr>
        <w:ind w:left="360"/>
      </w:pPr>
      <w:r>
        <w:t xml:space="preserve">- How to solve a trigonometric equation over a given interval</w:t>
      </w:r>
    </w:p>
    <w:p>
      <w:pPr>
        <w:ind w:left="360"/>
      </w:pPr>
      <w:r>
        <w:t xml:space="preserve">- How to evaluate an inverse trigonometric function</w:t>
      </w:r>
    </w:p>
    <w:p>
      <w:pPr>
        <w:ind w:left="360"/>
      </w:pPr>
      <w:r>
        <w:t xml:space="preserve">- How to convert between degrees and radians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4loavu9cnbmg7osn8yt" Type="http://schemas.openxmlformats.org/officeDocument/2006/relationships/hyperlink" Target="https://www.firehouse.com/operations-training/article/12054302/establishing-collapse-zones-at-building-fires" TargetMode="External"/><Relationship Id="rIdemllegbbdvzu4zkxxpv_y" Type="http://schemas.openxmlformats.org/officeDocument/2006/relationships/hyperlink" Target="https://www.cdc.gov/niosh/docs/wp-solutions/2014-120/default.html" TargetMode="External"/><Relationship Id="rId8ftnuq6tnxjcsxsoigx2v" Type="http://schemas.openxmlformats.org/officeDocument/2006/relationships/hyperlink" Target="https://www.fireengineering.com/firefighting-equipment/deck-guns-know-your-flow/" TargetMode="External"/><Relationship Id="rId2dbpelxsqh7sxvp27yxow" Type="http://schemas.openxmlformats.org/officeDocument/2006/relationships/hyperlink" Target="https://www.fireengineering.com/firefighting/shapiro-smooth-bore/" TargetMode="External"/><Relationship Id="rIdl5emrs8c-05rztrps8oqz" Type="http://schemas.openxmlformats.org/officeDocument/2006/relationships/hyperlink" Target="https://openstax.org/books/university-physics-volume-1/pages/4-3-projectile-motion" TargetMode="External"/><Relationship Id="rIddd-06gwio5elalofr0akh" Type="http://schemas.openxmlformats.org/officeDocument/2006/relationships/hyperlink" Target="https://tft.com/product/xx232a-h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2026-08-20T23:36:06.481Z</dcterms:created>
  <dcterms:modified xsi:type="dcterms:W3CDTF">2026-08-20T23:36:06.482Z</dcterms:modified>
</cp:coreProperties>
</file>

<file path=docProps/custom.xml><?xml version="1.0" encoding="utf-8"?>
<Properties xmlns="http://schemas.openxmlformats.org/officeDocument/2006/custom-properties" xmlns:vt="http://schemas.openxmlformats.org/officeDocument/2006/docPropsVTypes"/>
</file>