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Driving Age</w:t>
      </w:r>
    </w:p>
    <w:p>
      <w:pPr>
        <w:spacing w:after="240"/>
        <w:jc w:val="center"/>
      </w:pPr>
      <w:r>
        <w:rPr>
          <w:b/>
          <w:bCs/>
          <w:color w:val="CC0000"/>
        </w:rPr>
        <w:t xml:space="preserve">FACILITATOR-ONLY -- contains the balance, the twist, and the trap. Do not share with Heroes before the discussion.</w:t>
      </w:r>
    </w:p>
    <w:p>
      <w:pPr>
        <w:pStyle w:val="Heading2"/>
        <w:spacing w:after="120" w:before="240"/>
      </w:pPr>
      <w:r>
        <w:t xml:space="preserve">Facilitator-Only Sensitivity Note (SPEC §6)</w:t>
      </w:r>
    </w:p>
    <w:p>
      <w:pPr>
        <w:ind w:left="480"/>
      </w:pPr>
      <w:r>
        <w:t xml:space="preserve">The 1.70% margin is genuinely thin and load-bearing on MA1 (the 6,000 mi/year chauffeuring assumption). </w:t>
      </w:r>
      <w:r>
        <w:rPr>
          <w:rFonts w:ascii="Courier New" w:cs="Courier New" w:eastAsia="Courier New" w:hAnsi="Courier New"/>
        </w:rPr>
        <w:t xml:space="preserve">case-readiness</w:t>
      </w:r>
      <w:r>
        <w:t xml:space="preserve"> Tier 2 probe 5 (2026-08-20) confirmed this dial is genuinely unstable: a -50% flex holds Option A's win but pushes the margin to 103.4% (breaks the SPEC §2 20% cap), and a +50% flex both flips the winner to B and pushes the margin to 47.5% (also breaks the cap). Do not tell a room the margin is "close" without also being ready to show exactly how thin the assumption underneath it is — see </w:t>
      </w:r>
      <w:r>
        <w:rPr>
          <w:rFonts w:ascii="Courier New" w:cs="Courier New" w:eastAsia="Courier New" w:hAnsi="Courier New"/>
        </w:rPr>
        <w:t xml:space="preserve">case.json.sensitivity_disclosure[]</w:t>
      </w:r>
      <w:r>
        <w:t xml:space="preserve">.</w:t>
      </w:r>
    </w:p>
    <w:p>
      <w:pPr>
        <w:pStyle w:val="Heading2"/>
        <w:spacing w:after="120" w:before="240"/>
      </w:pPr>
      <w:r>
        <w:t xml:space="preserve">Case &amp; Standards</w:t>
      </w:r>
    </w:p>
    <w:p>
      <w:r>
        <w:t xml:space="preserve">Case: Driving Age  ·  Tier: T3 (MS-stretch / HS-entry)  ·  Studio: Adventure</w:t>
      </w:r>
    </w:p>
    <w:p>
      <w:r>
        <w:t xml:space="preserve">Standards touched on: Scatter Plot · How To Create A Scatter Plot Given A Set Of Data · Line Of Best Fit · How To Draw A Line Of Best Fit Given A Set Of Data · How To Write A Linear Equation Given A Graph Of A Line Of A Set Of Data · How To Write A Linear Equation Given A Set Of Data · Slope · How To Identify The Slope Of A Line Given A Set Of Data Or A Graph Of A Line Of A Set Of Data Or Its Linear Equation · Correlation · How To Identify Correlation Given A Scatter Plot Or Set Of Data · Line · Currency · Decimal · How To Add Decimal Numbers · How To Subtract Decimal Numbers · How To Multiply Decimal Numbers · Subtraction · How To Subtract Multi-Digit Numbers · Multiplication · How To Multiply Any Two Numbers · Addition · How To Add Multi-Digit Numbers · Unit · How To Convert An Amount From One Unit To Another Unit · Time · Bar Graph · How To Compare Two Or More Values</w:t>
      </w:r>
    </w:p>
    <w:p>
      <w:r>
        <w:t xml:space="preserve">This is a legacy-conversion case — all 28 claimed skills were already covered elsewhere in </w:t>
      </w:r>
      <w:r>
        <w:rPr>
          <w:rFonts w:ascii="Courier New" w:cs="Courier New" w:eastAsia="Courier New" w:hAnsi="Courier New"/>
        </w:rPr>
        <w:t xml:space="preserve">readmodel/standards_spine.json</w:t>
      </w:r>
      <w:r>
        <w:t xml:space="preserve"> before this conversion (</w:t>
      </w:r>
      <w:r>
        <w:rPr>
          <w:rFonts w:ascii="Courier New" w:cs="Courier New" w:eastAsia="Courier New" w:hAnsi="Courier New"/>
        </w:rPr>
        <w:t xml:space="preserve">new_coverage[]</w:t>
      </w:r>
      <w:r>
        <w:t xml:space="preserve"> is legitimately empty; see </w:t>
      </w:r>
      <w:r>
        <w:rPr>
          <w:rFonts w:ascii="Courier New" w:cs="Courier New" w:eastAsia="Courier New" w:hAnsi="Courier New"/>
        </w:rPr>
        <w:t xml:space="preserve">case.json.new_coverage_note</w:t>
      </w:r>
      <w:r>
        <w:t xml:space="preserve">).</w:t>
      </w:r>
    </w:p>
    <w:p>
      <w:pPr>
        <w:pStyle w:val="Heading2"/>
        <w:spacing w:after="120" w:before="240"/>
      </w:pPr>
      <w:r>
        <w:t xml:space="preserve">The Two Arguments and the Margin</w:t>
      </w:r>
    </w:p>
    <w:p>
      <w:pPr>
        <w:pStyle w:val="Heading3"/>
        <w:spacing w:after="120" w:before="240"/>
      </w:pPr>
      <w:r>
        <w:t xml:space="preserve">Argument for A (Vote AYE — raise the age to 18)</w:t>
      </w:r>
    </w:p>
    <w:p>
      <w:r>
        <w:t xml:space="preserve">Over the two years HB 3320 would delay licensure (current unsupervised-driving age 16, to the bill's 18), a family avoids the full $4,050/year cost of insuring a 16-year-old driver — $8,100.00 total over two years. The chauffeuring cost the delay creates instead, at a disclosed assumption of 6,000 miles/year and AAA's fully-loaded 66.37 cents/mile, is $7,964.40. The dollar math genuinely favors AYE, even though it's razor-close. The real safety case for AYE is not Appendix B's per-100,000-population table — that table actually rises with age and does not support "raising the age is safer" (see The Trap, below). It is Appendix B's separately cited per-mile statistic (S8): drivers 16–17 crash nearly twice as often per mile as drivers 18–19 — real, age-matched evidence that the youngest, least-experienced drivers carry the highest per-mile risk, even though S8's bands (16–17 vs. 18–19) are not an exact match for this case's actual 15½-vs-18 comparison.</w:t>
      </w:r>
    </w:p>
    <w:p>
      <w:pPr>
        <w:pStyle w:val="Heading3"/>
        <w:spacing w:after="120" w:before="240"/>
      </w:pPr>
      <w:r>
        <w:t xml:space="preserve">Argument for B (Vote NAY — keep the age at 15½)</w:t>
      </w:r>
    </w:p>
    <w:p>
      <w:r>
        <w:t xml:space="preserve">The per-100,000-population data (Appendix B's main table) undercuts a naive "raising the age makes it safer" argument in the most literal sense: that rate does not fall from age 16 to 18 or 19 — it climbs, from 3.5 to 7.0 to 8.8, because more of each age cohort is driving, and driving more, as they get older. Whatever HB 3320 buys, a clean per-capita safety win from that table is not automatically it. The real per-mile stat (S8) does favor AYE's safety case, but only at 16–17-vs-18–19 granularity, not this case's actual 15½-vs-18 comparison — a real gap a Hero can legitimately press on. And in dollar terms, NAY isn't just competitive — it's barely behind: $8,100.00 in extra insurance cost against $7,964.40 in extra chauffeuring cost is a $135.60 gap on a nearly $8,000 base, and that entire gap sits inside one disclosed, unsourced modeling assumption (MA1's 6,000 mi/year) that a Hero is fully entitled to challenge.</w:t>
      </w:r>
    </w:p>
    <w:p>
      <w:pPr>
        <w:pStyle w:val="Heading3"/>
        <w:spacing w:after="120" w:before="240"/>
      </w:pPr>
      <w:r>
        <w:t xml:space="preserve">The margin</w:t>
      </w:r>
    </w:p>
    <w:p>
      <w:r>
        <w:t xml:space="preserve">Primary metric: net two-year dollar cost per Arizona family with one 16-to-17-year-old.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Option A (raise to 18)</w:t>
            </w:r>
          </w:p>
        </w:tc>
        <w:tc>
          <w:tcPr>
            <w:tcW w:type="dxa" w:w="3000"/>
            <w:shd w:fill="DDDDDD" w:val="clear"/>
          </w:tcPr>
          <w:p>
            <w:r>
              <w:t xml:space="preserve">Option B (keep 15½)</w:t>
            </w:r>
          </w:p>
        </w:tc>
      </w:tr>
      <w:tr>
        <w:tc>
          <w:tcPr>
            <w:tcW w:type="dxa" w:w="3000"/>
          </w:tcPr>
          <w:p>
            <w:r>
              <w:t xml:space="preserve">Insurance cost</w:t>
            </w:r>
          </w:p>
        </w:tc>
        <w:tc>
          <w:tcPr>
            <w:tcW w:type="dxa" w:w="3000"/>
          </w:tcPr>
          <w:p>
            <w:r>
              <w:t xml:space="preserve">$0.00</w:t>
            </w:r>
          </w:p>
        </w:tc>
        <w:tc>
          <w:tcPr>
            <w:tcW w:type="dxa" w:w="3000"/>
          </w:tcPr>
          <w:p>
            <w:r>
              <w:t xml:space="preserve">$4,050.00/yr x 2 = $8,100.00</w:t>
            </w:r>
          </w:p>
        </w:tc>
      </w:tr>
      <w:tr>
        <w:tc>
          <w:tcPr>
            <w:tcW w:type="dxa" w:w="3000"/>
          </w:tcPr>
          <w:p>
            <w:r>
              <w:t xml:space="preserve">Chauffeuring cost</w:t>
            </w:r>
          </w:p>
        </w:tc>
        <w:tc>
          <w:tcPr>
            <w:tcW w:type="dxa" w:w="3000"/>
          </w:tcPr>
          <w:p>
            <w:r>
              <w:t xml:space="preserve">6,000 mi/yr x 2 x $0.6637/mi = $7,964.40</w:t>
            </w:r>
          </w:p>
        </w:tc>
        <w:tc>
          <w:tcPr>
            <w:tcW w:type="dxa" w:w="3000"/>
          </w:tcPr>
          <w:p>
            <w:r>
              <w:t xml:space="preserve">$0.00</w:t>
            </w:r>
          </w:p>
        </w:tc>
      </w:tr>
      <w:tr>
        <w:tc>
          <w:tcPr>
            <w:tcW w:type="dxa" w:w="3000"/>
          </w:tcPr>
          <w:p>
            <w:r>
              <w:rPr>
                <w:b/>
                <w:bCs/>
              </w:rPr>
              <w:t xml:space="preserve">Total</w:t>
            </w:r>
          </w:p>
        </w:tc>
        <w:tc>
          <w:tcPr>
            <w:tcW w:type="dxa" w:w="3000"/>
          </w:tcPr>
          <w:p>
            <w:r>
              <w:rPr>
                <w:b/>
                <w:bCs/>
              </w:rPr>
              <w:t xml:space="preserve">$7,964.40</w:t>
            </w:r>
          </w:p>
        </w:tc>
        <w:tc>
          <w:tcPr>
            <w:tcW w:type="dxa" w:w="3000"/>
          </w:tcPr>
          <w:p>
            <w:r>
              <w:rPr>
                <w:b/>
                <w:bCs/>
              </w:rPr>
              <w:t xml:space="preserve">$8,100.00</w:t>
            </w:r>
          </w:p>
        </w:tc>
      </w:tr>
    </w:tbl>
    <w:p/>
    <w:p>
      <w:r>
        <w:t xml:space="preserve">Margin = ($8,100.00 - $7,964.40) / $7,964.40 = 1.70%. Option A (AYE) is cheaper, by a hair. This matches </w:t>
      </w:r>
      <w:r>
        <w:rPr>
          <w:rFonts w:ascii="Courier New" w:cs="Courier New" w:eastAsia="Courier New" w:hAnsi="Courier New"/>
        </w:rPr>
        <w:t xml:space="preserve">case.json.balance.margin_pct</w:t>
      </w:r>
      <w:r>
        <w:t xml:space="preserve"> and </w:t>
      </w:r>
      <w:r>
        <w:rPr>
          <w:rFonts w:ascii="Courier New" w:cs="Courier New" w:eastAsia="Courier New" w:hAnsi="Courier New"/>
        </w:rPr>
        <w:t xml:space="preserve">derived.margin_pct</w:t>
      </w:r>
      <w:r>
        <w:t xml:space="preserve"> exactly — if this table and those fields ever disagree, this document is stale and must be regenerated from </w:t>
      </w:r>
      <w:r>
        <w:rPr>
          <w:rFonts w:ascii="Courier New" w:cs="Courier New" w:eastAsia="Courier New" w:hAnsi="Courier New"/>
        </w:rPr>
        <w:t xml:space="preserve">case.json</w:t>
      </w:r>
      <w:r>
        <w:t xml:space="preserve">.</w:t>
      </w:r>
    </w:p>
    <w:p>
      <w:pPr>
        <w:pStyle w:val="Heading2"/>
        <w:spacing w:after="120" w:before="240"/>
      </w:pPr>
      <w:r>
        <w:t xml:space="preserve">The Five Socratic Questions</w:t>
      </w:r>
    </w:p>
    <w:p>
      <w:pPr>
        <w:ind w:left="360"/>
      </w:pPr>
      <w:r>
        <w:t xml:space="preserve">1. Your net-cost table puts Option A about $135.60 cheaper over two years on an almost-$8,000 base — what would MA1's chauffeuring-mileage assumption have to be, in miles per year, for that to flip?</w:t>
      </w:r>
    </w:p>
    <w:p>
      <w:pPr>
        <w:ind w:left="360"/>
      </w:pPr>
      <w:r>
        <w:t xml:space="preserve">2. Appendix B shows the fatal-crash rate climbing from 3.5 (age 16) to 8.8 (age 19), not falling — if raising the minimum age doesn't lower that number, what exactly is the safety argument for HB 3320 actually claiming?</w:t>
      </w:r>
    </w:p>
    <w:p>
      <w:pPr>
        <w:ind w:left="360"/>
      </w:pPr>
      <w:r>
        <w:t xml:space="preserve">3. The case gives you a per-100,000-people rate, not a per-mile or per-licensed-driver rate — why might a 19-year-old's rate be higher than a 16-year-old's even if 19-year-olds are, mile for mile, safer drivers?</w:t>
      </w:r>
    </w:p>
    <w:p>
      <w:pPr>
        <w:ind w:left="360"/>
      </w:pPr>
      <w:r>
        <w:t xml:space="preserve">4. Your D2 equation was read off your hand-drawn graph and your D3 equation was built from two raw data points — if they don't predict the exact same value at age 18, which one do you trust more, and why?</w:t>
      </w:r>
    </w:p>
    <w:p>
      <w:pPr>
        <w:ind w:left="360"/>
      </w:pPr>
      <w:r>
        <w:t xml:space="preserve">5. Congresswoman Edmunds has a 14-year-old at home who is two years from a permit either way this vote goes — does that personal stake belong in a dollars-and-safety argument on the House floor, or is it a different kind of argument entirely?</w:t>
      </w:r>
    </w:p>
    <w:p>
      <w:pPr>
        <w:pStyle w:val="Heading2"/>
        <w:spacing w:after="120" w:before="240"/>
      </w:pPr>
      <w:r>
        <w:t xml:space="preserve">The Trap</w:t>
      </w:r>
    </w:p>
    <w:p>
      <w:r>
        <w:t xml:space="preserve">A room will reflexively read Appendix B as proof that raising the minimum age is the safer choice — "the case gave us a chart, older is more mature, so an older minimum age must mean fewer deaths." The chart says the opposite of what they expect: the rate rises with age from 16 to 19. The trap is treating a per-100,000-population fatality rate as if it were a per-mile risk rate — the population rate rises with age partly because more of that age cohort is driving, and driving more miles, not because 19-year-olds are worse drivers than 16-year-olds. A Hero who plants a flag on "the data proves A is safer" without checking which rate they're reading has walked into it. Watch for pitches that cite Appendix B's numbers to support Option A's safety case — that citation, read straight, argues against them.</w:t>
      </w:r>
    </w:p>
    <w:p>
      <w:pPr>
        <w:pStyle w:val="Heading2"/>
        <w:spacing w:after="120" w:before="240"/>
      </w:pPr>
      <w:r>
        <w:t xml:space="preserve">The Twist</w:t>
      </w:r>
    </w:p>
    <w:p>
      <w:r>
        <w:rPr>
          <w:b/>
          <w:bCs/>
        </w:rPr>
        <w:t xml:space="preserve">Timing:</w:t>
      </w:r>
      <w:r>
        <w:t xml:space="preserve"> ~15 minutes in, after Anchors 1–3, before the Data Deep Dive concludes.</w:t>
      </w:r>
    </w:p>
    <w:p>
      <w:r>
        <w:rPr>
          <w:b/>
          <w:bCs/>
        </w:rPr>
        <w:t xml:space="preserve">What breaks:</w:t>
      </w:r>
      <w:r>
        <w:t xml:space="preserve"> Reveal that Appendix B's main table is a per-100,000-people rate, not a per-mile or per-licensed-driver rate — and that Appendix B's separately cited per-mile statistic (S8, AAA Foundation for Traffic Safety) shows drivers 16–17 crashing nearly twice as often per mile as drivers 18–19. Two real, correctly-cited statistics about nearly the same age group point in opposite directions depending which denominator you pick — and neither one is an exact match for this case's actual 15½-vs-18 comparison; S8's bands are the closest real data available, not a perfect fit. Ask: "You have 60 seconds. Does this change your vote — or not?"</w:t>
      </w:r>
    </w:p>
    <w:p>
      <w:r>
        <w:rPr>
          <w:b/>
          <w:bCs/>
        </w:rPr>
        <w:t xml:space="preserve">What just broke:</w:t>
      </w:r>
      <w:r>
        <w:t xml:space="preserve"> Any position built on "the chart proves it" collapses the moment the room realizes there are two different, both-real ways to measure the same risk, and the case never told them which one Congresswoman Edmunds should use. That is not a data problem — it's a modeling problem, and modeling problems don't have a clean right answer. The follow-up question is the whole point: "Were you wrong, or just using the wrong ruler?"</w:t>
      </w:r>
    </w:p>
    <w:p>
      <w:pPr>
        <w:pStyle w:val="Heading2"/>
        <w:spacing w:after="120" w:before="240"/>
      </w:pPr>
      <w:r>
        <w:t xml:space="preserve">What a Strong Defense Sounds Like</w:t>
      </w:r>
    </w:p>
    <w:p>
      <w:r>
        <w:t xml:space="preserve">This is not an answer key — the case has no single right answer, and a strong defense can land on either option if the reasoning is sound. A strong pitch computes D1–D4 correctly and shows the arithmetic rather than just the final numbers, correctly distinguishes the per-100,000-population statistic from the per-mile statistic (S8) and states plainly which one actually bears on Congresswoman Edmunds's real 15½-vs-18 comparison, and names MA1's 6,000 mi/year chauffeuring assumption as the single dial the whole dollar margin rests on rather than treating the $135.60 gap as a settled fact. A Hero who can explain why a $135.60 margin on an $8,000 base is not the same thing as a landslide, and who can hold two real, correctly-cited, and genuinely conflicting statistics in mind at once without forcing a false resolution between them, is reasoning at the level this case is built to test — regardless of which option they ultimately recommend.</w:t>
      </w:r>
    </w:p>
    <w:p>
      <w:pPr>
        <w:pStyle w:val="Heading2"/>
        <w:spacing w:after="120" w:before="240"/>
      </w:pPr>
      <w:r>
        <w:t xml:space="preserve">Run of Show</w:t>
      </w:r>
    </w:p>
    <w:p>
      <w:pPr>
        <w:pStyle w:val="Heading3"/>
        <w:spacing w:after="120" w:before="240"/>
      </w:pPr>
      <w:r>
        <w:t xml:space="preserve">Intro</w:t>
      </w:r>
    </w:p>
    <w:p>
      <w:r>
        <w:t xml:space="preserve">Frame the format: this is a real bill-format case (excerpt from an actual Arizona legislative bill in Appendix A). Name the opener: read the bill's opening lines aloud, then run the floor-debate script from the original launch (Mr. Speaker / motion to open debate).</w:t>
      </w:r>
    </w:p>
    <w:p>
      <w:pPr>
        <w:pStyle w:val="Heading3"/>
        <w:spacing w:after="120" w:before="240"/>
      </w:pPr>
      <w:r>
        <w:t xml:space="preserve">Launch</w:t>
      </w:r>
    </w:p>
    <w:p>
      <w:r>
        <w:t xml:space="preserve">Read HB 3320's opening lines (Appendix A). Pose the two Monday-launch questions from the original Guide Notes: "which group most deserves license revocation, seniors past eighty or youth in their teens?" and "which trait corresponds most closely with poor driving — age, gender, or experience?" Do not resolve either question; let them sit.</w:t>
      </w:r>
    </w:p>
    <w:p>
      <w:pPr>
        <w:pStyle w:val="Heading3"/>
        <w:spacing w:after="120" w:before="240"/>
      </w:pPr>
      <w:r>
        <w:t xml:space="preserve">Anchor 1 — Take a stand and vote</w:t>
      </w:r>
    </w:p>
    <w:p>
      <w:r>
        <w:t xml:space="preserve">TAKE A STAND AND VOTE. Invite one Hero to present their position as if addressing the House floor. Cold-call stand/sit vote, no reasoning yet. Let confusion grow: "Wow, this is a challenging problem."</w:t>
      </w:r>
    </w:p>
    <w:p>
      <w:pPr>
        <w:pStyle w:val="Heading3"/>
        <w:spacing w:after="120" w:before="240"/>
      </w:pPr>
      <w:r>
        <w:t xml:space="preserve">Anchor 2 — What is the problem we're solving?</w:t>
      </w:r>
    </w:p>
    <w:p>
      <w:r>
        <w:t xml:space="preserve">Is this just "which age results in fewer crashes," or is there something else (cost, rural practicality, personal liberty) that has to be weighed too? What do you mean by "safer"? Is this the right question?</w:t>
      </w:r>
    </w:p>
    <w:p>
      <w:pPr>
        <w:pStyle w:val="Heading3"/>
        <w:spacing w:after="120" w:before="240"/>
      </w:pPr>
      <w:r>
        <w:t xml:space="preserve">Anchor 3 — What is the process?</w:t>
      </w:r>
    </w:p>
    <w:p>
      <w:r>
        <w:t xml:space="preserve">If we just look at Appendix B's chart and nothing else, will we actually know the answer? Ask again: is our question still the right question? If we go through this process and land on a number, how do we decide — a margin, or something else?</w:t>
      </w:r>
    </w:p>
    <w:p>
      <w:pPr>
        <w:pStyle w:val="Heading3"/>
        <w:spacing w:after="120" w:before="240"/>
      </w:pPr>
      <w:r>
        <w:t xml:space="preserve">Anchor 4 — What don't we know?</w:t>
      </w:r>
    </w:p>
    <w:p>
      <w:r>
        <w:t xml:space="preserve">Do we need to make any assumptions to answer this? (Point toward MA1 without naming its value yet.) Is there anything we don't know that would be critical here?</w:t>
      </w:r>
    </w:p>
    <w:p>
      <w:pPr>
        <w:pStyle w:val="Heading3"/>
        <w:spacing w:after="120" w:before="240"/>
      </w:pPr>
      <w:r>
        <w:t xml:space="preserve">Data Deep Dive</w:t>
      </w:r>
    </w:p>
    <w:p>
      <w:r>
        <w:t xml:space="preserve">Now the numbers: Appendix B's real crash-rate table, Appendix C's real insurance and driving-cost figures, and MA1's disclosed assumption.</w:t>
      </w:r>
    </w:p>
    <w:p>
      <w:pPr>
        <w:pStyle w:val="Heading3"/>
        <w:spacing w:after="120" w:before="240"/>
      </w:pPr>
      <w:r>
        <w:t xml:space="preserve">Twist (guide notes cross-reference)</w:t>
      </w:r>
    </w:p>
    <w:p>
      <w:r>
        <w:t xml:space="preserve">See "The Twist" section above for the full reveal script.</w:t>
      </w:r>
    </w:p>
    <w:p>
      <w:pPr>
        <w:pStyle w:val="Heading3"/>
        <w:spacing w:after="120" w:before="240"/>
      </w:pPr>
      <w:r>
        <w:t xml:space="preserve">Close</w:t>
      </w:r>
    </w:p>
    <w:p>
      <w:r>
        <w:t xml:space="preserve">Vote again. "We asked ______ as our key question — did we ask the right question? Was this case study challenging, and why? What math was new to you, and how did you attack it? If you got a similar case study next time, what would you do differently?"</w:t>
      </w:r>
    </w:p>
    <w:p>
      <w:pPr>
        <w:pStyle w:val="Heading3"/>
        <w:spacing w:after="120" w:before="240"/>
      </w:pPr>
      <w:r>
        <w:t xml:space="preserve">Lessons Learned</w:t>
      </w:r>
    </w:p>
    <w:p>
      <w:r>
        <w:t xml:space="preserve">Two real, correctly-cited statistics can point in opposite directions depending on what you divide by — and even a well-matched real citation (S8's 16–17-vs-18–19 per-mile data) can still not be an exact match for the question the case actually asks (15½-vs-18). A margin under 2% is not the same thing as a landslide, and a disclosed assumption inside that margin is fair game to challenge in discussion, not a flaw to hide.</w:t>
      </w:r>
    </w:p>
    <w:p>
      <w:pPr>
        <w:pStyle w:val="Heading2"/>
        <w:spacing w:after="120" w:before="240"/>
      </w:pPr>
      <w:r>
        <w:t xml:space="preserve">Cohort Bands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Band</w:t>
            </w:r>
          </w:p>
        </w:tc>
        <w:tc>
          <w:tcPr>
            <w:tcW w:type="dxa" w:w="4500"/>
            <w:shd w:fill="DDDDDD" w:val="clear"/>
          </w:tcPr>
          <w:p>
            <w:r>
              <w:t xml:space="preserve">Note</w:t>
            </w:r>
          </w:p>
        </w:tc>
      </w:tr>
      <w:tr>
        <w:tc>
          <w:tcPr>
            <w:tcW w:type="dxa" w:w="4500"/>
          </w:tcPr>
          <w:p>
            <w:r>
              <w:t xml:space="preserve">Full (12-20)</w:t>
            </w:r>
          </w:p>
        </w:tc>
        <w:tc>
          <w:tcPr>
            <w:tcW w:type="dxa" w:w="4500"/>
          </w:tcPr>
          <w:p>
            <w:r>
              <w:t xml:space="preserve">Anchors 2-3 run as written; the room splits into a "raise it, it's safer" bloc and a "the data doesn't say that" bloc before the Twist forces both to look at Appendix B's actual numbers.</w:t>
            </w:r>
          </w:p>
        </w:tc>
      </w:tr>
      <w:tr>
        <w:tc>
          <w:tcPr>
            <w:tcW w:type="dxa" w:w="4500"/>
          </w:tcPr>
          <w:p>
            <w:r>
              <w:t xml:space="preserve">Compressed (6-11)</w:t>
            </w:r>
          </w:p>
        </w:tc>
        <w:tc>
          <w:tcPr>
            <w:tcW w:type="dxa" w:w="4500"/>
          </w:tcPr>
          <w:p>
            <w:r>
              <w:t xml:space="preserve">Anchors 2-3 combine into one pass; D1's scatterplot and D2's graphed equation are worked as one shared example instead of every Hero building both independently; D3's two-point method stays individual.</w:t>
            </w:r>
          </w:p>
        </w:tc>
      </w:tr>
      <w:tr>
        <w:tc>
          <w:tcPr>
            <w:tcW w:type="dxa" w:w="4500"/>
          </w:tcPr>
          <w:p>
            <w:r>
              <w:t xml:space="preserve">1:1 / pair (1-2)</w:t>
            </w:r>
          </w:p>
        </w:tc>
        <w:tc>
          <w:tcPr>
            <w:tcW w:type="dxa" w:w="4500"/>
          </w:tcPr>
          <w:p>
            <w:r>
              <w:t xml:space="preserve">No vote to take — Anchor 1 becomes a stated initial position instead of a cold-call show of hands; the guide plays devil's advocate directly, arguing whichever side the Hero didn't pick.</w:t>
            </w:r>
          </w:p>
        </w:tc>
      </w:tr>
    </w:tbl>
    <w:p/>
    <w:p>
      <w:pPr>
        <w:pStyle w:val="Heading2"/>
        <w:spacing w:after="120" w:before="240"/>
      </w:pPr>
      <w:r>
        <w:t xml:space="preserve">Facilitator Note — Family Cost Stress</w:t>
      </w:r>
    </w:p>
    <w:p>
      <w:r>
        <w:t xml:space="preserve">Cases touching family cost stress get a one-line flag: this case discusses real insurance and transportation costs that some families in the room may be currently navigating. Keep the framing on Congresswoman Edmunds's fictional vote, not on any Hero's own family situation, unless a Hero opens that door themselves.</w:t>
      </w:r>
    </w:p>
    <w:p>
      <w:pPr>
        <w:pStyle w:val="Heading2"/>
        <w:spacing w:after="120" w:before="240"/>
      </w:pPr>
      <w:r>
        <w:t xml:space="preserve">Skills This Case Exercises</w:t>
      </w:r>
    </w:p>
    <w:p>
      <w:r>
        <w:t xml:space="preserve">Scatter Plot · Line Of Best Fit · Slope · Correlation · Line — the full linear-modeling toolchain, built from real IIHS crash-rate data (D1–D3) — plus the full arithmetic stack (Currency, Decimal, Subtraction, Multiplication, Addition, Unit, Time, Bar Graph, Data) applied to a real two-year family cost comparison (D4). Facilitators can name these directly in debrief: this case is a linear-modeling case wearing a policy-debate costume, and D4's arithmetic is where the actual decision margin lives.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2026-08-20T21:37:42.635Z</dcterms:created>
  <dcterms:modified xsi:type="dcterms:W3CDTF">2026-08-20T21:37:42.635Z</dcterms:modified>
</cp:coreProperties>
</file>

<file path=docProps/custom.xml><?xml version="1.0" encoding="utf-8"?>
<Properties xmlns="http://schemas.openxmlformats.org/officeDocument/2006/custom-properties" xmlns:vt="http://schemas.openxmlformats.org/officeDocument/2006/docPropsVTypes"/>
</file>