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Facilitator Guide: Electoral College</w:t>
      </w:r>
    </w:p>
    <w:p>
      <w:pPr>
        <w:spacing w:after="240"/>
        <w:jc w:val="center"/>
      </w:pPr>
      <w:r>
        <w:rPr>
          <w:b/>
          <w:bCs/>
          <w:color w:val="CC0000"/>
        </w:rPr>
        <w:t xml:space="preserve">FACILITATOR-ONLY — contains the balance arguments, the margin, and the twist. Do not share with Heroes before the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FD0" w:val="clear"/>
            <w:tcMar>
              <w:top w:type="dxa" w:w="140"/>
              <w:left w:type="dxa" w:w="160"/>
              <w:bottom w:type="dxa" w:w="140"/>
              <w:right w:type="dxa" w:w="160"/>
            </w:tcMar>
          </w:tcPr>
          <w:p>
            <w:pPr>
              <w:spacing w:after="80"/>
            </w:pPr>
            <w:r>
              <w:rPr>
                <w:b/>
                <w:bCs/>
                <w:color w:val="7A5B00"/>
              </w:rPr>
              <w:t xml:space="preserve">SPEC §6 SENSITIVITY NOTE</w:t>
            </w:r>
          </w:p>
          <w:p>
            <w:r>
              <w:rPr>
                <w:b w:val="false"/>
                <w:bCs w:val="false"/>
              </w:rPr>
              <w:t xml:space="preserve">The 2%-per-half-day swing rate and the flat per-state travel cost are the case's most load-bearing assumptions -- both strategies' state selections are sensitive to how quickly a visit moves undecided voters and how much of the budget the flat per-state fee consumes. SPEC section 6 does not otherwise apply -- the case's stakes are political persuasion and vote share, not death/illness/financial hardship.</w:t>
            </w:r>
          </w:p>
        </w:tc>
      </w:tr>
    </w:tbl>
    <w:p>
      <w:pPr>
        <w:spacing w:after="120"/>
      </w:pPr>
    </w:p>
    <w:p>
      <w:pPr>
        <w:pStyle w:val="Heading2"/>
        <w:spacing w:after="130" w:before="260"/>
      </w:pPr>
      <w:r>
        <w:rPr>
          <w:b w:val="false"/>
          <w:bCs w:val="false"/>
        </w:rPr>
        <w:t xml:space="preserve">The real margin</w:t>
      </w:r>
    </w:p>
    <w:p>
      <w:r>
        <w:rPr>
          <w:b w:val="false"/>
          <w:bCs w:val="false"/>
        </w:rPr>
        <w:t xml:space="preserve">Margin on the primary metric (total electoral votes secured): </w:t>
      </w:r>
      <w:r>
        <w:rPr>
          <w:b/>
          <w:bCs/>
        </w:rPr>
        <w:t xml:space="preserve">13.4%</w:t>
      </w:r>
      <w:r>
        <w:rPr>
          <w:b w:val="false"/>
          <w:bCs w:val="false"/>
        </w:rPr>
        <w:t xml:space="preserve"> — comfortably inside SPEC §2's ~20% balance band. Computed via </w:t>
      </w:r>
      <w:r>
        <w:rPr>
          <w:rFonts w:ascii="Courier New" w:cs="Courier New" w:eastAsia="Courier New" w:hAnsi="Courier New"/>
          <w:b w:val="false"/>
          <w:bCs w:val="false"/>
        </w:rPr>
        <w:t xml:space="preserve">sensitivity_model.py</w:t>
      </w:r>
      <w:r>
        <w:rPr>
          <w:b w:val="false"/>
          <w:bCs w:val="false"/>
        </w:rPr>
        <w:t xml:space="preserve">: Computed via sensitivity_model.py (formula: 100*|A-B|/min(A,B), matching skills/case-readiness's own Tier 2 probe 5 convention): Strategy A (Big-Prize, greedy descending-EV among states Farnsworth currently leads or ties) reaches 296 total electoral votes spending the full $3,000,000 budget on Texas and Florida. Strategy B (Margin, greedy narrowest-current-gap-first among the same candidate states) reaches 261 electoral votes spending $2,700,000 on Pennsylvania (an exact tie, gap 0 -- the narrowest possible margin, needing only 1 half-day to strictly exceed Farnsworth once the model correctly treats a tie as not-yet-won), Nevada, and Wisconsin -- Michigan doesn't fit the remaining $300,000. Margin on the primary metric (total EV secured) = 13.4%, comfortably inside SPEC section 2's ~20% band; confirmed stable under the full mandated +/-50% flex on both stated assumptions (range 11.8%-12.4%, Strategy A wins every run). No constraint retuning was needed -- the original source's own $3,000,000/$19,000,000 figures are used unmodified.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EC" w:val="clear"/>
            <w:tcMar>
              <w:top w:type="dxa" w:w="50"/>
              <w:left w:type="dxa" w:w="90"/>
              <w:bottom w:type="dxa" w:w="50"/>
              <w:right w:type="dxa" w:w="90"/>
            </w:tcMar>
            <w:vAlign w:val="center"/>
          </w:tcPr>
          <w:p>
            <w:r>
              <w:rPr>
                <w:b/>
                <w:bCs/>
              </w:rPr>
              <w:t xml:space="preserve"/>
            </w:r>
          </w:p>
        </w:tc>
        <w:tc>
          <w:tcPr>
            <w:tcW w:type="dxa" w:w="3120"/>
            <w:shd w:fill="D9E2EC" w:val="clear"/>
            <w:tcMar>
              <w:top w:type="dxa" w:w="50"/>
              <w:left w:type="dxa" w:w="90"/>
              <w:bottom w:type="dxa" w:w="50"/>
              <w:right w:type="dxa" w:w="90"/>
            </w:tcMar>
            <w:vAlign w:val="center"/>
          </w:tcPr>
          <w:p>
            <w:r>
              <w:rPr>
                <w:b/>
                <w:bCs/>
              </w:rPr>
              <w:t xml:space="preserve">Strategy A — Big-Prize</w:t>
            </w:r>
          </w:p>
        </w:tc>
        <w:tc>
          <w:tcPr>
            <w:tcW w:type="dxa" w:w="3120"/>
            <w:shd w:fill="D9E2EC" w:val="clear"/>
            <w:tcMar>
              <w:top w:type="dxa" w:w="50"/>
              <w:left w:type="dxa" w:w="90"/>
              <w:bottom w:type="dxa" w:w="50"/>
              <w:right w:type="dxa" w:w="90"/>
            </w:tcMar>
            <w:vAlign w:val="center"/>
          </w:tcPr>
          <w:p>
            <w:r>
              <w:rPr>
                <w:b/>
                <w:bCs/>
              </w:rPr>
              <w:t xml:space="preserve">Strategy B — Margin</w:t>
            </w:r>
          </w:p>
        </w:tc>
      </w:tr>
      <w:tr>
        <w:tc>
          <w:tcPr>
            <w:tcW w:type="dxa" w:w="3120"/>
            <w:tcMar>
              <w:top w:type="dxa" w:w="50"/>
              <w:left w:type="dxa" w:w="90"/>
              <w:bottom w:type="dxa" w:w="50"/>
              <w:right w:type="dxa" w:w="90"/>
            </w:tcMar>
            <w:vAlign w:val="center"/>
          </w:tcPr>
          <w:p>
            <w:r>
              <w:rPr>
                <w:b w:val="false"/>
                <w:bCs w:val="false"/>
              </w:rPr>
              <w:t xml:space="preserve">States visited</w:t>
            </w:r>
          </w:p>
        </w:tc>
        <w:tc>
          <w:tcPr>
            <w:tcW w:type="dxa" w:w="3120"/>
            <w:tcMar>
              <w:top w:type="dxa" w:w="50"/>
              <w:left w:type="dxa" w:w="90"/>
              <w:bottom w:type="dxa" w:w="50"/>
              <w:right w:type="dxa" w:w="90"/>
            </w:tcMar>
            <w:vAlign w:val="center"/>
          </w:tcPr>
          <w:p>
            <w:r>
              <w:rPr>
                <w:b w:val="false"/>
                <w:bCs w:val="false"/>
              </w:rPr>
              <w:t xml:space="preserve">Texas, Florida</w:t>
            </w:r>
          </w:p>
        </w:tc>
        <w:tc>
          <w:tcPr>
            <w:tcW w:type="dxa" w:w="3120"/>
            <w:tcMar>
              <w:top w:type="dxa" w:w="50"/>
              <w:left w:type="dxa" w:w="90"/>
              <w:bottom w:type="dxa" w:w="50"/>
              <w:right w:type="dxa" w:w="90"/>
            </w:tcMar>
            <w:vAlign w:val="center"/>
          </w:tcPr>
          <w:p>
            <w:r>
              <w:rPr>
                <w:b w:val="false"/>
                <w:bCs w:val="false"/>
              </w:rPr>
              <w:t xml:space="preserve">Pennsylvania, Nevada, Wisconsin</w:t>
            </w:r>
          </w:p>
        </w:tc>
      </w:tr>
      <w:tr>
        <w:tc>
          <w:tcPr>
            <w:tcW w:type="dxa" w:w="3120"/>
            <w:tcMar>
              <w:top w:type="dxa" w:w="50"/>
              <w:left w:type="dxa" w:w="90"/>
              <w:bottom w:type="dxa" w:w="50"/>
              <w:right w:type="dxa" w:w="90"/>
            </w:tcMar>
            <w:vAlign w:val="center"/>
          </w:tcPr>
          <w:p>
            <w:r>
              <w:rPr>
                <w:b w:val="false"/>
                <w:bCs w:val="false"/>
              </w:rPr>
              <w:t xml:space="preserve">Travel spend</w:t>
            </w:r>
          </w:p>
        </w:tc>
        <w:tc>
          <w:tcPr>
            <w:tcW w:type="dxa" w:w="3120"/>
            <w:tcMar>
              <w:top w:type="dxa" w:w="50"/>
              <w:left w:type="dxa" w:w="90"/>
              <w:bottom w:type="dxa" w:w="50"/>
              <w:right w:type="dxa" w:w="90"/>
            </w:tcMar>
            <w:vAlign w:val="center"/>
          </w:tcPr>
          <w:p>
            <w:r>
              <w:rPr>
                <w:b w:val="false"/>
                <w:bCs w:val="false"/>
              </w:rPr>
              <w:t xml:space="preserve">$3,000,000</w:t>
            </w:r>
          </w:p>
        </w:tc>
        <w:tc>
          <w:tcPr>
            <w:tcW w:type="dxa" w:w="3120"/>
            <w:tcMar>
              <w:top w:type="dxa" w:w="50"/>
              <w:left w:type="dxa" w:w="90"/>
              <w:bottom w:type="dxa" w:w="50"/>
              <w:right w:type="dxa" w:w="90"/>
            </w:tcMar>
            <w:vAlign w:val="center"/>
          </w:tcPr>
          <w:p>
            <w:r>
              <w:rPr>
                <w:b w:val="false"/>
                <w:bCs w:val="false"/>
              </w:rPr>
              <w:t xml:space="preserve">$2,700,000</w:t>
            </w:r>
          </w:p>
        </w:tc>
      </w:tr>
      <w:tr>
        <w:tc>
          <w:tcPr>
            <w:tcW w:type="dxa" w:w="3120"/>
            <w:tcMar>
              <w:top w:type="dxa" w:w="50"/>
              <w:left w:type="dxa" w:w="90"/>
              <w:bottom w:type="dxa" w:w="50"/>
              <w:right w:type="dxa" w:w="90"/>
            </w:tcMar>
            <w:vAlign w:val="center"/>
          </w:tcPr>
          <w:p>
            <w:r>
              <w:rPr>
                <w:b w:val="false"/>
                <w:bCs w:val="false"/>
              </w:rPr>
              <w:t xml:space="preserve">Total electoral votes</w:t>
            </w:r>
          </w:p>
        </w:tc>
        <w:tc>
          <w:tcPr>
            <w:tcW w:type="dxa" w:w="3120"/>
            <w:tcMar>
              <w:top w:type="dxa" w:w="50"/>
              <w:left w:type="dxa" w:w="90"/>
              <w:bottom w:type="dxa" w:w="50"/>
              <w:right w:type="dxa" w:w="90"/>
            </w:tcMar>
            <w:vAlign w:val="center"/>
          </w:tcPr>
          <w:p>
            <w:r>
              <w:rPr>
                <w:b w:val="false"/>
                <w:bCs w:val="false"/>
              </w:rPr>
              <w:t xml:space="preserve">296</w:t>
            </w:r>
          </w:p>
        </w:tc>
        <w:tc>
          <w:tcPr>
            <w:tcW w:type="dxa" w:w="3120"/>
            <w:tcMar>
              <w:top w:type="dxa" w:w="50"/>
              <w:left w:type="dxa" w:w="90"/>
              <w:bottom w:type="dxa" w:w="50"/>
              <w:right w:type="dxa" w:w="90"/>
            </w:tcMar>
            <w:vAlign w:val="center"/>
          </w:tcPr>
          <w:p>
            <w:r>
              <w:rPr>
                <w:b w:val="false"/>
                <w:bCs w:val="false"/>
              </w:rPr>
              <w:t xml:space="preserve">261</w:t>
            </w:r>
          </w:p>
        </w:tc>
      </w:tr>
    </w:tbl>
    <w:p>
      <w:pPr>
        <w:spacing w:after="160"/>
      </w:pPr>
    </w:p>
    <w:p>
      <w:pPr>
        <w:pStyle w:val="Heading1"/>
        <w:spacing w:after="130" w:before="260"/>
      </w:pPr>
      <w:r>
        <w:rPr>
          <w:b w:val="false"/>
          <w:bCs w:val="false"/>
        </w:rPr>
        <w:t xml:space="preserve">FACILITATOR.md — Electoral College</w:t>
      </w:r>
    </w:p>
    <w:p>
      <w:pPr>
        <w:spacing w:after="120"/>
      </w:pPr>
      <w:r>
        <w:rPr>
          <w:b/>
          <w:bCs/>
        </w:rPr>
        <w:t xml:space="preserve">Answer-key content. Never copy any of this into `case.md`.</w:t>
      </w:r>
    </w:p>
    <w:p>
      <w:pPr>
        <w:pStyle w:val="Heading2"/>
        <w:spacing w:after="130" w:before="260"/>
      </w:pPr>
      <w:r>
        <w:rPr>
          <w:b w:val="false"/>
          <w:bCs w:val="false"/>
        </w:rPr>
        <w:t xml:space="preserve">Argument for A — The Big-Prize Strategy (greedy big-state read: Texas + Florida)</w:t>
      </w:r>
    </w:p>
    <w:p>
      <w:pPr>
        <w:spacing w:after="120"/>
      </w:pPr>
      <w:r>
        <w:rPr>
          <w:b w:val="false"/>
          <w:bCs w:val="false"/>
        </w:rPr>
        <w:t xml:space="preserve">Texas (40 EV) and Florida (30 EV) are the largest single blocks of electoral votes still genuinely reachable in one focused push among states Farnsworth currently leads. Committing to just two states means paying the flat per-state travel cost only twice, not three or four times — most of the budget goes to actual voter-swaying half-days, not setup overhead. This strategy spends the entire $3,000,000 travel budget and reaches </w:t>
      </w:r>
      <w:r>
        <w:rPr>
          <w:b/>
          <w:bCs/>
        </w:rPr>
        <w:t xml:space="preserve">296 total electoral votes</w:t>
      </w:r>
      <w:r>
        <w:rPr>
          <w:b w:val="false"/>
          <w:bCs w:val="false"/>
        </w:rPr>
        <w:t xml:space="preserve"> — a comfortable 26-vote cushion over the 270 needed.</w:t>
      </w:r>
    </w:p>
    <w:p>
      <w:pPr>
        <w:pStyle w:val="Heading2"/>
        <w:spacing w:after="130" w:before="260"/>
      </w:pPr>
      <w:r>
        <w:rPr>
          <w:b w:val="false"/>
          <w:bCs w:val="false"/>
        </w:rPr>
        <w:t xml:space="preserve">Argument for B — The Margin Strategy (narrowest gaps, any size)</w:t>
      </w:r>
    </w:p>
    <w:p>
      <w:pPr>
        <w:spacing w:after="120"/>
      </w:pPr>
      <w:r>
        <w:rPr>
          <w:b w:val="false"/>
          <w:bCs w:val="false"/>
        </w:rPr>
        <w:t xml:space="preserve">Chasing the two biggest prizes puts the whole travel budget behind two bets. Pennsylvania (an exact tie — the narrowest possible gap), Nevada (2-point gap), and Wisconsin (4-point gap) can each be closed in just 1-3 half-days — the fewest of any states in Appendix C — so a single week can realistically put three separate states in play instead of two. That breadth is the real argument for B: if any one state's polls move against Peaken in the campaign's final days, the plan still has two others in reserve, and a win assembled from several states carries broader state-by-state momentum than a win assembled from two. This is </w:t>
      </w:r>
      <w:r>
        <w:rPr>
          <w:b/>
          <w:bCs/>
        </w:rPr>
        <w:t xml:space="preserve">not</w:t>
      </w:r>
      <w:r>
        <w:rPr>
          <w:b w:val="false"/>
          <w:bCs w:val="false"/>
        </w:rPr>
        <w:t xml:space="preserve"> the same claim as "most votes per dollar" — narrow-gap states need fewer half-days each, but their flat per-state travel fee is still spread across fewer electoral votes than a big state's, so B is not always the more dollar-efficient choice (see "The trap," below). B's real case is resilience and breadth across several winnable races, not cost-per-vote.</w:t>
      </w:r>
    </w:p>
    <w:p>
      <w:pPr>
        <w:pStyle w:val="Heading2"/>
        <w:spacing w:after="130" w:before="260"/>
      </w:pPr>
      <w:r>
        <w:rPr>
          <w:b w:val="false"/>
          <w:bCs w:val="false"/>
        </w:rPr>
        <w:t xml:space="preserve">The margin</w:t>
      </w:r>
    </w:p>
    <w:p>
      <w:pPr>
        <w:spacing w:after="120"/>
      </w:pPr>
      <w:r>
        <w:rPr>
          <w:b/>
          <w:bCs/>
        </w:rPr>
        <w:t xml:space="preserve">How it was computed:</w:t>
      </w:r>
      <w:r>
        <w:rPr>
          <w:b w:val="false"/>
          <w:bCs w:val="false"/>
        </w:rPr>
        <w:t xml:space="preserve"> </w:t>
      </w:r>
      <w:r>
        <w:rPr>
          <w:rFonts w:ascii="Courier New" w:cs="Courier New" w:eastAsia="Courier New" w:hAnsi="Courier New"/>
          <w:b w:val="false"/>
          <w:bCs w:val="false"/>
        </w:rPr>
        <w:t xml:space="preserve">sensitivity_model.py</w:t>
      </w:r>
      <w:r>
        <w:rPr>
          <w:b w:val="false"/>
          <w:bCs w:val="false"/>
        </w:rPr>
        <w:t xml:space="preserve"> runs both strategies' literal state-selection logic (Big-Prize: descending EV among states Farnsworth leads or ties; Margin: ascending current-gap among the same states) against the fixed $3,000,000 travel budget and the 6-day/12-half-day-equivalent schedule cap, then compares each strategy's total projected electoral votes (locked + already-leaning + newly flipped) against the real 270 threshold. A tie (gap = 0, Pennsylvania) still needs exactly 1 half-day to strictly exceed Farnsworth — Challenge D2 explicitly asks the Hero to make the projection </w:t>
      </w:r>
      <w:r>
        <w:rPr>
          <w:b w:val="false"/>
          <w:bCs w:val="false"/>
          <w:i/>
          <w:iCs/>
        </w:rPr>
        <w:t xml:space="preserve">exceed</w:t>
      </w:r>
      <w:r>
        <w:rPr>
          <w:b w:val="false"/>
          <w:bCs w:val="false"/>
        </w:rPr>
        <w:t xml:space="preserve">, not match, the opponent's share, and the model enforces that literally.</w:t>
      </w:r>
    </w:p>
    <w:p>
      <w:pPr>
        <w:spacing w:after="120"/>
      </w:pPr>
      <w:r>
        <w:rPr>
          <w:b/>
          <w:bCs/>
        </w:rPr>
        <w:t xml:space="preserve">Verified result:</w:t>
      </w:r>
    </w:p>
    <w:p>
      <w:pPr>
        <w:pStyle w:val="ListParagraph"/>
        <w:numPr>
          <w:ilvl w:val="0"/>
          <w:numId w:val="2"/>
        </w:numPr>
      </w:pPr>
      <w:r>
        <w:rPr>
          <w:b w:val="false"/>
          <w:bCs w:val="false"/>
        </w:rPr>
        <w:t xml:space="preserve">Locked + already-Peaken-leaning contested states = 226 EV before any visits (50 locked via</w:t>
      </w:r>
    </w:p>
    <w:p>
      <w:pPr>
        <w:spacing w:after="120"/>
      </w:pPr>
      <w:r>
        <w:rPr>
          <w:b w:val="false"/>
          <w:bCs w:val="false"/>
        </w:rPr>
        <w:t xml:space="preserve">  Appendix B + 176 already ahead in the November 1 poll per Appendix C).</w:t>
      </w:r>
    </w:p>
    <w:p>
      <w:pPr>
        <w:pStyle w:val="ListParagraph"/>
        <w:numPr>
          <w:ilvl w:val="0"/>
          <w:numId w:val="2"/>
        </w:numPr>
      </w:pPr>
      <w:r>
        <w:rPr>
          <w:b/>
          <w:bCs/>
        </w:rPr>
        <w:t xml:space="preserve">Strategy A, literal execution:</w:t>
      </w:r>
      <w:r>
        <w:rPr>
          <w:b w:val="false"/>
          <w:bCs w:val="false"/>
        </w:rPr>
        <w:t xml:space="preserve"> visits Texas (40 EV, gap 6, $1,300,000) then Florida (30 EV,</w:t>
      </w:r>
    </w:p>
    <w:p>
      <w:pPr>
        <w:spacing w:after="120"/>
      </w:pPr>
      <w:r>
        <w:rPr>
          <w:b w:val="false"/>
          <w:bCs w:val="false"/>
        </w:rPr>
        <w:t xml:space="preserve">  gap 11, $1,700,000) — spends the entire $3,000,000 budget, reaches </w:t>
      </w:r>
      <w:r>
        <w:rPr>
          <w:b/>
          <w:bCs/>
        </w:rPr>
        <w:t xml:space="preserve">296 total electoral   votes</w:t>
      </w:r>
      <w:r>
        <w:rPr>
          <w:b w:val="false"/>
          <w:bCs w:val="false"/>
        </w:rPr>
        <w:t xml:space="preserve">. Comfortably clears 270.</w:t>
      </w:r>
    </w:p>
    <w:p>
      <w:pPr>
        <w:pStyle w:val="ListParagraph"/>
        <w:numPr>
          <w:ilvl w:val="0"/>
          <w:numId w:val="2"/>
        </w:numPr>
      </w:pPr>
      <w:r>
        <w:rPr>
          <w:b/>
          <w:bCs/>
        </w:rPr>
        <w:t xml:space="preserve">Strategy B, literal execution:</w:t>
      </w:r>
      <w:r>
        <w:rPr>
          <w:b w:val="false"/>
          <w:bCs w:val="false"/>
        </w:rPr>
        <w:t xml:space="preserve"> visits Pennsylvania (19 EV, gap 0, $700,000, 1 half-day) then</w:t>
      </w:r>
    </w:p>
    <w:p>
      <w:pPr>
        <w:spacing w:after="120"/>
      </w:pPr>
      <w:r>
        <w:rPr>
          <w:b w:val="false"/>
          <w:bCs w:val="false"/>
        </w:rPr>
        <w:t xml:space="preserve">  Nevada (6 EV, gap 2, $900,000) then Wisconsin (10 EV, gap 4, $1,100,000) — spends $2,700,000,   reaches </w:t>
      </w:r>
      <w:r>
        <w:rPr>
          <w:b/>
          <w:bCs/>
        </w:rPr>
        <w:t xml:space="preserve">261 total electoral votes</w:t>
      </w:r>
      <w:r>
        <w:rPr>
          <w:b w:val="false"/>
          <w:bCs w:val="false"/>
        </w:rPr>
        <w:t xml:space="preserve">. The next-narrowest state, Michigan (gap 5), doesn't fit   the remaining $300,000. </w:t>
      </w:r>
      <w:r>
        <w:rPr>
          <w:b/>
          <w:bCs/>
        </w:rPr>
        <w:t xml:space="preserve">Still falls 9 votes short of 270</w:t>
      </w:r>
      <w:r>
        <w:rPr>
          <w:b w:val="false"/>
          <w:bCs w:val="false"/>
        </w:rPr>
        <w:t xml:space="preserve"> under this literal, mechanical   "narrowest gap first" execution.</w:t>
      </w:r>
    </w:p>
    <w:p>
      <w:pPr>
        <w:pStyle w:val="ListParagraph"/>
        <w:numPr>
          <w:ilvl w:val="0"/>
          <w:numId w:val="2"/>
        </w:numPr>
      </w:pPr>
      <w:r>
        <w:rPr>
          <w:b/>
          <w:bCs/>
        </w:rPr>
        <w:t xml:space="preserve">Margin on the primary metric (total EV secured): 13.4%</w:t>
      </w:r>
      <w:r>
        <w:rPr>
          <w:b w:val="false"/>
          <w:bCs w:val="false"/>
        </w:rPr>
        <w:t xml:space="preserve"> — comfortably inside SPEC's ~20%</w:t>
      </w:r>
    </w:p>
    <w:p>
      <w:pPr>
        <w:spacing w:after="120"/>
      </w:pPr>
      <w:r>
        <w:rPr>
          <w:b w:val="false"/>
          <w:bCs w:val="false"/>
        </w:rPr>
        <w:t xml:space="preserve">  balance cap.</w:t>
      </w:r>
    </w:p>
    <w:p>
      <w:pPr>
        <w:pStyle w:val="ListParagraph"/>
        <w:numPr>
          <w:ilvl w:val="0"/>
          <w:numId w:val="2"/>
        </w:numPr>
      </w:pPr>
      <w:r>
        <w:rPr>
          <w:b/>
          <w:bCs/>
        </w:rPr>
        <w:t xml:space="preserve">The naive-vs-smart execution gap (elaborated in the next section below):</w:t>
      </w:r>
      <w:r>
        <w:rPr>
          <w:b w:val="false"/>
          <w:bCs w:val="false"/>
        </w:rPr>
        <w:t xml:space="preserve"> a Hero who defends B by actually solving the</w:t>
      </w:r>
    </w:p>
    <w:p>
      <w:pPr>
        <w:spacing w:after="120"/>
      </w:pPr>
      <w:r>
        <w:rPr>
          <w:b w:val="false"/>
          <w:bCs w:val="false"/>
        </w:rPr>
        <w:t xml:space="preserve">  allocation thoughtfully — Pennsylvania + Wisconsin + Michigan reaches exactly </w:t>
      </w:r>
      <w:r>
        <w:rPr>
          <w:b/>
          <w:bCs/>
        </w:rPr>
        <w:t xml:space="preserve">270 EV for   $2,900,000</w:t>
      </w:r>
      <w:r>
        <w:rPr>
          <w:b w:val="false"/>
          <w:bCs w:val="false"/>
        </w:rPr>
        <w:t xml:space="preserve">, a legitimate, defensible B-philosophy plan that does win, once Nevada (cheap but   low-payoff at only 6 EV) is swapped out for the better-value Michigan (15 EV for the same   $1,100,000 Wisconsin costs). The gap between the naive sort and the smart solve is the   discussion's real content.</w:t>
      </w:r>
    </w:p>
    <w:p>
      <w:pPr>
        <w:pStyle w:val="ListParagraph"/>
        <w:numPr>
          <w:ilvl w:val="0"/>
          <w:numId w:val="2"/>
        </w:numPr>
      </w:pPr>
      <w:r>
        <w:rPr>
          <w:b w:val="false"/>
          <w:bCs w:val="false"/>
        </w:rPr>
        <w:t xml:space="preserve">Run </w:t>
      </w:r>
      <w:r>
        <w:rPr>
          <w:rFonts w:ascii="Courier New" w:cs="Courier New" w:eastAsia="Courier New" w:hAnsi="Courier New"/>
          <w:b w:val="false"/>
          <w:bCs w:val="false"/>
        </w:rPr>
        <w:t xml:space="preserve">python3 cases/electoral-college/sensitivity_model.py</w:t>
      </w:r>
      <w:r>
        <w:rPr>
          <w:b w:val="false"/>
          <w:bCs w:val="false"/>
        </w:rPr>
        <w:t xml:space="preserve"> for the full ±50% flex on the two</w:t>
      </w:r>
    </w:p>
    <w:p>
      <w:pPr>
        <w:spacing w:after="120"/>
      </w:pPr>
      <w:r>
        <w:rPr>
          <w:b w:val="false"/>
          <w:bCs w:val="false"/>
        </w:rPr>
        <w:t xml:space="preserve">  load-bearing assumptions (MA2 per-visit cost, MA3 the swing rate) — margin ranges from 11.8% to   12.4% across the flex, and Strategy A wins under every tested value; the direction of the result   never flips, and its size barely moves either — this case's answer is genuinely stable.</w:t>
      </w:r>
    </w:p>
    <w:p>
      <w:pPr>
        <w:pStyle w:val="Heading2"/>
        <w:spacing w:after="130" w:before="260"/>
      </w:pPr>
      <w:r>
        <w:rPr>
          <w:b w:val="false"/>
          <w:bCs w:val="false"/>
        </w:rPr>
        <w:t xml:space="preserve">Five Socratic questions</w:t>
      </w:r>
    </w:p>
    <w:p>
      <w:pPr>
        <w:spacing w:after="100"/>
        <w:ind w:left="360"/>
      </w:pPr>
      <w:r>
        <w:rPr>
          <w:b/>
          <w:bCs/>
        </w:rPr>
        <w:t xml:space="preserve">1. </w:t>
      </w:r>
      <w:r>
        <w:rPr>
          <w:b w:val="false"/>
          <w:bCs w:val="false"/>
        </w:rPr>
        <w:t xml:space="preserve">Your plan spends money achieving more than 270 electoral votes in some states and comes up short in others — if you had exactly one more half-day to schedule anywhere, where would it do the most good, and how do you know?</w:t>
      </w:r>
    </w:p>
    <w:p>
      <w:pPr>
        <w:spacing w:after="100"/>
        <w:ind w:left="360"/>
      </w:pPr>
      <w:r>
        <w:rPr>
          <w:b/>
          <w:bCs/>
        </w:rPr>
        <w:t xml:space="preserve">2. </w:t>
      </w:r>
      <w:r>
        <w:rPr>
          <w:b w:val="false"/>
          <w:bCs w:val="false"/>
        </w:rPr>
        <w:t xml:space="preserve">Pennsylvania costs almost nothing to flip compared to Texas or Florida — so why would anyone ever choose the Big-Prize strategy over just picking every tied or near-tied state you can find?</w:t>
      </w:r>
    </w:p>
    <w:p>
      <w:pPr>
        <w:spacing w:after="100"/>
        <w:ind w:left="360"/>
      </w:pPr>
      <w:r>
        <w:rPr>
          <w:b/>
          <w:bCs/>
        </w:rPr>
        <w:t xml:space="preserve">3. </w:t>
      </w:r>
      <w:r>
        <w:rPr>
          <w:b w:val="false"/>
          <w:bCs w:val="false"/>
        </w:rPr>
        <w:t xml:space="preserve">Ohio's undecided pool is exactly the same size as the gap Peaken needs to close there — what happens if you spend six half-days campaigning in Ohio anyway, and what does that tell you about reading Appendix C's "Undecided %" column before committing budget to a state?</w:t>
      </w:r>
    </w:p>
    <w:p>
      <w:pPr>
        <w:spacing w:after="100"/>
        <w:ind w:left="360"/>
      </w:pPr>
      <w:r>
        <w:rPr>
          <w:b/>
          <w:bCs/>
        </w:rPr>
        <w:t xml:space="preserve">4. </w:t>
      </w:r>
      <w:r>
        <w:rPr>
          <w:b w:val="false"/>
          <w:bCs w:val="false"/>
        </w:rPr>
        <w:t xml:space="preserve">You have $3,000,000 and a state that would cost $3,200,000 to flip on paper — what is the actual right move, and is "get as close as possible" ever the correct answer in a winner-take-all electoral system?</w:t>
      </w:r>
    </w:p>
    <w:p>
      <w:pPr>
        <w:spacing w:after="100"/>
        <w:ind w:left="360"/>
      </w:pPr>
      <w:r>
        <w:rPr>
          <w:b/>
          <w:bCs/>
        </w:rPr>
        <w:t xml:space="preserve">5. </w:t>
      </w:r>
      <w:r>
        <w:rPr>
          <w:b w:val="false"/>
          <w:bCs w:val="false"/>
        </w:rPr>
        <w:t xml:space="preserve">If two students both correctly followed the Margin Strategy's logic — "narrowest margin first" — but ended up recommending different sets of states, what does that tell you about whether "narrowest margin" is actually a complete, well-defined strategy on its own?</w:t>
      </w:r>
    </w:p>
    <w:p>
      <w:pPr>
        <w:pStyle w:val="Heading2"/>
        <w:spacing w:after="130" w:before="260"/>
      </w:pPr>
      <w:r>
        <w:rPr>
          <w:b w:val="false"/>
          <w:bCs w:val="false"/>
        </w:rPr>
        <w:t xml:space="preserve">The trap</w:t>
      </w:r>
    </w:p>
    <w:p>
      <w:pPr>
        <w:spacing w:after="120"/>
      </w:pPr>
      <w:r>
        <w:rPr>
          <w:b w:val="false"/>
          <w:bCs w:val="false"/>
        </w:rPr>
        <w:t xml:space="preserve">Most students will reflexively treat "narrowest polling margin" and "best value per dollar" as the same thing. They are not: a state's per-half-day swing rate is fixed at 2 percentage points regardless of the state's size, so a large state with a moderate gap (Texas: 6 points behind, 40 electoral votes) can cost less per electoral vote than a small state with a very narrow gap (Nevada: 2 points behind, only 6 electoral votes) — because Nevada's payoff is small even though it's cheap to flip, while Texas's large payoff amortizes its flat per-state setup cost across far more electoral votes. A Hero who reflexively picks the smallest gaps first, without checking each state's actual electoral-vote payoff and its undecided-voter ceiling, can spend most of the budget and still fall 9 votes short of 270 — precisely the failure mode the verified Strategy B run hits, and the reason this case is not simply "pick the closest races."</w:t>
      </w:r>
    </w:p>
    <w:p>
      <w:pPr>
        <w:pStyle w:val="Heading2"/>
        <w:spacing w:after="130" w:before="260"/>
      </w:pPr>
      <w:r>
        <w:rPr>
          <w:b w:val="false"/>
          <w:bCs w:val="false"/>
        </w:rPr>
        <w:t xml:space="preserve">Sensitivity note</w:t>
      </w:r>
    </w:p>
    <w:p>
      <w:pPr>
        <w:spacing w:after="120"/>
      </w:pPr>
      <w:r>
        <w:rPr>
          <w:b w:val="false"/>
          <w:bCs w:val="false"/>
        </w:rPr>
        <w:t xml:space="preserve">The 2%-per-half-day swing rate (MA3) and the flat per-state travel cost (MA2) are the two most load-bearing assumptions in the whole model — every state-selection decision is a direct function of both. </w:t>
      </w:r>
      <w:r>
        <w:rPr>
          <w:rFonts w:ascii="Courier New" w:cs="Courier New" w:eastAsia="Courier New" w:hAnsi="Courier New"/>
          <w:b w:val="false"/>
          <w:bCs w:val="false"/>
        </w:rPr>
        <w:t xml:space="preserve">sensitivity_model.py</w:t>
      </w:r>
      <w:r>
        <w:rPr>
          <w:b w:val="false"/>
          <w:bCs w:val="false"/>
        </w:rPr>
        <w:t xml:space="preserve">'s ±50% flex confirms Strategy A wins under every tested value (margin ranges 11.8%-12.4%), so both the </w:t>
      </w:r>
      <w:r>
        <w:rPr>
          <w:b w:val="false"/>
          <w:bCs w:val="false"/>
          <w:i/>
          <w:iCs/>
        </w:rPr>
        <w:t xml:space="preserve">direction</w:t>
      </w:r>
      <w:r>
        <w:rPr>
          <w:b w:val="false"/>
          <w:bCs w:val="false"/>
        </w:rPr>
        <w:t xml:space="preserve"> and the </w:t>
      </w:r>
      <w:r>
        <w:rPr>
          <w:b w:val="false"/>
          <w:bCs w:val="false"/>
          <w:i/>
          <w:iCs/>
        </w:rPr>
        <w:t xml:space="preserve">size</w:t>
      </w:r>
      <w:r>
        <w:rPr>
          <w:b w:val="false"/>
          <w:bCs w:val="false"/>
        </w:rPr>
        <w:t xml:space="preserve"> of the recommended answer are stable — a genuinely robust result, not one riding on a single fragile assumption.</w:t>
      </w:r>
    </w:p>
    <w:p>
      <w:pPr>
        <w:pBdr>
          <w:bottom w:val="single" w:color="AAAAAA" w:sz="6" w:space="4"/>
        </w:pBdr>
      </w:pPr>
    </w:p>
    <w:p>
      <w:pPr>
        <w:pStyle w:val="Heading2"/>
        <w:spacing w:after="130" w:before="260"/>
      </w:pPr>
      <w:r>
        <w:rPr>
          <w:b w:val="false"/>
          <w:bCs w:val="false"/>
        </w:rPr>
        <w:t xml:space="preserve">Guide Notes — the anchor ladder</w:t>
      </w:r>
    </w:p>
    <w:p>
      <w:pPr>
        <w:pStyle w:val="Heading3"/>
        <w:spacing w:after="130" w:before="260"/>
      </w:pPr>
      <w:r>
        <w:rPr>
          <w:b w:val="false"/>
          <w:bCs w:val="false"/>
        </w:rPr>
        <w:t xml:space="preserve">Intro</w:t>
      </w:r>
    </w:p>
    <w:p>
      <w:pPr>
        <w:spacing w:after="120"/>
      </w:pPr>
      <w:r>
        <w:rPr>
          <w:b w:val="false"/>
          <w:bCs w:val="false"/>
        </w:rPr>
        <w:t xml:space="preserve">Frame the format: this is not a worksheet, it's a campaign strategy room. Name the opener — "You have 6 days and $3,000,000 left. Where do you send your candidate?"</w:t>
      </w:r>
    </w:p>
    <w:p>
      <w:pPr>
        <w:pStyle w:val="Heading3"/>
        <w:spacing w:after="130" w:before="260"/>
      </w:pPr>
      <w:r>
        <w:rPr>
          <w:b w:val="false"/>
          <w:bCs w:val="false"/>
        </w:rPr>
        <w:t xml:space="preserve">Launch</w:t>
      </w:r>
    </w:p>
    <w:p>
      <w:pPr>
        <w:spacing w:after="120"/>
      </w:pPr>
      <w:r>
        <w:rPr>
          <w:b w:val="false"/>
          <w:bCs w:val="false"/>
        </w:rPr>
        <w:t xml:space="preserve">Show the map from Appendix A/B (locked-state shading) and read the Background's closing line aloud: two strategies, one budget, one shot. Do not show the state-by-state poll table (Appendix C) yet — that comes at the Data Deep Dive.</w:t>
      </w:r>
    </w:p>
    <w:p>
      <w:pPr>
        <w:pStyle w:val="Heading3"/>
        <w:spacing w:after="130" w:before="260"/>
      </w:pPr>
      <w:r>
        <w:rPr>
          <w:b w:val="false"/>
          <w:bCs w:val="false"/>
        </w:rPr>
        <w:t xml:space="preserve">Anchor 1 — TAKE A STAND AND VOTE</w:t>
      </w:r>
    </w:p>
    <w:p>
      <w:pPr>
        <w:spacing w:after="120"/>
      </w:pPr>
      <w:r>
        <w:rPr>
          <w:b w:val="false"/>
          <w:bCs w:val="false"/>
        </w:rPr>
        <w:t xml:space="preserve">No reasoning yet, just commit. "Is anyone courageous enough to stand with the Big-Prize Strategy? With the Margin Strategy?" Record the room's initial split — it is the number Anchor close re-votes against.</w:t>
      </w:r>
    </w:p>
    <w:p>
      <w:pPr>
        <w:pStyle w:val="Heading3"/>
        <w:spacing w:after="130" w:before="260"/>
      </w:pPr>
      <w:r>
        <w:rPr>
          <w:b w:val="false"/>
          <w:bCs w:val="false"/>
        </w:rPr>
        <w:t xml:space="preserve">Anchor 2 — WHAT IS THE PROBLEM WE'RE SOLVING?</w:t>
      </w:r>
    </w:p>
    <w:p>
      <w:pPr>
        <w:spacing w:after="120"/>
      </w:pPr>
      <w:r>
        <w:rPr>
          <w:b w:val="false"/>
          <w:bCs w:val="false"/>
        </w:rPr>
        <w:t xml:space="preserve">"Is this the right question?" "What do you mean by 'flip a state'?" "Does 'winning' mean 270 exactly, or 270 with room to spare?" Let confusion grow deliberately — "Wow, this is a genuinely hard resource-allocation problem" is a good place to let the room sit for a minute.</w:t>
      </w:r>
    </w:p>
    <w:p>
      <w:pPr>
        <w:pStyle w:val="Heading3"/>
        <w:spacing w:after="130" w:before="260"/>
      </w:pPr>
      <w:r>
        <w:rPr>
          <w:b w:val="false"/>
          <w:bCs w:val="false"/>
        </w:rPr>
        <w:t xml:space="preserve">Anchor 3 — WHAT IS THE PROCESS?</w:t>
      </w:r>
    </w:p>
    <w:p>
      <w:pPr>
        <w:spacing w:after="120"/>
      </w:pPr>
      <w:r>
        <w:rPr>
          <w:b w:val="false"/>
          <w:bCs w:val="false"/>
        </w:rPr>
        <w:t xml:space="preserve">"If we go through this process and find the data, how will we decide?" Push the room toward naming an actual procedure (rank states by something, spend until the budget or the threshold is hit) before anyone is allowed to open Appendix C. Re-ask: "Is our question still the right question?"</w:t>
      </w:r>
    </w:p>
    <w:p>
      <w:pPr>
        <w:pStyle w:val="Heading3"/>
        <w:spacing w:after="130" w:before="260"/>
      </w:pPr>
      <w:r>
        <w:rPr>
          <w:b w:val="false"/>
          <w:bCs w:val="false"/>
        </w:rPr>
        <w:t xml:space="preserve">Anchor 4 — WHAT DON'T WE KNOW?</w:t>
      </w:r>
    </w:p>
    <w:p>
      <w:pPr>
        <w:spacing w:after="120"/>
      </w:pPr>
      <w:r>
        <w:rPr>
          <w:b w:val="false"/>
          <w:bCs w:val="false"/>
        </w:rPr>
        <w:t xml:space="preserve">"Do we need to make assumptions? Which ones are critical?" Surface Appendix F's Modeling Assumptions (the swing rate, the per-visit costs) without revealing their exact sensitivity — just that they are stated assumptions, not measured facts, and a Hero may challenge them.</w:t>
      </w:r>
    </w:p>
    <w:p>
      <w:pPr>
        <w:pStyle w:val="Heading3"/>
        <w:spacing w:after="130" w:before="260"/>
      </w:pPr>
      <w:r>
        <w:rPr>
          <w:b w:val="false"/>
          <w:bCs w:val="false"/>
        </w:rPr>
        <w:t xml:space="preserve">Data Deep Dive</w:t>
      </w:r>
    </w:p>
    <w:p>
      <w:pPr>
        <w:spacing w:after="120"/>
      </w:pPr>
      <w:r>
        <w:rPr>
          <w:b w:val="false"/>
          <w:bCs w:val="false"/>
        </w:rPr>
        <w:t xml:space="preserve">Now, and only now, the numbers: Appendix C's full 37-state poll table, Appendix E's budget mechanics. Let the room actually start building visit plans.</w:t>
      </w:r>
    </w:p>
    <w:p>
      <w:pPr>
        <w:pStyle w:val="Heading3"/>
        <w:spacing w:after="130" w:before="260"/>
      </w:pPr>
      <w:r>
        <w:rPr>
          <w:b w:val="false"/>
          <w:bCs w:val="false"/>
        </w:rPr>
        <w:t xml:space="preserve">Twist</w:t>
      </w:r>
    </w:p>
    <w:p>
      <w:pPr>
        <w:spacing w:after="120"/>
      </w:pPr>
      <w:r>
        <w:rPr>
          <w:b w:val="false"/>
          <w:bCs w:val="false"/>
        </w:rPr>
        <w:t xml:space="preserve">At roughly the 15-minute mark: </w:t>
      </w:r>
      <w:r>
        <w:rPr>
          <w:b/>
          <w:bCs/>
        </w:rPr>
        <w:t xml:space="preserve">"Indiana just released a corrected poll. A follow-up verification round found that 4 points of Indiana's previously counted 'undecided' voters had already committed to Farnsworth before November 1 — undecided isn't 23%, it's 19%, and Farnsworth's share rises from 48% to 52%. (Peaken's 29% is unchanged — Indiana's row still sums to 100%.)"</w:t>
      </w:r>
    </w:p>
    <w:p>
      <w:pPr>
        <w:spacing w:after="120"/>
      </w:pPr>
      <w:r>
        <w:rPr>
          <w:b w:val="false"/>
          <w:bCs w:val="false"/>
        </w:rPr>
        <w:t xml:space="preserve">Before the correction, Indiana was a real, if expensive, option: closing its 19-point gap at 2 points per half-day needs exactly 10 half-days (20 points of movement), which fits inside the original 23-point undecided ceiling — </w:t>
      </w:r>
      <w:r>
        <w:rPr>
          <w:b/>
          <w:bCs/>
        </w:rPr>
        <w:t xml:space="preserve">mathematically reachable</w:t>
      </w:r>
      <w:r>
        <w:rPr>
          <w:b w:val="false"/>
          <w:bCs w:val="false"/>
        </w:rPr>
        <w:t xml:space="preserve">, even though at $2,500,000 (flat fee + 10 half-days) it costs more than the entire remaining travel budget on its own, so no verified plan ever actually picks it. After the correction, the gap widens to 23 points while the ceiling shrinks to 19 — 10 half-days would need 20 points of movement, now </w:t>
      </w:r>
      <w:r>
        <w:rPr>
          <w:b w:val="false"/>
          <w:bCs w:val="false"/>
          <w:i/>
          <w:iCs/>
        </w:rPr>
        <w:t xml:space="preserve">more</w:t>
      </w:r>
      <w:r>
        <w:rPr>
          <w:b w:val="false"/>
          <w:bCs w:val="false"/>
        </w:rPr>
        <w:t xml:space="preserve"> than the new 19-point ceiling allows, and no number of half-days can close it. </w:t>
      </w:r>
      <w:r>
        <w:rPr>
          <w:b/>
          <w:bCs/>
        </w:rPr>
        <w:t xml:space="preserve">Indiana flips from mathematically reachable to mathematically impossible.</w:t>
      </w:r>
    </w:p>
    <w:p>
      <w:pPr>
        <w:spacing w:after="120"/>
      </w:pPr>
      <w:r>
        <w:rPr>
          <w:b w:val="false"/>
          <w:bCs w:val="false"/>
        </w:rPr>
        <w:t xml:space="preserve">Ask: </w:t>
      </w:r>
      <w:r>
        <w:rPr>
          <w:b/>
          <w:bCs/>
        </w:rPr>
        <w:t xml:space="preserve">"Does this change your plan? You have 60 seconds — are you changing your states, or not?"</w:t>
      </w:r>
      <w:r>
        <w:rPr>
          <w:b w:val="false"/>
          <w:bCs w:val="false"/>
        </w:rPr>
        <w:t xml:space="preserve"> This invalidates any position that was quietly counting on Indiana (an 11-EV state that looks cheap on the surface but actually needs more half-days than any other state in Appendix C) as a hidden reserve, without making either named strategy obviously correct — neither verified plan (Big-Prize: Texas + Florida; Margin literal: Pennsylvania + Nevada + Wisconsin) ever used Indiana, so the twist doesn't move either strategy's bottom-line EV total. Its job is to close off a real backup some Heroes were eyeing, and to reward anyone who checked the undecided-pool ceiling before penciling Indiana in as a fallback.</w:t>
      </w:r>
    </w:p>
    <w:p>
      <w:pPr>
        <w:spacing w:after="120"/>
      </w:pPr>
      <w:r>
        <w:rPr>
          <w:b w:val="false"/>
          <w:bCs w:val="false"/>
          <w:i/>
          <w:iCs/>
        </w:rPr>
        <w:t xml:space="preserve">(Separately, independent of the twist: Ohio's 12%-undecided ceiling exactly matches its 12-point gap, so Ohio was already a dead-tie-at-best, mathematically unwinnable state from the November 1 data alone — see Socratic question 3 below. Ohio needs no twist to make this point; it's a trap built into the original data.)</w:t>
      </w:r>
    </w:p>
    <w:p>
      <w:pPr>
        <w:pStyle w:val="Heading3"/>
        <w:spacing w:after="130" w:before="260"/>
      </w:pPr>
      <w:r>
        <w:rPr>
          <w:b w:val="false"/>
          <w:bCs w:val="false"/>
        </w:rPr>
        <w:t xml:space="preserve">Close</w:t>
      </w:r>
    </w:p>
    <w:p>
      <w:pPr>
        <w:spacing w:after="120"/>
      </w:pPr>
      <w:r>
        <w:rPr>
          <w:b w:val="false"/>
          <w:bCs w:val="false"/>
        </w:rPr>
        <w:t xml:space="preserve">VOTE AGAIN. "Did we ask the right question?" "What math was new to you today, and how did you attack it?" Compare the final vote to the Anchor 1 vote — who moved, and toward which strategy.</w:t>
      </w:r>
    </w:p>
    <w:p>
      <w:pPr>
        <w:pStyle w:val="Heading3"/>
        <w:spacing w:after="130" w:before="260"/>
      </w:pPr>
      <w:r>
        <w:rPr>
          <w:b w:val="false"/>
          <w:bCs w:val="false"/>
        </w:rPr>
        <w:t xml:space="preserve">Lessons Learned</w:t>
      </w:r>
    </w:p>
    <w:p>
      <w:pPr>
        <w:spacing w:after="120"/>
      </w:pPr>
      <w:r>
        <w:rPr>
          <w:b w:val="false"/>
          <w:bCs w:val="false"/>
        </w:rPr>
        <w:t xml:space="preserve">The gap between "wins states" and "wins the presidency": the Margin Strategy's literal narrowest-first sort does win three separate states (Pennsylvania, Nevada, Wisconsin) — breadth achieved — but still lands 9 electoral votes short of 270, because breadth alone was never the actual win condition. A thoughtfully-solved version of the exact same philosophy (swap Nevada, cheap but only 6 EV, for the better-payoff Michigan) reaches 270 for barely more money — the strategy's </w:t>
      </w:r>
      <w:r>
        <w:rPr>
          <w:b w:val="false"/>
          <w:bCs w:val="false"/>
          <w:i/>
          <w:iCs/>
        </w:rPr>
        <w:t xml:space="preserve">name</w:t>
      </w:r>
      <w:r>
        <w:rPr>
          <w:b w:val="false"/>
          <w:bCs w:val="false"/>
        </w:rPr>
        <w:t xml:space="preserve"> is not the same thing as a </w:t>
      </w:r>
      <w:r>
        <w:rPr>
          <w:b w:val="false"/>
          <w:bCs w:val="false"/>
          <w:i/>
          <w:iCs/>
        </w:rPr>
        <w:t xml:space="preserve">correct execution</w:t>
      </w:r>
      <w:r>
        <w:rPr>
          <w:b w:val="false"/>
          <w:bCs w:val="false"/>
        </w:rPr>
        <w:t xml:space="preserve"> of it. Reading a ceiling constraint (undecided %) before committing budget is not optional — Ohio punishes anyone who skipped it.</w:t>
      </w:r>
    </w:p>
    <w:p>
      <w:pPr>
        <w:pStyle w:val="Heading3"/>
        <w:spacing w:after="130" w:before="260"/>
      </w:pPr>
      <w:r>
        <w:rPr>
          <w:b w:val="false"/>
          <w:bCs w:val="false"/>
        </w:rPr>
        <w:t xml:space="preserve">Standards Touched On</w:t>
      </w:r>
    </w:p>
    <w:p>
      <w:pPr>
        <w:spacing w:after="120"/>
      </w:pPr>
      <w:r>
        <w:rPr>
          <w:b w:val="false"/>
          <w:bCs w:val="false"/>
        </w:rPr>
        <w:t xml:space="preserve">Percent; Ratio; Proportion; How to find the percent of a number; How to convert numbers to percents; How to find a missing amount in a proportion; How to solve a one-step equation; How to evaluate an expression with multiple operations without exponents (Order of Operations).</w:t>
      </w:r>
    </w:p>
    <w:p>
      <w:pPr>
        <w:pStyle w:val="Heading2"/>
        <w:spacing w:after="130" w:before="260"/>
      </w:pPr>
      <w:r>
        <w:rPr>
          <w:b w:val="false"/>
          <w:bCs w:val="false"/>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EC" w:val="clear"/>
            <w:tcMar>
              <w:top w:type="dxa" w:w="50"/>
              <w:left w:type="dxa" w:w="90"/>
              <w:bottom w:type="dxa" w:w="50"/>
              <w:right w:type="dxa" w:w="90"/>
            </w:tcMar>
            <w:vAlign w:val="center"/>
          </w:tcPr>
          <w:p>
            <w:r>
              <w:rPr>
                <w:b/>
                <w:bCs/>
                <w:sz w:val="20"/>
                <w:szCs w:val="20"/>
              </w:rPr>
              <w:t xml:space="preserve">Time</w:t>
            </w:r>
          </w:p>
        </w:tc>
        <w:tc>
          <w:tcPr>
            <w:tcW w:type="dxa" w:w="4680"/>
            <w:shd w:fill="D9E2EC" w:val="clear"/>
            <w:tcMar>
              <w:top w:type="dxa" w:w="50"/>
              <w:left w:type="dxa" w:w="90"/>
              <w:bottom w:type="dxa" w:w="50"/>
              <w:right w:type="dxa" w:w="90"/>
            </w:tcMar>
            <w:vAlign w:val="center"/>
          </w:tcPr>
          <w:p>
            <w:r>
              <w:rPr>
                <w:b/>
                <w:bCs/>
                <w:sz w:val="20"/>
                <w:szCs w:val="20"/>
              </w:rPr>
              <w:t xml:space="preserve">Move</w:t>
            </w:r>
          </w:p>
        </w:tc>
      </w:tr>
      <w:tr>
        <w:tc>
          <w:tcPr>
            <w:tcW w:type="dxa" w:w="4680"/>
            <w:tcMar>
              <w:top w:type="dxa" w:w="50"/>
              <w:left w:type="dxa" w:w="90"/>
              <w:bottom w:type="dxa" w:w="50"/>
              <w:right w:type="dxa" w:w="90"/>
            </w:tcMar>
            <w:vAlign w:val="center"/>
          </w:tcPr>
          <w:p>
            <w:r>
              <w:rPr>
                <w:b w:val="false"/>
                <w:bCs w:val="false"/>
                <w:sz w:val="20"/>
                <w:szCs w:val="20"/>
              </w:rPr>
              <w:t xml:space="preserve">0:00-3:00</w:t>
            </w:r>
          </w:p>
        </w:tc>
        <w:tc>
          <w:tcPr>
            <w:tcW w:type="dxa" w:w="4680"/>
            <w:tcMar>
              <w:top w:type="dxa" w:w="50"/>
              <w:left w:type="dxa" w:w="90"/>
              <w:bottom w:type="dxa" w:w="50"/>
              <w:right w:type="dxa" w:w="90"/>
            </w:tcMar>
            <w:vAlign w:val="center"/>
          </w:tcPr>
          <w:p>
            <w:r>
              <w:rPr>
                <w:b w:val="false"/>
                <w:bCs w:val="false"/>
                <w:sz w:val="20"/>
                <w:szCs w:val="20"/>
              </w:rPr>
              <w:t xml:space="preserve">Cold-call launch, 30-second commitments, stand/sit vote (Anchor 1) — no explanation yet</w:t>
            </w:r>
          </w:p>
        </w:tc>
      </w:tr>
      <w:tr>
        <w:tc>
          <w:tcPr>
            <w:tcW w:type="dxa" w:w="4680"/>
            <w:tcMar>
              <w:top w:type="dxa" w:w="50"/>
              <w:left w:type="dxa" w:w="90"/>
              <w:bottom w:type="dxa" w:w="50"/>
              <w:right w:type="dxa" w:w="90"/>
            </w:tcMar>
            <w:vAlign w:val="center"/>
          </w:tcPr>
          <w:p>
            <w:r>
              <w:rPr>
                <w:b w:val="false"/>
                <w:bCs w:val="false"/>
                <w:sz w:val="20"/>
                <w:szCs w:val="20"/>
              </w:rPr>
              <w:t xml:space="preserve">3:00-10:00</w:t>
            </w:r>
          </w:p>
        </w:tc>
        <w:tc>
          <w:tcPr>
            <w:tcW w:type="dxa" w:w="4680"/>
            <w:tcMar>
              <w:top w:type="dxa" w:w="50"/>
              <w:left w:type="dxa" w:w="90"/>
              <w:bottom w:type="dxa" w:w="50"/>
              <w:right w:type="dxa" w:w="90"/>
            </w:tcMar>
            <w:vAlign w:val="center"/>
          </w:tcPr>
          <w:p>
            <w:r>
              <w:rPr>
                <w:b w:val="false"/>
                <w:bCs w:val="false"/>
                <w:sz w:val="20"/>
                <w:szCs w:val="20"/>
              </w:rPr>
              <w:t xml:space="preserve">Position defense: "Convince us why your strategy is better, not just that it sounds efficient/big" (Anchors 2-3)</w:t>
            </w:r>
          </w:p>
        </w:tc>
      </w:tr>
      <w:tr>
        <w:tc>
          <w:tcPr>
            <w:tcW w:type="dxa" w:w="4680"/>
            <w:tcMar>
              <w:top w:type="dxa" w:w="50"/>
              <w:left w:type="dxa" w:w="90"/>
              <w:bottom w:type="dxa" w:w="50"/>
              <w:right w:type="dxa" w:w="90"/>
            </w:tcMar>
            <w:vAlign w:val="center"/>
          </w:tcPr>
          <w:p>
            <w:r>
              <w:rPr>
                <w:b w:val="false"/>
                <w:bCs w:val="false"/>
                <w:sz w:val="20"/>
                <w:szCs w:val="20"/>
              </w:rPr>
              <w:t xml:space="preserve">10:00-15:00</w:t>
            </w:r>
          </w:p>
        </w:tc>
        <w:tc>
          <w:tcPr>
            <w:tcW w:type="dxa" w:w="4680"/>
            <w:tcMar>
              <w:top w:type="dxa" w:w="50"/>
              <w:left w:type="dxa" w:w="90"/>
              <w:bottom w:type="dxa" w:w="50"/>
              <w:right w:type="dxa" w:w="90"/>
            </w:tcMar>
            <w:vAlign w:val="center"/>
          </w:tcPr>
          <w:p>
            <w:r>
              <w:rPr>
                <w:b w:val="false"/>
                <w:bCs w:val="false"/>
                <w:sz w:val="20"/>
                <w:szCs w:val="20"/>
              </w:rPr>
              <w:t xml:space="preserve">Pressure-test the models: "Whose plan is most fragile if one state's poll is off by a few points?"</w:t>
            </w:r>
          </w:p>
        </w:tc>
      </w:tr>
      <w:tr>
        <w:tc>
          <w:tcPr>
            <w:tcW w:type="dxa" w:w="4680"/>
            <w:tcMar>
              <w:top w:type="dxa" w:w="50"/>
              <w:left w:type="dxa" w:w="90"/>
              <w:bottom w:type="dxa" w:w="50"/>
              <w:right w:type="dxa" w:w="90"/>
            </w:tcMar>
            <w:vAlign w:val="center"/>
          </w:tcPr>
          <w:p>
            <w:r>
              <w:rPr>
                <w:b w:val="false"/>
                <w:bCs w:val="false"/>
                <w:sz w:val="20"/>
                <w:szCs w:val="20"/>
              </w:rPr>
              <w:t xml:space="preserve">15:00</w:t>
            </w:r>
          </w:p>
        </w:tc>
        <w:tc>
          <w:tcPr>
            <w:tcW w:type="dxa" w:w="4680"/>
            <w:tcMar>
              <w:top w:type="dxa" w:w="50"/>
              <w:left w:type="dxa" w:w="90"/>
              <w:bottom w:type="dxa" w:w="50"/>
              <w:right w:type="dxa" w:w="90"/>
            </w:tcMar>
            <w:vAlign w:val="center"/>
          </w:tcPr>
          <w:p>
            <w:r>
              <w:rPr>
                <w:b/>
                <w:bCs/>
                <w:sz w:val="20"/>
                <w:szCs w:val="20"/>
              </w:rPr>
              <w:t xml:space="preserve">DROP THE TWIST</w:t>
            </w:r>
            <w:r>
              <w:rPr>
                <w:b w:val="false"/>
                <w:bCs w:val="false"/>
                <w:sz w:val="20"/>
                <w:szCs w:val="20"/>
              </w:rPr>
              <w:t xml:space="preserve"> — Indiana's undecided share is corrected from 23% to 19% (Farnsworth 48%→52%), delivered slowly, with pauses</w:t>
            </w:r>
          </w:p>
        </w:tc>
      </w:tr>
      <w:tr>
        <w:tc>
          <w:tcPr>
            <w:tcW w:type="dxa" w:w="4680"/>
            <w:tcMar>
              <w:top w:type="dxa" w:w="50"/>
              <w:left w:type="dxa" w:w="90"/>
              <w:bottom w:type="dxa" w:w="50"/>
              <w:right w:type="dxa" w:w="90"/>
            </w:tcMar>
            <w:vAlign w:val="center"/>
          </w:tcPr>
          <w:p>
            <w:r>
              <w:rPr>
                <w:b w:val="false"/>
                <w:bCs w:val="false"/>
                <w:sz w:val="20"/>
                <w:szCs w:val="20"/>
              </w:rPr>
              <w:t xml:space="preserve">15:00-20:00</w:t>
            </w:r>
          </w:p>
        </w:tc>
        <w:tc>
          <w:tcPr>
            <w:tcW w:type="dxa" w:w="4680"/>
            <w:tcMar>
              <w:top w:type="dxa" w:w="50"/>
              <w:left w:type="dxa" w:w="90"/>
              <w:bottom w:type="dxa" w:w="50"/>
              <w:right w:type="dxa" w:w="90"/>
            </w:tcMar>
            <w:vAlign w:val="center"/>
          </w:tcPr>
          <w:p>
            <w:r>
              <w:rPr>
                <w:b w:val="false"/>
                <w:bCs w:val="false"/>
                <w:sz w:val="20"/>
                <w:szCs w:val="20"/>
              </w:rPr>
              <w:t xml:space="preserve">Immediate recommit: who reverses, and who was quietly counting on Ohio? "What just broke?"</w:t>
            </w:r>
          </w:p>
        </w:tc>
      </w:tr>
      <w:tr>
        <w:tc>
          <w:tcPr>
            <w:tcW w:type="dxa" w:w="4680"/>
            <w:tcMar>
              <w:top w:type="dxa" w:w="50"/>
              <w:left w:type="dxa" w:w="90"/>
              <w:bottom w:type="dxa" w:w="50"/>
              <w:right w:type="dxa" w:w="90"/>
            </w:tcMar>
            <w:vAlign w:val="center"/>
          </w:tcPr>
          <w:p>
            <w:r>
              <w:rPr>
                <w:b w:val="false"/>
                <w:bCs w:val="false"/>
                <w:sz w:val="20"/>
                <w:szCs w:val="20"/>
              </w:rPr>
              <w:t xml:space="preserve">20:00-30:00</w:t>
            </w:r>
          </w:p>
        </w:tc>
        <w:tc>
          <w:tcPr>
            <w:tcW w:type="dxa" w:w="4680"/>
            <w:tcMar>
              <w:top w:type="dxa" w:w="50"/>
              <w:left w:type="dxa" w:w="90"/>
              <w:bottom w:type="dxa" w:w="50"/>
              <w:right w:type="dxa" w:w="90"/>
            </w:tcMar>
            <w:vAlign w:val="center"/>
          </w:tcPr>
          <w:p>
            <w:r>
              <w:rPr>
                <w:b w:val="false"/>
                <w:bCs w:val="false"/>
                <w:sz w:val="20"/>
                <w:szCs w:val="20"/>
              </w:rPr>
              <w:t xml:space="preserve">Threaded deep conflict, two named threads: (1) efficiency-per-dollar vs. certainty-of-reaching-270; (2) reading a ceiling constraint (undecided %) before spending vs. chasing the raw poll gap</w:t>
            </w:r>
          </w:p>
        </w:tc>
      </w:tr>
      <w:tr>
        <w:tc>
          <w:tcPr>
            <w:tcW w:type="dxa" w:w="4680"/>
            <w:tcMar>
              <w:top w:type="dxa" w:w="50"/>
              <w:left w:type="dxa" w:w="90"/>
              <w:bottom w:type="dxa" w:w="50"/>
              <w:right w:type="dxa" w:w="90"/>
            </w:tcMar>
            <w:vAlign w:val="center"/>
          </w:tcPr>
          <w:p>
            <w:r>
              <w:rPr>
                <w:b w:val="false"/>
                <w:bCs w:val="false"/>
                <w:sz w:val="20"/>
                <w:szCs w:val="20"/>
              </w:rPr>
              <w:t xml:space="preserve">30:00-45:00</w:t>
            </w:r>
          </w:p>
        </w:tc>
        <w:tc>
          <w:tcPr>
            <w:tcW w:type="dxa" w:w="4680"/>
            <w:tcMar>
              <w:top w:type="dxa" w:w="50"/>
              <w:left w:type="dxa" w:w="90"/>
              <w:bottom w:type="dxa" w:w="50"/>
              <w:right w:type="dxa" w:w="90"/>
            </w:tcMar>
            <w:vAlign w:val="center"/>
          </w:tcPr>
          <w:p>
            <w:r>
              <w:rPr>
                <w:b w:val="false"/>
                <w:bCs w:val="false"/>
                <w:sz w:val="20"/>
                <w:szCs w:val="20"/>
              </w:rPr>
              <w:t xml:space="preserve">Close, re-vote, reflection, lessons learned</w:t>
            </w:r>
          </w:p>
        </w:tc>
      </w:tr>
    </w:tbl>
    <w:p>
      <w:pPr>
        <w:spacing w:after="120"/>
      </w:pPr>
    </w:p>
    <w:p>
      <w:pPr>
        <w:pStyle w:val="Heading2"/>
        <w:spacing w:after="130" w:before="260"/>
      </w:pPr>
      <w:r>
        <w:rPr>
          <w:b w:val="false"/>
          <w:bCs w:val="false"/>
        </w:rPr>
        <w:t xml:space="preserve">Cohort bands (SPEC's cohort-bands requirement)</w:t>
      </w:r>
    </w:p>
    <w:p>
      <w:pPr>
        <w:pStyle w:val="ListParagraph"/>
        <w:numPr>
          <w:ilvl w:val="0"/>
          <w:numId w:val="2"/>
        </w:numPr>
      </w:pPr>
      <w:r>
        <w:rPr>
          <w:b/>
          <w:bCs/>
        </w:rPr>
        <w:t xml:space="preserve">Full (12-14)</w:t>
      </w:r>
      <w:r>
        <w:rPr>
          <w:b w:val="false"/>
          <w:bCs w:val="false"/>
        </w:rPr>
        <w:t xml:space="preserve"> — the size the case was authored for. Both strategies get a full defense</w:t>
      </w:r>
    </w:p>
    <w:p>
      <w:pPr>
        <w:spacing w:after="120"/>
      </w:pPr>
      <w:r>
        <w:rPr>
          <w:b w:val="false"/>
          <w:bCs w:val="false"/>
        </w:rPr>
        <w:t xml:space="preserve">  round; Anchor 3's process discussion can split the room into an "A" camp and a "B" camp before   the numbers land; the full timed 45-minute Socratic plan runs as written.</w:t>
      </w:r>
    </w:p>
    <w:p>
      <w:pPr>
        <w:pStyle w:val="ListParagraph"/>
        <w:numPr>
          <w:ilvl w:val="0"/>
          <w:numId w:val="2"/>
        </w:numPr>
      </w:pPr>
      <w:r>
        <w:rPr>
          <w:b/>
          <w:bCs/>
        </w:rPr>
        <w:t xml:space="preserve">Compressed (6-7)</w:t>
      </w:r>
      <w:r>
        <w:rPr>
          <w:b w:val="false"/>
          <w:bCs w:val="false"/>
        </w:rPr>
        <w:t xml:space="preserve"> — combine Anchors 2-3 into one pass; run one deep-conflict thread instead</w:t>
      </w:r>
    </w:p>
    <w:p>
      <w:pPr>
        <w:spacing w:after="120"/>
      </w:pPr>
      <w:r>
        <w:rPr>
          <w:b w:val="false"/>
          <w:bCs w:val="false"/>
        </w:rPr>
        <w:t xml:space="preserve">  of two (efficiency vs. certainty of reaching 270); keep the Ohio-ceiling twist — it is cheap to   run at any size; total runtime shortens proportionally, not the content.</w:t>
      </w:r>
    </w:p>
    <w:p>
      <w:pPr>
        <w:pStyle w:val="ListParagraph"/>
        <w:numPr>
          <w:ilvl w:val="0"/>
          <w:numId w:val="2"/>
        </w:numPr>
      </w:pPr>
      <w:r>
        <w:rPr>
          <w:b/>
          <w:bCs/>
        </w:rPr>
        <w:t xml:space="preserve">1:1 / pair (1-2)</w:t>
      </w:r>
      <w:r>
        <w:rPr>
          <w:b w:val="false"/>
          <w:bCs w:val="false"/>
        </w:rPr>
        <w:t xml:space="preserve"> — no vote to take; Anchor 1 becomes each learner stating an initial</w:t>
      </w:r>
    </w:p>
    <w:p>
      <w:pPr>
        <w:spacing w:after="120"/>
      </w:pPr>
      <w:r>
        <w:rPr>
          <w:b w:val="false"/>
          <w:bCs w:val="false"/>
        </w:rPr>
        <w:t xml:space="preserve">  position instead of a stand/sit vote; the guide plays devil's advocate on the other strategy   directly rather than cold-calling; the twist still lands; "who reverses" becomes "would you   reverse, and why."</w:t>
      </w:r>
    </w:p>
    <w:p>
      <w:pPr>
        <w:pStyle w:val="Heading2"/>
        <w:spacing w:after="130" w:before="260"/>
      </w:pPr>
      <w:r>
        <w:rPr>
          <w:b w:val="false"/>
          <w:bCs w:val="false"/>
        </w:rPr>
        <w:t xml:space="preserve">What a strong defense sounds like</w:t>
      </w:r>
    </w:p>
    <w:p>
      <w:r>
        <w:rPr>
          <w:b w:val="false"/>
          <w:bCs w:val="false"/>
        </w:rPr>
        <w:t xml:space="preserve">This case has no single right answer — both Big-Prize and Margin are defensible strategies, and the case-readiness QA run confirmed both a naive and a thoughtful execution of either philosophy exist. A strong Hero defense is not judged by which letter they pick. Listen for: (1) a plan that respects every hard constraint — the $3,000,000 travel budget, the 6-day/12-half-day schedule cap, and each state’s own undecided-voter ceiling (Appendix C) — rather than one that quietly overspends or assumes more undecided voters than a state actually has left; (2) a D2 equation that is actually solved, not eyeballed, and that correctly treats an exact tie (Pennsylvania, 43/43) as not-yet-won, per the case’s own strict-exceed rule; (3) a D4 cost-efficiency ranking that is used to justify the chosen states against the rejected ones, not computed and then ignored; (4) language that keeps “narrowest polling margin” and “best value per electoral vote” conceptually distinct — a Hero who conflates them (the trap) but catches themselves when pressed is showing real mathematical reasoning, even if their first draft didn’t. A weak defense restates a strategy’s label without running its own numbers, or picks a set of states that on inspection overspends the budget or exceeds an undecided ceiling.</w:t>
      </w:r>
    </w:p>
    <w:p>
      <w:pPr>
        <w:pStyle w:val="Heading2"/>
        <w:spacing w:after="130" w:before="260"/>
      </w:pPr>
      <w:r>
        <w:rPr>
          <w:b w:val="false"/>
          <w:bCs w:val="false"/>
        </w:rPr>
        <w:t xml:space="preserve">Skills this case exercises</w:t>
      </w:r>
    </w:p>
    <w:p>
      <w:pPr>
        <w:pStyle w:val="ListParagraph"/>
        <w:numPr>
          <w:ilvl w:val="0"/>
          <w:numId w:val="2"/>
        </w:numPr>
      </w:pPr>
      <w:r>
        <w:rPr>
          <w:b w:val="false"/>
          <w:bCs w:val="false"/>
        </w:rPr>
        <w:t xml:space="preserve">advanced numbers percent</w:t>
      </w:r>
    </w:p>
    <w:p>
      <w:pPr>
        <w:pStyle w:val="ListParagraph"/>
        <w:numPr>
          <w:ilvl w:val="0"/>
          <w:numId w:val="2"/>
        </w:numPr>
      </w:pPr>
      <w:r>
        <w:rPr>
          <w:b w:val="false"/>
          <w:bCs w:val="false"/>
        </w:rPr>
        <w:t xml:space="preserve">advanced numbers how to find the percent of a number</w:t>
      </w:r>
    </w:p>
    <w:p>
      <w:pPr>
        <w:pStyle w:val="ListParagraph"/>
        <w:numPr>
          <w:ilvl w:val="0"/>
          <w:numId w:val="2"/>
        </w:numPr>
      </w:pPr>
      <w:r>
        <w:rPr>
          <w:b w:val="false"/>
          <w:bCs w:val="false"/>
        </w:rPr>
        <w:t xml:space="preserve">advanced numbers how to convert numbers to percents</w:t>
      </w:r>
    </w:p>
    <w:p>
      <w:pPr>
        <w:pStyle w:val="ListParagraph"/>
        <w:numPr>
          <w:ilvl w:val="0"/>
          <w:numId w:val="2"/>
        </w:numPr>
      </w:pPr>
      <w:r>
        <w:rPr>
          <w:b w:val="false"/>
          <w:bCs w:val="false"/>
        </w:rPr>
        <w:t xml:space="preserve">measurement ratio</w:t>
      </w:r>
    </w:p>
    <w:p>
      <w:pPr>
        <w:pStyle w:val="ListParagraph"/>
        <w:numPr>
          <w:ilvl w:val="0"/>
          <w:numId w:val="2"/>
        </w:numPr>
      </w:pPr>
      <w:r>
        <w:rPr>
          <w:b w:val="false"/>
          <w:bCs w:val="false"/>
        </w:rPr>
        <w:t xml:space="preserve">measurement proportion</w:t>
      </w:r>
    </w:p>
    <w:p>
      <w:pPr>
        <w:pStyle w:val="ListParagraph"/>
        <w:numPr>
          <w:ilvl w:val="0"/>
          <w:numId w:val="2"/>
        </w:numPr>
      </w:pPr>
      <w:r>
        <w:rPr>
          <w:b w:val="false"/>
          <w:bCs w:val="false"/>
        </w:rPr>
        <w:t xml:space="preserve">measurement how to find a missing amount in a proportion</w:t>
      </w:r>
    </w:p>
    <w:p>
      <w:pPr>
        <w:pStyle w:val="ListParagraph"/>
        <w:numPr>
          <w:ilvl w:val="0"/>
          <w:numId w:val="2"/>
        </w:numPr>
      </w:pPr>
      <w:r>
        <w:rPr>
          <w:b w:val="false"/>
          <w:bCs w:val="false"/>
        </w:rPr>
        <w:t xml:space="preserve">advanced operations how to solve a one step equation</w:t>
      </w:r>
    </w:p>
    <w:p>
      <w:pPr>
        <w:pStyle w:val="ListParagraph"/>
        <w:numPr>
          <w:ilvl w:val="0"/>
          <w:numId w:val="2"/>
        </w:numPr>
      </w:pPr>
      <w:r>
        <w:rPr>
          <w:b w:val="false"/>
          <w:bCs w:val="false"/>
        </w:rPr>
        <w:t xml:space="preserve">advanced operations how to evaluate an expression with multiple operations without exponents 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2026-08-20T22:58:13.287Z</dcterms:created>
  <dcterms:modified xsi:type="dcterms:W3CDTF">2026-08-20T22:58:13.287Z</dcterms:modified>
</cp:coreProperties>
</file>

<file path=docProps/custom.xml><?xml version="1.0" encoding="utf-8"?>
<Properties xmlns="http://schemas.openxmlformats.org/officeDocument/2006/custom-properties" xmlns:vt="http://schemas.openxmlformats.org/officeDocument/2006/docPropsVTypes"/>
</file>