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3a5c"/>
          <w:sz w:val="44"/>
          <w:szCs w:val="44"/>
        </w:rPr>
        <w:t xml:space="preserve">Case Study: Fast Food</w:t>
      </w:r>
    </w:p>
    <w:p>
      <w:pPr>
        <w:spacing w:after="200"/>
      </w:pPr>
      <w:r>
        <w:rPr>
          <w:rFonts w:ascii="Arial" w:cs="Arial" w:eastAsia="Arial" w:hAnsi="Arial"/>
          <w:color w:val="5b6472"/>
          <w:sz w:val="20"/>
          <w:szCs w:val="20"/>
        </w:rPr>
        <w:t xml:space="preserve">MS | Math | Case Study | 2026-27 | Heroes Academy</w:t>
      </w:r>
    </w:p>
    <w:p>
      <w:pPr>
        <w:pBdr>
          <w:bottom w:val="single" w:color="c9a227" w:sz="8" w:space="6"/>
        </w:pBdr>
        <w:spacing w:after="200"/>
      </w:pPr>
    </w:p>
    <w:p>
      <w:pPr>
        <w:pStyle w:val="Heading1"/>
        <w:spacing w:after="150" w:before="300"/>
      </w:pPr>
      <w:r>
        <w:rPr>
          <w:rFonts w:ascii="Arial" w:cs="Arial" w:eastAsia="Arial" w:hAnsi="Arial"/>
          <w:b/>
          <w:bCs/>
          <w:color w:val="1a3a5c"/>
        </w:rPr>
        <w:t xml:space="preserve">Overview</w:t>
      </w:r>
    </w:p>
    <w:p>
      <w:pPr>
        <w:spacing w:after="160"/>
      </w:pPr>
      <w:r>
        <w:rPr>
          <w:rFonts w:ascii="Calibri" w:cs="Calibri" w:eastAsia="Calibri" w:hAnsi="Calibri"/>
          <w:b w:val="false"/>
          <w:bCs w:val="false"/>
          <w:i w:val="false"/>
          <w:iCs w:val="false"/>
          <w:sz w:val="22"/>
          <w:szCs w:val="22"/>
        </w:rPr>
        <w:t xml:space="preserve">"Are we really going to do this?" Devin asks, pulling into the garage with dinner from their favorite drive-thru still warm on the passenger seat. "Yeah," Chris says, killing the engine but not moving to get out. "We've talked about it for months. The timing's right — the house sale closed, the neighborhood's exploding, and we've got people who actually want to invest with us."</w:t>
      </w:r>
    </w:p>
    <w:p>
      <w:pPr>
        <w:spacing w:after="160"/>
      </w:pPr>
      <w:r>
        <w:rPr>
          <w:rFonts w:ascii="Calibri" w:cs="Calibri" w:eastAsia="Calibri" w:hAnsi="Calibri"/>
          <w:b w:val="false"/>
          <w:bCs w:val="false"/>
          <w:i w:val="false"/>
          <w:iCs w:val="false"/>
          <w:sz w:val="22"/>
          <w:szCs w:val="22"/>
        </w:rPr>
        <w:t xml:space="preserve">Devin exhales, feeling the mix of excitement and nausea that comes with betting a chunk of your savings on a business you don't own yet. She pulls a folder off the dash — two franchise packets, both dog-eared from weeks of research, both promising, both real.</w:t>
      </w:r>
    </w:p>
    <w:p>
      <w:pPr>
        <w:spacing w:after="160"/>
      </w:pPr>
      <w:r>
        <w:rPr>
          <w:rFonts w:ascii="Calibri" w:cs="Calibri" w:eastAsia="Calibri" w:hAnsi="Calibri"/>
          <w:b w:val="false"/>
          <w:bCs w:val="false"/>
          <w:i w:val="false"/>
          <w:iCs w:val="false"/>
          <w:sz w:val="22"/>
          <w:szCs w:val="22"/>
        </w:rPr>
        <w:t xml:space="preserve">"I'll get everyone together next week," she says. "But we walk in with an actual pick. Not 'we're leaning toward' — a pick, with numbers."</w:t>
      </w:r>
    </w:p>
    <w:p>
      <w:pPr>
        <w:spacing w:after="160"/>
      </w:pPr>
      <w:r>
        <w:rPr>
          <w:rFonts w:ascii="Calibri" w:cs="Calibri" w:eastAsia="Calibri" w:hAnsi="Calibri"/>
          <w:b w:val="false"/>
          <w:bCs w:val="false"/>
          <w:i w:val="false"/>
          <w:iCs w:val="false"/>
          <w:sz w:val="22"/>
          <w:szCs w:val="22"/>
        </w:rPr>
        <w:t xml:space="preserve">Chris nods slowly, already running the problem in his head the way he runs every problem at work. Two logos. Two very different bets. One presentation, five days away, in front of the people trusting them with real money.</w:t>
      </w:r>
    </w:p>
    <w:p>
      <w:pPr>
        <w:spacing w:after="160"/>
      </w:pPr>
      <w:r>
        <w:rPr>
          <w:rFonts w:ascii="Calibri" w:cs="Calibri" w:eastAsia="Calibri" w:hAnsi="Calibri"/>
          <w:b w:val="false"/>
          <w:bCs w:val="false"/>
          <w:i w:val="false"/>
          <w:iCs w:val="false"/>
          <w:sz w:val="22"/>
          <w:szCs w:val="22"/>
        </w:rPr>
        <w:t xml:space="preserve">He reaches for his laptop.</w:t>
      </w:r>
    </w:p>
    <w:p>
      <w:pPr>
        <w:pStyle w:val="Heading1"/>
        <w:spacing w:after="150" w:before="300"/>
      </w:pPr>
      <w:r>
        <w:rPr>
          <w:rFonts w:ascii="Arial" w:cs="Arial" w:eastAsia="Arial" w:hAnsi="Arial"/>
          <w:b/>
          <w:bCs/>
          <w:color w:val="1a3a5c"/>
        </w:rPr>
        <w:t xml:space="preserve">Background</w:t>
      </w:r>
    </w:p>
    <w:p>
      <w:pPr>
        <w:spacing w:after="160"/>
      </w:pPr>
      <w:r>
        <w:rPr>
          <w:rFonts w:ascii="Calibri" w:cs="Calibri" w:eastAsia="Calibri" w:hAnsi="Calibri"/>
          <w:b w:val="false"/>
          <w:bCs w:val="false"/>
          <w:i w:val="false"/>
          <w:iCs w:val="false"/>
          <w:sz w:val="22"/>
          <w:szCs w:val="22"/>
        </w:rPr>
        <w:t xml:space="preserve">Devin Reynolds (35) is a primary care physician at St. Luke's Hospital in Meridian, Idaho. Her husband Chris (34) is a mechanical engineer in Boise who is ready to leave his job to run the franchise full-time if the group moves forward — which means the business needs a real staff on day one, not just an owner-operator.</w:t>
      </w:r>
    </w:p>
    <w:p>
      <w:pPr>
        <w:spacing w:after="160"/>
      </w:pPr>
      <w:r>
        <w:rPr>
          <w:rFonts w:ascii="Calibri" w:cs="Calibri" w:eastAsia="Calibri" w:hAnsi="Calibri"/>
          <w:b w:val="false"/>
          <w:bCs w:val="false"/>
          <w:i w:val="false"/>
          <w:iCs w:val="false"/>
          <w:sz w:val="22"/>
          <w:szCs w:val="22"/>
        </w:rPr>
        <w:t xml:space="preserve">After selling a home Devin owned before their marriage, the couple has $186,000 in liquid savings plus $345,000 in home-sale proceeds. A small group of family and friends has offered to invest alongside them, adding $275,000 in committed capital (see Appendix A for how each franchise's own start-up cost compares against the group's combined total).</w:t>
      </w:r>
    </w:p>
    <w:p>
      <w:pPr>
        <w:spacing w:after="160"/>
      </w:pPr>
      <w:r>
        <w:rPr>
          <w:rFonts w:ascii="Calibri" w:cs="Calibri" w:eastAsia="Calibri" w:hAnsi="Calibri"/>
          <w:b w:val="false"/>
          <w:bCs w:val="false"/>
          <w:i w:val="false"/>
          <w:iCs w:val="false"/>
          <w:sz w:val="22"/>
          <w:szCs w:val="22"/>
        </w:rPr>
        <w:t xml:space="preserve">Chris and Devin first looked at their own favorite chains, but the existing franchisees in the Meridian area hold territorial rights that block any new location for those brands. After months of research, two other national franchise opportunities remain live options: a Subway franchise and a Papa John's franchise (see Appendix A and Appendix B). The group wants to build in Meridian, Idaho, a fast-growing suburb of Boise (see Appendix D for the real growth data behind that pitch).</w:t>
      </w:r>
    </w:p>
    <w:p>
      <w:pPr>
        <w:spacing w:after="160"/>
      </w:pPr>
      <w:r>
        <w:rPr>
          <w:rFonts w:ascii="Calibri" w:cs="Calibri" w:eastAsia="Calibri" w:hAnsi="Calibri"/>
          <w:b w:val="false"/>
          <w:bCs w:val="false"/>
          <w:i w:val="false"/>
          <w:iCs w:val="false"/>
          <w:sz w:val="22"/>
          <w:szCs w:val="22"/>
        </w:rPr>
        <w:t xml:space="preserve">Whichever franchise they choose, the investor group meets in five days to hear a specific financial plan: the total start-up investment and staffing needed to open, the franchise's ongoing fees and first-year operating costs, projected first-year revenue, and how long it will take the business to pay back what everyone put in (see Appendix C for the modeling assumptions behind the staffing and operating-cost figures, Appendix E for the full source citations behind every figure, and Appendix F for the "how to…" math questions the case draws on).</w:t>
      </w:r>
    </w:p>
    <w:p>
      <w:pPr>
        <w:pStyle w:val="Heading1"/>
        <w:spacing w:after="150" w:before="300"/>
      </w:pPr>
      <w:r>
        <w:rPr>
          <w:rFonts w:ascii="Arial" w:cs="Arial" w:eastAsia="Arial" w:hAnsi="Arial"/>
          <w:b/>
          <w:bCs/>
          <w:color w:val="1a3a5c"/>
        </w:rPr>
        <w:t xml:space="preserve">Dilemma</w:t>
      </w:r>
    </w:p>
    <w:p>
      <w:pPr>
        <w:spacing w:after="160"/>
      </w:pPr>
      <w:r>
        <w:rPr>
          <w:rFonts w:ascii="Calibri" w:cs="Calibri" w:eastAsia="Calibri" w:hAnsi="Calibri"/>
          <w:b/>
          <w:bCs/>
          <w:i w:val="false"/>
          <w:iCs w:val="false"/>
          <w:sz w:val="22"/>
          <w:szCs w:val="22"/>
        </w:rPr>
        <w:t xml:space="preserve">You are Chris and Devin Reynolds.</w:t>
      </w:r>
    </w:p>
    <w:p>
      <w:pPr>
        <w:spacing w:after="160"/>
      </w:pPr>
      <w:r>
        <w:rPr>
          <w:rFonts w:ascii="Calibri" w:cs="Calibri" w:eastAsia="Calibri" w:hAnsi="Calibri"/>
          <w:b w:val="false"/>
          <w:bCs w:val="false"/>
          <w:i w:val="false"/>
          <w:iCs w:val="false"/>
          <w:sz w:val="22"/>
          <w:szCs w:val="22"/>
        </w:rPr>
        <w:t xml:space="preserve">Do you:</w:t>
      </w:r>
    </w:p>
    <w:p>
      <w:pPr>
        <w:spacing w:after="160"/>
      </w:pPr>
      <w:r>
        <w:rPr>
          <w:rFonts w:ascii="Calibri" w:cs="Calibri" w:eastAsia="Calibri" w:hAnsi="Calibri"/>
          <w:b/>
          <w:bCs/>
          <w:i w:val="false"/>
          <w:iCs w:val="false"/>
          <w:sz w:val="22"/>
          <w:szCs w:val="22"/>
        </w:rPr>
        <w:t xml:space="preserve">A.) Pitch to purchase a Subway franchise OR</w:t>
      </w:r>
    </w:p>
    <w:p>
      <w:pPr>
        <w:spacing w:after="160"/>
      </w:pPr>
      <w:r>
        <w:rPr>
          <w:rFonts w:ascii="Calibri" w:cs="Calibri" w:eastAsia="Calibri" w:hAnsi="Calibri"/>
          <w:b/>
          <w:bCs/>
          <w:i w:val="false"/>
          <w:iCs w:val="false"/>
          <w:sz w:val="22"/>
          <w:szCs w:val="22"/>
        </w:rPr>
        <w:t xml:space="preserve">B.) Pitch to purchase a Papa John's franchise</w:t>
      </w:r>
    </w:p>
    <w:p>
      <w:pPr>
        <w:pStyle w:val="Heading1"/>
        <w:spacing w:after="150" w:before="300"/>
      </w:pPr>
      <w:r>
        <w:rPr>
          <w:rFonts w:ascii="Arial" w:cs="Arial" w:eastAsia="Arial" w:hAnsi="Arial"/>
          <w:b/>
          <w:bCs/>
          <w:color w:val="1a3a5c"/>
        </w:rPr>
        <w:t xml:space="preserve">Challenges</w:t>
      </w:r>
    </w:p>
    <w:p>
      <w:pPr>
        <w:spacing w:after="160"/>
      </w:pPr>
      <w:r>
        <w:rPr>
          <w:rFonts w:ascii="Calibri" w:cs="Calibri" w:eastAsia="Calibri" w:hAnsi="Calibri"/>
          <w:b w:val="false"/>
          <w:bCs w:val="false"/>
          <w:i w:val="false"/>
          <w:iCs w:val="false"/>
          <w:sz w:val="22"/>
          <w:szCs w:val="22"/>
        </w:rPr>
        <w:t xml:space="preserve">1.) Research and find an online resource that answers one of the "how to…" questions from the case study launch. Post a link to the resource as your submission.</w:t>
      </w:r>
    </w:p>
    <w:p>
      <w:pPr>
        <w:spacing w:after="160"/>
      </w:pPr>
      <w:r>
        <w:rPr>
          <w:rFonts w:ascii="Calibri" w:cs="Calibri" w:eastAsia="Calibri" w:hAnsi="Calibri"/>
          <w:b w:val="false"/>
          <w:bCs w:val="false"/>
          <w:i w:val="false"/>
          <w:iCs w:val="false"/>
          <w:sz w:val="22"/>
          <w:szCs w:val="22"/>
        </w:rPr>
        <w:t xml:space="preserve">2.) Post 250 or more "excellent" words pitching a firm stance to your audience on which you would choose and why. Your pitch must include:</w:t>
      </w:r>
    </w:p>
    <w:p>
      <w:pPr>
        <w:pStyle w:val="ListParagraph"/>
        <w:numPr>
          <w:ilvl w:val="0"/>
          <w:numId w:val="2"/>
        </w:numPr>
        <w:spacing w:after="100"/>
      </w:pPr>
      <w:r>
        <w:rPr>
          <w:rFonts w:ascii="Calibri" w:cs="Calibri" w:eastAsia="Calibri" w:hAnsi="Calibri"/>
          <w:sz w:val="22"/>
          <w:szCs w:val="22"/>
        </w:rPr>
        <w:t xml:space="preserve">a.) Use of the "how to…" resource you researched in Challenge 1.</w:t>
      </w:r>
    </w:p>
    <w:p>
      <w:pPr>
        <w:pStyle w:val="ListParagraph"/>
        <w:numPr>
          <w:ilvl w:val="0"/>
          <w:numId w:val="2"/>
        </w:numPr>
        <w:spacing w:after="100"/>
      </w:pPr>
      <w:r>
        <w:rPr>
          <w:rFonts w:ascii="Calibri" w:cs="Calibri" w:eastAsia="Calibri" w:hAnsi="Calibri"/>
          <w:sz w:val="22"/>
          <w:szCs w:val="22"/>
        </w:rPr>
        <w:t xml:space="preserve">b.) At least one original visual display of the data.</w:t>
      </w:r>
    </w:p>
    <w:p>
      <w:pPr>
        <w:spacing w:after="160"/>
      </w:pPr>
      <w:r>
        <w:rPr>
          <w:rFonts w:ascii="Calibri" w:cs="Calibri" w:eastAsia="Calibri" w:hAnsi="Calibri"/>
          <w:b w:val="false"/>
          <w:bCs w:val="false"/>
          <w:i w:val="false"/>
          <w:iCs w:val="false"/>
          <w:sz w:val="22"/>
          <w:szCs w:val="22"/>
        </w:rPr>
        <w:t xml:space="preserve">3.) Include the following:</w:t>
      </w:r>
    </w:p>
    <w:p>
      <w:pPr>
        <w:pStyle w:val="ListParagraph"/>
        <w:numPr>
          <w:ilvl w:val="0"/>
          <w:numId w:val="2"/>
        </w:numPr>
        <w:spacing w:after="100"/>
      </w:pPr>
      <w:r>
        <w:rPr>
          <w:rFonts w:ascii="Calibri" w:cs="Calibri" w:eastAsia="Calibri" w:hAnsi="Calibri"/>
          <w:sz w:val="22"/>
          <w:szCs w:val="22"/>
        </w:rPr>
        <w:t xml:space="preserve">D1 — A start-up cost check: add up the group's three funding sources from Background to find their total available capital, then report your chosen franchise's franchise fee and total initial investment range from Appendix A — alongside the number of employees you'll need to hire by Day 1 — and determine whether the top of that investment range fits under the group's capital, and by how much.</w:t>
      </w:r>
    </w:p>
    <w:p>
      <w:pPr>
        <w:pStyle w:val="ListParagraph"/>
        <w:numPr>
          <w:ilvl w:val="0"/>
          <w:numId w:val="2"/>
        </w:numPr>
        <w:spacing w:after="100"/>
      </w:pPr>
      <w:r>
        <w:rPr>
          <w:rFonts w:ascii="Calibri" w:cs="Calibri" w:eastAsia="Calibri" w:hAnsi="Calibri"/>
          <w:sz w:val="22"/>
          <w:szCs w:val="22"/>
        </w:rPr>
        <w:t xml:space="preserve">D2 — A first-year operating cost table for your chosen franchise: royalty fee, ad/marketing fund contribution, food cost, and labor cost, each computed as a percent of your D3 revenue figure, from Appendix B's published/benchmark rates.</w:t>
      </w:r>
    </w:p>
    <w:p>
      <w:pPr>
        <w:pStyle w:val="ListParagraph"/>
        <w:numPr>
          <w:ilvl w:val="0"/>
          <w:numId w:val="2"/>
        </w:numPr>
        <w:spacing w:after="100"/>
      </w:pPr>
      <w:r>
        <w:rPr>
          <w:rFonts w:ascii="Calibri" w:cs="Calibri" w:eastAsia="Calibri" w:hAnsi="Calibri"/>
          <w:sz w:val="22"/>
          <w:szCs w:val="22"/>
        </w:rPr>
        <w:t xml:space="preserve">D3 — Projected first-year revenue and net profit for your chosen franchise: revenue from Appendix B's average unit volume (AUV) figure, minus your D2 percent-of-revenue costs and Appendix C's monthly fixed operating costs (annualized).</w:t>
      </w:r>
    </w:p>
    <w:p>
      <w:pPr>
        <w:pStyle w:val="ListParagraph"/>
        <w:numPr>
          <w:ilvl w:val="0"/>
          <w:numId w:val="2"/>
        </w:numPr>
        <w:spacing w:after="100"/>
      </w:pPr>
      <w:r>
        <w:rPr>
          <w:rFonts w:ascii="Calibri" w:cs="Calibri" w:eastAsia="Calibri" w:hAnsi="Calibri"/>
          <w:sz w:val="22"/>
          <w:szCs w:val="22"/>
        </w:rPr>
        <w:t xml:space="preserve">D4 — Break-even point in months: set up and solve a one-step equation — the midpoint of your D1 investment range equals your average monthly net profit (from D3) times the number of months — for the number of months.</w:t>
      </w:r>
    </w:p>
    <w:p>
      <w:pPr>
        <w:pStyle w:val="ListParagraph"/>
        <w:numPr>
          <w:ilvl w:val="0"/>
          <w:numId w:val="2"/>
        </w:numPr>
        <w:spacing w:after="100"/>
      </w:pPr>
      <w:r>
        <w:rPr>
          <w:rFonts w:ascii="Calibri" w:cs="Calibri" w:eastAsia="Calibri" w:hAnsi="Calibri"/>
          <w:sz w:val="22"/>
          <w:szCs w:val="22"/>
        </w:rPr>
        <w:t xml:space="preserve">D5 — Break-even monthly revenue: set up and solve an equation with the unknown revenue amount on both sides — monthly revenue equals Appendix C's monthly fixed cost plus your D2 percent-of-revenue rate applied to that same unknown revenue — then compare it to your actual projected monthly revenue from D3.</w:t>
      </w:r>
    </w:p>
    <w:p>
      <w:pPr>
        <w:pStyle w:val="ListParagraph"/>
        <w:numPr>
          <w:ilvl w:val="0"/>
          <w:numId w:val="2"/>
        </w:numPr>
        <w:spacing w:after="100"/>
      </w:pPr>
      <w:r>
        <w:rPr>
          <w:rFonts w:ascii="Calibri" w:cs="Calibri" w:eastAsia="Calibri" w:hAnsi="Calibri"/>
          <w:sz w:val="22"/>
          <w:szCs w:val="22"/>
        </w:rPr>
        <w:t xml:space="preserve">D6 — A recommendation comparing both franchises' first-year return on investment (D3's net profit ÷ D1's investment midpoint, as a percent), informed by D4 and D5.</w:t>
      </w:r>
    </w:p>
    <w:p>
      <w:pPr>
        <w:spacing w:after="160"/>
      </w:pPr>
      <w:r>
        <w:rPr>
          <w:rFonts w:ascii="Calibri" w:cs="Calibri" w:eastAsia="Calibri" w:hAnsi="Calibri"/>
          <w:b w:val="false"/>
          <w:bCs w:val="false"/>
          <w:i w:val="false"/>
          <w:iCs w:val="false"/>
          <w:sz w:val="22"/>
          <w:szCs w:val="22"/>
        </w:rP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rPr>
          <w:rFonts w:ascii="Calibri" w:cs="Calibri" w:eastAsia="Calibri" w:hAnsi="Calibri"/>
          <w:b w:val="false"/>
          <w:bCs w:val="false"/>
          <w:i w:val="false"/>
          <w:iCs w:val="false"/>
          <w:sz w:val="22"/>
          <w:szCs w:val="22"/>
        </w:rPr>
        <w:t xml:space="preserve">5.) Participate twice or more in the Case Study discussion. If you are absent the day of a discussion post 500 "excellent" words on the questions above.</w:t>
      </w:r>
    </w:p>
    <w:p>
      <w:r>
        <w:br w:type="page"/>
      </w:r>
    </w:p>
    <w:p>
      <w:pPr>
        <w:pStyle w:val="Heading1"/>
        <w:spacing w:after="150" w:before="300"/>
      </w:pPr>
      <w:r>
        <w:rPr>
          <w:rFonts w:ascii="Arial" w:cs="Arial" w:eastAsia="Arial" w:hAnsi="Arial"/>
          <w:b/>
          <w:bCs/>
          <w:color w:val="1a3a5c"/>
        </w:rPr>
        <w:t xml:space="preserve">Appendix A: Franchise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
            </w:r>
          </w:p>
        </w:tc>
        <w:tc>
          <w:tcPr>
            <w:tcW w:type="dxa" w:w="328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Subway</w:t>
            </w:r>
          </w:p>
        </w:tc>
        <w:tc>
          <w:tcPr>
            <w:tcW w:type="dxa" w:w="328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Papa John's</w:t>
            </w:r>
          </w:p>
        </w:tc>
      </w:tr>
      <w:tr>
        <w:tc>
          <w:tcPr>
            <w:tcW w:type="dxa" w:w="2800"/>
            <w:tcMar>
              <w:top w:type="dxa" w:w="80"/>
              <w:left w:type="dxa" w:w="100"/>
              <w:bottom w:type="dxa" w:w="80"/>
              <w:right w:type="dxa" w:w="100"/>
            </w:tcMar>
          </w:tcPr>
          <w:p>
            <w:pPr>
              <w:jc w:val="left"/>
            </w:pPr>
            <w:r>
              <w:rPr>
                <w:rFonts w:ascii="Arial" w:cs="Arial" w:eastAsia="Arial" w:hAnsi="Arial"/>
                <w:b w:val="false"/>
                <w:bCs w:val="false"/>
                <w:sz w:val="20"/>
                <w:szCs w:val="20"/>
              </w:rPr>
              <w:t xml:space="preserve">Franchise fee (USD)</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$15,000 [S1]</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$25,000 [S6]</w:t>
            </w:r>
          </w:p>
        </w:tc>
      </w:tr>
      <w:tr>
        <w:tc>
          <w:tcPr>
            <w:tcW w:type="dxa" w:w="2800"/>
            <w:tcMar>
              <w:top w:type="dxa" w:w="80"/>
              <w:left w:type="dxa" w:w="100"/>
              <w:bottom w:type="dxa" w:w="80"/>
              <w:right w:type="dxa" w:w="100"/>
            </w:tcMar>
          </w:tcPr>
          <w:p>
            <w:pPr>
              <w:jc w:val="left"/>
            </w:pPr>
            <w:r>
              <w:rPr>
                <w:rFonts w:ascii="Arial" w:cs="Arial" w:eastAsia="Arial" w:hAnsi="Arial"/>
                <w:b w:val="false"/>
                <w:bCs w:val="false"/>
                <w:sz w:val="20"/>
                <w:szCs w:val="20"/>
              </w:rPr>
              <w:t xml:space="preserve">Total initial investment range (USD)</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$199,135 – $536,745 [S2]</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$281,485 – $890,267 [S7]</w:t>
            </w:r>
          </w:p>
        </w:tc>
      </w:tr>
      <w:tr>
        <w:tc>
          <w:tcPr>
            <w:tcW w:type="dxa" w:w="2800"/>
            <w:tcMar>
              <w:top w:type="dxa" w:w="80"/>
              <w:left w:type="dxa" w:w="100"/>
              <w:bottom w:type="dxa" w:w="80"/>
              <w:right w:type="dxa" w:w="100"/>
            </w:tcMar>
          </w:tcPr>
          <w:p>
            <w:pPr>
              <w:jc w:val="left"/>
            </w:pPr>
            <w:r>
              <w:rPr>
                <w:rFonts w:ascii="Arial" w:cs="Arial" w:eastAsia="Arial" w:hAnsi="Arial"/>
                <w:b w:val="false"/>
                <w:bCs w:val="false"/>
                <w:sz w:val="20"/>
                <w:szCs w:val="20"/>
              </w:rPr>
              <w:t xml:space="preserve">Investment range midpoint (USD)</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$367,940</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$585,876</w:t>
            </w:r>
          </w:p>
        </w:tc>
      </w:tr>
      <w:tr>
        <w:tc>
          <w:tcPr>
            <w:tcW w:type="dxa" w:w="2800"/>
            <w:tcMar>
              <w:top w:type="dxa" w:w="80"/>
              <w:left w:type="dxa" w:w="100"/>
              <w:bottom w:type="dxa" w:w="80"/>
              <w:right w:type="dxa" w:w="100"/>
            </w:tcMar>
          </w:tcPr>
          <w:p>
            <w:pPr>
              <w:jc w:val="left"/>
            </w:pPr>
            <w:r>
              <w:rPr>
                <w:rFonts w:ascii="Arial" w:cs="Arial" w:eastAsia="Arial" w:hAnsi="Arial"/>
                <w:b w:val="false"/>
                <w:bCs w:val="false"/>
                <w:sz w:val="20"/>
                <w:szCs w:val="20"/>
              </w:rPr>
              <w:t xml:space="preserve">Employees needed to open (Day 1)</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6 [MA1]</w:t>
            </w:r>
          </w:p>
        </w:tc>
        <w:tc>
          <w:tcPr>
            <w:tcW w:type="dxa" w:w="3280"/>
            <w:tcMar>
              <w:top w:type="dxa" w:w="80"/>
              <w:left w:type="dxa" w:w="100"/>
              <w:bottom w:type="dxa" w:w="80"/>
              <w:right w:type="dxa" w:w="100"/>
            </w:tcMar>
          </w:tcPr>
          <w:p>
            <w:pPr>
              <w:jc w:val="left"/>
            </w:pPr>
            <w:r>
              <w:rPr>
                <w:rFonts w:ascii="Arial" w:cs="Arial" w:eastAsia="Arial" w:hAnsi="Arial"/>
                <w:b w:val="false"/>
                <w:bCs w:val="false"/>
                <w:sz w:val="20"/>
                <w:szCs w:val="20"/>
              </w:rPr>
              <w:t xml:space="preserve">9 [MA1]</w:t>
            </w:r>
          </w:p>
        </w:tc>
      </w:tr>
    </w:tbl>
    <w:p>
      <w:pPr>
        <w:pStyle w:val="Heading1"/>
        <w:spacing w:after="150" w:before="300"/>
      </w:pPr>
      <w:r>
        <w:rPr>
          <w:rFonts w:ascii="Arial" w:cs="Arial" w:eastAsia="Arial" w:hAnsi="Arial"/>
          <w:b/>
          <w:bCs/>
          <w:color w:val="1a3a5c"/>
        </w:rPr>
        <w:t xml:space="preserve">Appendix B: Franchise Operating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
            </w:r>
          </w:p>
        </w:tc>
        <w:tc>
          <w:tcPr>
            <w:tcW w:type="dxa" w:w="29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Subway</w:t>
            </w:r>
          </w:p>
        </w:tc>
        <w:tc>
          <w:tcPr>
            <w:tcW w:type="dxa" w:w="29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Papa John's</w:t>
            </w:r>
          </w:p>
        </w:tc>
      </w:tr>
      <w:tr>
        <w:tc>
          <w:tcPr>
            <w:tcW w:type="dxa" w:w="3560"/>
            <w:tcMar>
              <w:top w:type="dxa" w:w="80"/>
              <w:left w:type="dxa" w:w="100"/>
              <w:bottom w:type="dxa" w:w="80"/>
              <w:right w:type="dxa" w:w="100"/>
            </w:tcMar>
          </w:tcPr>
          <w:p>
            <w:pPr>
              <w:jc w:val="left"/>
            </w:pPr>
            <w:r>
              <w:rPr>
                <w:rFonts w:ascii="Arial" w:cs="Arial" w:eastAsia="Arial" w:hAnsi="Arial"/>
                <w:b w:val="false"/>
                <w:bCs w:val="false"/>
                <w:sz w:val="20"/>
                <w:szCs w:val="20"/>
              </w:rPr>
              <w:t xml:space="preserve">Royalty fee (% of gross sales)</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8.0% [S3]</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5.0% [S8]</w:t>
            </w:r>
          </w:p>
        </w:tc>
      </w:tr>
      <w:tr>
        <w:tc>
          <w:tcPr>
            <w:tcW w:type="dxa" w:w="3560"/>
            <w:tcMar>
              <w:top w:type="dxa" w:w="80"/>
              <w:left w:type="dxa" w:w="100"/>
              <w:bottom w:type="dxa" w:w="80"/>
              <w:right w:type="dxa" w:w="100"/>
            </w:tcMar>
          </w:tcPr>
          <w:p>
            <w:pPr>
              <w:jc w:val="left"/>
            </w:pPr>
            <w:r>
              <w:rPr>
                <w:rFonts w:ascii="Arial" w:cs="Arial" w:eastAsia="Arial" w:hAnsi="Arial"/>
                <w:b w:val="false"/>
                <w:bCs w:val="false"/>
                <w:sz w:val="20"/>
                <w:szCs w:val="20"/>
              </w:rPr>
              <w:t xml:space="preserve">Ad/marketing fund contribution (% of gross sales)</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4.5% [S4]</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6.0% [S9]</w:t>
            </w:r>
          </w:p>
        </w:tc>
      </w:tr>
      <w:tr>
        <w:tc>
          <w:tcPr>
            <w:tcW w:type="dxa" w:w="3560"/>
            <w:tcMar>
              <w:top w:type="dxa" w:w="80"/>
              <w:left w:type="dxa" w:w="100"/>
              <w:bottom w:type="dxa" w:w="80"/>
              <w:right w:type="dxa" w:w="100"/>
            </w:tcMar>
          </w:tcPr>
          <w:p>
            <w:pPr>
              <w:jc w:val="left"/>
            </w:pPr>
            <w:r>
              <w:rPr>
                <w:rFonts w:ascii="Arial" w:cs="Arial" w:eastAsia="Arial" w:hAnsi="Arial"/>
                <w:b w:val="false"/>
                <w:bCs w:val="false"/>
                <w:sz w:val="20"/>
                <w:szCs w:val="20"/>
              </w:rPr>
              <w:t xml:space="preserve">Food cost (% of revenue)</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32% [S12]</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25% [S13]</w:t>
            </w:r>
          </w:p>
        </w:tc>
      </w:tr>
      <w:tr>
        <w:tc>
          <w:tcPr>
            <w:tcW w:type="dxa" w:w="3560"/>
            <w:tcMar>
              <w:top w:type="dxa" w:w="80"/>
              <w:left w:type="dxa" w:w="100"/>
              <w:bottom w:type="dxa" w:w="80"/>
              <w:right w:type="dxa" w:w="100"/>
            </w:tcMar>
          </w:tcPr>
          <w:p>
            <w:pPr>
              <w:jc w:val="left"/>
            </w:pPr>
            <w:r>
              <w:rPr>
                <w:rFonts w:ascii="Arial" w:cs="Arial" w:eastAsia="Arial" w:hAnsi="Arial"/>
                <w:b w:val="false"/>
                <w:bCs w:val="false"/>
                <w:sz w:val="20"/>
                <w:szCs w:val="20"/>
              </w:rPr>
              <w:t xml:space="preserve">Labor cost (% of revenue)</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30% [S11]</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30% [S11]</w:t>
            </w:r>
          </w:p>
        </w:tc>
      </w:tr>
      <w:tr>
        <w:tc>
          <w:tcPr>
            <w:tcW w:type="dxa" w:w="3560"/>
            <w:tcMar>
              <w:top w:type="dxa" w:w="80"/>
              <w:left w:type="dxa" w:w="100"/>
              <w:bottom w:type="dxa" w:w="80"/>
              <w:right w:type="dxa" w:w="100"/>
            </w:tcMar>
          </w:tcPr>
          <w:p>
            <w:pPr>
              <w:jc w:val="left"/>
            </w:pPr>
            <w:r>
              <w:rPr>
                <w:rFonts w:ascii="Arial" w:cs="Arial" w:eastAsia="Arial" w:hAnsi="Arial"/>
                <w:b w:val="false"/>
                <w:bCs w:val="false"/>
                <w:sz w:val="20"/>
                <w:szCs w:val="20"/>
              </w:rPr>
              <w:t xml:space="preserve">Average Unit Volume — AUV (USD/year)</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$500,000 [S5]</w:t>
            </w:r>
          </w:p>
        </w:tc>
        <w:tc>
          <w:tcPr>
            <w:tcW w:type="dxa" w:w="2900"/>
            <w:tcMar>
              <w:top w:type="dxa" w:w="80"/>
              <w:left w:type="dxa" w:w="100"/>
              <w:bottom w:type="dxa" w:w="80"/>
              <w:right w:type="dxa" w:w="100"/>
            </w:tcMar>
          </w:tcPr>
          <w:p>
            <w:pPr>
              <w:jc w:val="left"/>
            </w:pPr>
            <w:r>
              <w:rPr>
                <w:rFonts w:ascii="Arial" w:cs="Arial" w:eastAsia="Arial" w:hAnsi="Arial"/>
                <w:b w:val="false"/>
                <w:bCs w:val="false"/>
                <w:sz w:val="20"/>
                <w:szCs w:val="20"/>
              </w:rPr>
              <w:t xml:space="preserve">$600,000 [S10, MA3]</w:t>
            </w:r>
          </w:p>
        </w:tc>
      </w:tr>
    </w:tbl>
    <w:p>
      <w:pPr>
        <w:pStyle w:val="Heading1"/>
        <w:spacing w:after="150" w:before="300"/>
      </w:pPr>
      <w:r>
        <w:rPr>
          <w:rFonts w:ascii="Arial" w:cs="Arial" w:eastAsia="Arial" w:hAnsi="Arial"/>
          <w:b/>
          <w:bCs/>
          <w:color w:val="1a3a5c"/>
        </w:rPr>
        <w:t xml:space="preserve">Appendix C: Modeling Assumptions</w:t>
      </w:r>
    </w:p>
    <w:p>
      <w:pPr>
        <w:pBdr>
          <w:left w:val="single" w:color="c9a227" w:sz="16" w:space="8"/>
        </w:pBdr>
        <w:shd w:fill="f7edcf" w:color="auto" w:val="clear"/>
        <w:spacing w:after="200"/>
      </w:pPr>
      <w:r>
        <w:rPr>
          <w:rFonts w:ascii="Calibri" w:cs="Calibri" w:eastAsia="Calibri" w:hAnsi="Calibri"/>
          <w:i/>
          <w:iCs/>
          <w:sz w:val="20"/>
          <w:szCs w:val="20"/>
        </w:rPr>
        <w:t xml:space="preserve">These figures are not fully sourced from a real published number. They are stated scenario assumptions chosen by the case author, disclosed here rather than buried in a table.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200"/>
        <w:gridCol w:w="2300"/>
        <w:gridCol w:w="2060"/>
      </w:tblGrid>
      <w:tr>
        <w:trPr>
          <w:tblHeader/>
        </w:trPr>
        <w:tc>
          <w:tcPr>
            <w:tcW w:type="dxa" w:w="7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t>
            </w:r>
          </w:p>
        </w:tc>
        <w:tc>
          <w:tcPr>
            <w:tcW w:type="dxa" w:w="21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Assumption</w:t>
            </w:r>
          </w:p>
        </w:tc>
        <w:tc>
          <w:tcPr>
            <w:tcW w:type="dxa" w:w="22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Value used</w:t>
            </w:r>
          </w:p>
        </w:tc>
        <w:tc>
          <w:tcPr>
            <w:tcW w:type="dxa" w:w="23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Basis</w:t>
            </w:r>
          </w:p>
        </w:tc>
        <w:tc>
          <w:tcPr>
            <w:tcW w:type="dxa" w:w="206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Sensitivity</w:t>
            </w:r>
          </w:p>
        </w:tc>
      </w:tr>
      <w:tr>
        <w:tc>
          <w:tcPr>
            <w:tcW w:type="dxa" w:w="700"/>
            <w:tcMar>
              <w:top w:type="dxa" w:w="80"/>
              <w:left w:type="dxa" w:w="100"/>
              <w:bottom w:type="dxa" w:w="80"/>
              <w:right w:type="dxa" w:w="100"/>
            </w:tcMar>
          </w:tcPr>
          <w:p>
            <w:pPr>
              <w:jc w:val="left"/>
            </w:pPr>
            <w:r>
              <w:rPr>
                <w:rFonts w:ascii="Arial" w:cs="Arial" w:eastAsia="Arial" w:hAnsi="Arial"/>
                <w:b w:val="false"/>
                <w:bCs w:val="false"/>
                <w:sz w:val="20"/>
                <w:szCs w:val="20"/>
              </w:rPr>
              <w:t xml:space="preserve">MA1</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Employees needed to open, Day 1</w:t>
            </w:r>
          </w:p>
        </w:tc>
        <w:tc>
          <w:tcPr>
            <w:tcW w:type="dxa" w:w="22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6, Papa John's: 9</w:t>
            </w:r>
          </w:p>
        </w:tc>
        <w:tc>
          <w:tcPr>
            <w:tcW w:type="dxa" w:w="2300"/>
            <w:tcMar>
              <w:top w:type="dxa" w:w="80"/>
              <w:left w:type="dxa" w:w="100"/>
              <w:bottom w:type="dxa" w:w="80"/>
              <w:right w:type="dxa" w:w="100"/>
            </w:tcMar>
          </w:tcPr>
          <w:p>
            <w:pPr>
              <w:jc w:val="left"/>
            </w:pPr>
            <w:r>
              <w:rPr>
                <w:rFonts w:ascii="Arial" w:cs="Arial" w:eastAsia="Arial" w:hAnsi="Arial"/>
                <w:b w:val="false"/>
                <w:bCs w:val="false"/>
                <w:sz w:val="20"/>
                <w:szCs w:val="20"/>
              </w:rPr>
              <w:t xml:space="preserve">No public per-location headcount is published by either franchisor. Subway's counter-service sandwich format is commonly staffed leaner than a pizza operation running a kitchen plus delivery drivers; the extra 3 for Papa John's reflects drivers. Informational only — this figure does not feed any dollar calculation in D1–D6.</w:t>
            </w:r>
          </w:p>
        </w:tc>
        <w:tc>
          <w:tcPr>
            <w:tcW w:type="dxa" w:w="2060"/>
            <w:tcMar>
              <w:top w:type="dxa" w:w="80"/>
              <w:left w:type="dxa" w:w="100"/>
              <w:bottom w:type="dxa" w:w="80"/>
              <w:right w:type="dxa" w:w="100"/>
            </w:tcMar>
          </w:tcPr>
          <w:p>
            <w:pPr>
              <w:jc w:val="left"/>
            </w:pPr>
            <w:r>
              <w:rPr>
                <w:rFonts w:ascii="Arial" w:cs="Arial" w:eastAsia="Arial" w:hAnsi="Arial"/>
                <w:b w:val="false"/>
                <w:bCs w:val="false"/>
                <w:sz w:val="20"/>
                <w:szCs w:val="20"/>
              </w:rPr>
              <w:t xml:space="preserve">None — not load-bearing to the dilemma.</w:t>
            </w:r>
          </w:p>
        </w:tc>
      </w:tr>
      <w:tr>
        <w:tc>
          <w:tcPr>
            <w:tcW w:type="dxa" w:w="700"/>
            <w:tcMar>
              <w:top w:type="dxa" w:w="80"/>
              <w:left w:type="dxa" w:w="100"/>
              <w:bottom w:type="dxa" w:w="80"/>
              <w:right w:type="dxa" w:w="100"/>
            </w:tcMar>
          </w:tcPr>
          <w:p>
            <w:pPr>
              <w:jc w:val="left"/>
            </w:pPr>
            <w:r>
              <w:rPr>
                <w:rFonts w:ascii="Arial" w:cs="Arial" w:eastAsia="Arial" w:hAnsi="Arial"/>
                <w:b w:val="false"/>
                <w:bCs w:val="false"/>
                <w:sz w:val="20"/>
                <w:szCs w:val="20"/>
              </w:rPr>
              <w:t xml:space="preserve">MA2</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Monthly fixed operating costs (rent + utilities + insurance, i.e., costs not already captured as a percent of revenue in Appendix B)</w:t>
            </w:r>
          </w:p>
        </w:tc>
        <w:tc>
          <w:tcPr>
            <w:tcW w:type="dxa" w:w="22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$3,500/month, Papa John's: $4,200/month</w:t>
            </w:r>
          </w:p>
        </w:tc>
        <w:tc>
          <w:tcPr>
            <w:tcW w:type="dxa" w:w="2300"/>
            <w:tcMar>
              <w:top w:type="dxa" w:w="80"/>
              <w:left w:type="dxa" w:w="100"/>
              <w:bottom w:type="dxa" w:w="80"/>
              <w:right w:type="dxa" w:w="100"/>
            </w:tcMar>
          </w:tcPr>
          <w:p>
            <w:pPr>
              <w:jc w:val="left"/>
            </w:pPr>
            <w:r>
              <w:rPr>
                <w:rFonts w:ascii="Arial" w:cs="Arial" w:eastAsia="Arial" w:hAnsi="Arial"/>
                <w:b w:val="false"/>
                <w:bCs w:val="false"/>
                <w:sz w:val="20"/>
                <w:szCs w:val="20"/>
              </w:rPr>
              <w:t xml:space="preserve">Partly sourced: Meridian, ID's average retail lease rate is $28/sq ft/year [S14b], and Subway's typical footprint is widely reported near 1,200 sq ft [S15] — together implying roughly $2,800/month in rent, plus an estimated $700/month for utilities and insurance (not published). Papa John's typical footprint is not published; a modestly larger ~1,400 sq ft delivery/carryout format is assumed, at the same lease rate, plus a higher $850/month utilities/insurance estimate reflecting delivery-related liability overhead.</w:t>
            </w:r>
          </w:p>
        </w:tc>
        <w:tc>
          <w:tcPr>
            <w:tcW w:type="dxa" w:w="2060"/>
            <w:tcMar>
              <w:top w:type="dxa" w:w="80"/>
              <w:left w:type="dxa" w:w="100"/>
              <w:bottom w:type="dxa" w:w="80"/>
              <w:right w:type="dxa" w:w="100"/>
            </w:tcMar>
          </w:tcPr>
          <w:p>
            <w:pPr>
              <w:jc w:val="left"/>
            </w:pPr>
            <w:r>
              <w:rPr>
                <w:rFonts w:ascii="Arial" w:cs="Arial" w:eastAsia="Arial" w:hAnsi="Arial"/>
                <w:b w:val="false"/>
                <w:bCs w:val="false"/>
                <w:sz w:val="20"/>
                <w:szCs w:val="20"/>
              </w:rPr>
              <w:t xml:space="preserve">The case's most load-bearing assumption — flexed ±50% under Tier 2 Probe 5.</w:t>
            </w:r>
          </w:p>
        </w:tc>
      </w:tr>
      <w:tr>
        <w:tc>
          <w:tcPr>
            <w:tcW w:type="dxa" w:w="700"/>
            <w:tcMar>
              <w:top w:type="dxa" w:w="80"/>
              <w:left w:type="dxa" w:w="100"/>
              <w:bottom w:type="dxa" w:w="80"/>
              <w:right w:type="dxa" w:w="100"/>
            </w:tcMar>
          </w:tcPr>
          <w:p>
            <w:pPr>
              <w:jc w:val="left"/>
            </w:pPr>
            <w:r>
              <w:rPr>
                <w:rFonts w:ascii="Arial" w:cs="Arial" w:eastAsia="Arial" w:hAnsi="Arial"/>
                <w:b w:val="false"/>
                <w:bCs w:val="false"/>
                <w:sz w:val="20"/>
                <w:szCs w:val="20"/>
              </w:rPr>
              <w:t xml:space="preserve">MA3</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first-year revenue modeled at the bottom quartile of system AUV ($600,000) rather than the system median ($1.1M)</w:t>
            </w:r>
          </w:p>
        </w:tc>
        <w:tc>
          <w:tcPr>
            <w:tcW w:type="dxa" w:w="2200"/>
            <w:tcMar>
              <w:top w:type="dxa" w:w="80"/>
              <w:left w:type="dxa" w:w="100"/>
              <w:bottom w:type="dxa" w:w="80"/>
              <w:right w:type="dxa" w:w="100"/>
            </w:tcMar>
          </w:tcPr>
          <w:p>
            <w:pPr>
              <w:jc w:val="left"/>
            </w:pPr>
            <w:r>
              <w:rPr>
                <w:rFonts w:ascii="Arial" w:cs="Arial" w:eastAsia="Arial" w:hAnsi="Arial"/>
                <w:b w:val="false"/>
                <w:bCs w:val="false"/>
                <w:sz w:val="20"/>
                <w:szCs w:val="20"/>
              </w:rPr>
              <w:t xml:space="preserve">$600,000/year</w:t>
            </w:r>
          </w:p>
        </w:tc>
        <w:tc>
          <w:tcPr>
            <w:tcW w:type="dxa" w:w="23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own FDD Item 19 data reports a 2.3x spread between top-quartile ($1.4M) and bottom-quartile (~$600K) units [S10]. A brand-new Meridian, ID location — a mid-size suburban market, not a dense urban or college-town corridor — is modeled as more comparable to the lower-volume quartile of the system than the median, which is pulled up by many higher-density locations. Subway does not disclose Item 19 data at all, so no comparable quartile choice is available for Option A; its single available estimate [S5] is used as-is.</w:t>
            </w:r>
          </w:p>
        </w:tc>
        <w:tc>
          <w:tcPr>
            <w:tcW w:type="dxa" w:w="2060"/>
            <w:tcMar>
              <w:top w:type="dxa" w:w="80"/>
              <w:left w:type="dxa" w:w="100"/>
              <w:bottom w:type="dxa" w:w="80"/>
              <w:right w:type="dxa" w:w="100"/>
            </w:tcMar>
          </w:tcPr>
          <w:p>
            <w:pPr>
              <w:jc w:val="left"/>
            </w:pPr>
            <w:r>
              <w:rPr>
                <w:rFonts w:ascii="Arial" w:cs="Arial" w:eastAsia="Arial" w:hAnsi="Arial"/>
                <w:b w:val="false"/>
                <w:bCs w:val="false"/>
                <w:sz w:val="20"/>
                <w:szCs w:val="20"/>
              </w:rPr>
              <w:t xml:space="preserve">Load-bearing — flexed ±50% under Tier 2 Probe 5; this is the single assumption most responsible for how close the two options land on first-year ROI.</w:t>
            </w:r>
          </w:p>
        </w:tc>
      </w:tr>
    </w:tbl>
    <w:p>
      <w:pPr>
        <w:pStyle w:val="Heading1"/>
        <w:spacing w:after="150" w:before="300"/>
      </w:pPr>
      <w:r>
        <w:rPr>
          <w:rFonts w:ascii="Arial" w:cs="Arial" w:eastAsia="Arial" w:hAnsi="Arial"/>
          <w:b/>
          <w:bCs/>
          <w:color w:val="1a3a5c"/>
        </w:rPr>
        <w:t xml:space="preserve">Appendix D: Meridian, Idaho — Market Growth</w:t>
      </w:r>
    </w:p>
    <w:p>
      <w:pPr>
        <w:spacing w:after="160"/>
      </w:pPr>
      <w:r>
        <w:rPr>
          <w:rFonts w:ascii="Calibri" w:cs="Calibri" w:eastAsia="Calibri" w:hAnsi="Calibri"/>
          <w:b w:val="false"/>
          <w:bCs w:val="false"/>
          <w:i w:val="false"/>
          <w:iCs w:val="false"/>
          <w:sz w:val="22"/>
          <w:szCs w:val="22"/>
        </w:rPr>
        <w:t xml:space="preserve">Meridian, Idaho's population was estimated at 130,138 as of 2024, growing at an average annual rate of approximately 5.5% — among the fastest-growing cities in the Boise metro area [S14a].</w:t>
      </w:r>
    </w:p>
    <w:p>
      <w:pPr>
        <w:pStyle w:val="Heading1"/>
        <w:spacing w:after="150" w:before="300"/>
      </w:pPr>
      <w:r>
        <w:rPr>
          <w:rFonts w:ascii="Arial" w:cs="Arial" w:eastAsia="Arial" w:hAnsi="Arial"/>
          <w:b/>
          <w:bCs/>
          <w:color w:val="1a3a5c"/>
        </w:rPr>
        <w:t xml:space="preserve">Appendix 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100"/>
        <w:gridCol w:w="3400"/>
        <w:gridCol w:w="1300"/>
      </w:tblGrid>
      <w:tr>
        <w:trPr>
          <w:tblHeader/>
        </w:trPr>
        <w:tc>
          <w:tcPr>
            <w:tcW w:type="dxa" w:w="56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t>
            </w:r>
          </w:p>
        </w:tc>
        <w:tc>
          <w:tcPr>
            <w:tcW w:type="dxa" w:w="20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Claim</w:t>
            </w:r>
          </w:p>
        </w:tc>
        <w:tc>
          <w:tcPr>
            <w:tcW w:type="dxa" w:w="21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Value</w:t>
            </w:r>
          </w:p>
        </w:tc>
        <w:tc>
          <w:tcPr>
            <w:tcW w:type="dxa" w:w="34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Source</w:t>
            </w:r>
          </w:p>
        </w:tc>
        <w:tc>
          <w:tcPr>
            <w:tcW w:type="dxa" w:w="1300"/>
            <w:shd w:fill="1a3a5c" w:color="auto"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Confidence</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initial franchise fee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$15,000</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Franchising — Official FAQ (subwayfranchise.com/en-us/faqs),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S2</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total initial investment range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$199,135 – $536,745</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Franchising — Official FAQ,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S3</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royalty fee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8.0% of gross sales</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Franchising — Official FAQ,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S4</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advertising fund contribution</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4.5% of gross sales</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Franchising — Official FAQ,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S5</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Subway average unit volume (AUV)</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≈$500,000/yr (median est.)</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Industry estimate cross-referenced with Circana's 2026 U.S. restaurant revenue data; Subway does not disclose FDD Item 19 data.</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S6</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initial franchise fee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$25,000 per unit</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Franchising — Official Investment Requirements page,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S7</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total initial investment range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$281,485 – $890,267</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Franchising — Official Investment Requirements page,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S8</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royalty fee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5.0% of Net Sales</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Franchising — Official Investment Requirements page,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S9</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marketing fund contribution</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6.0% of Net Sales</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Franchising — Official Investment Requirements page,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S10</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Papa John's AUV, median and quartile spread</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Median $1.1M; top quartile $1.4M; bottom quartile ≈$600K across 3,523 US locations</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FDD Item 19 data aggregation, cross-verified across two independent aggregator sources.</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S11</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Restaurant labor cost distribution (aggregate, all segments)</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≈30% of revenue used (derived)</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2025 restaurant labor cost/profitability industry survey (7shifts benchmark reporting); the 30% figure is this case's own derived estimate from that data, not a verbatim quote.</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S12</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Sandwich/QSR food cost benchmark (Subway)</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32% of revenue (top of 28–35% range)</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General restaurant-industry food cost benchmark reporting, 2025–2026.</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S13</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Pizza food cost benchmark (Papa John's)</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25% of revenue (within 24–30% range)</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General pizza-industry food cost benchmark reporting, 2025–2026.</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S14a</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Meridian, Idaho population and annual growth rate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130,138 (2024); ≈5.5%/yr</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Idaho Demographics, citing U.S. Census Bureau Annual Estimates (May 2025),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HIGH</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S14b</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Meridian, Idaho average retail lease rate</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≈$28/sq ft/year</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CommercialCafe retail market data for Meridian, ID, accessed 2026-08-20</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r>
        <w:tc>
          <w:tcPr>
            <w:tcW w:type="dxa" w:w="560"/>
            <w:tcMar>
              <w:top w:type="dxa" w:w="80"/>
              <w:left w:type="dxa" w:w="100"/>
              <w:bottom w:type="dxa" w:w="80"/>
              <w:right w:type="dxa" w:w="100"/>
            </w:tcMar>
          </w:tcPr>
          <w:p>
            <w:pPr>
              <w:jc w:val="left"/>
            </w:pPr>
            <w:r>
              <w:rPr>
                <w:rFonts w:ascii="Arial" w:cs="Arial" w:eastAsia="Arial" w:hAnsi="Arial"/>
                <w:b w:val="false"/>
                <w:bCs w:val="false"/>
                <w:sz w:val="20"/>
                <w:szCs w:val="20"/>
              </w:rPr>
              <w:t xml:space="preserve">S15</w:t>
            </w:r>
          </w:p>
        </w:tc>
        <w:tc>
          <w:tcPr>
            <w:tcW w:type="dxa" w:w="2000"/>
            <w:tcMar>
              <w:top w:type="dxa" w:w="80"/>
              <w:left w:type="dxa" w:w="100"/>
              <w:bottom w:type="dxa" w:w="80"/>
              <w:right w:type="dxa" w:w="100"/>
            </w:tcMar>
          </w:tcPr>
          <w:p>
            <w:pPr>
              <w:jc w:val="left"/>
            </w:pPr>
            <w:r>
              <w:rPr>
                <w:rFonts w:ascii="Arial" w:cs="Arial" w:eastAsia="Arial" w:hAnsi="Arial"/>
                <w:b w:val="false"/>
                <w:bCs w:val="false"/>
                <w:sz w:val="20"/>
                <w:szCs w:val="20"/>
              </w:rPr>
              <w:t xml:space="preserve">Typical Subway location footprint</w:t>
            </w:r>
          </w:p>
        </w:tc>
        <w:tc>
          <w:tcPr>
            <w:tcW w:type="dxa" w:w="2100"/>
            <w:tcMar>
              <w:top w:type="dxa" w:w="80"/>
              <w:left w:type="dxa" w:w="100"/>
              <w:bottom w:type="dxa" w:w="80"/>
              <w:right w:type="dxa" w:w="100"/>
            </w:tcMar>
          </w:tcPr>
          <w:p>
            <w:pPr>
              <w:jc w:val="left"/>
            </w:pPr>
            <w:r>
              <w:rPr>
                <w:rFonts w:ascii="Arial" w:cs="Arial" w:eastAsia="Arial" w:hAnsi="Arial"/>
                <w:b w:val="false"/>
                <w:bCs w:val="false"/>
                <w:sz w:val="20"/>
                <w:szCs w:val="20"/>
              </w:rPr>
              <w:t xml:space="preserve">≈1,200 sq ft (traditional format)</w:t>
            </w:r>
          </w:p>
        </w:tc>
        <w:tc>
          <w:tcPr>
            <w:tcW w:type="dxa" w:w="3400"/>
            <w:tcMar>
              <w:top w:type="dxa" w:w="80"/>
              <w:left w:type="dxa" w:w="100"/>
              <w:bottom w:type="dxa" w:w="80"/>
              <w:right w:type="dxa" w:w="100"/>
            </w:tcMar>
          </w:tcPr>
          <w:p>
            <w:pPr>
              <w:jc w:val="left"/>
            </w:pPr>
            <w:r>
              <w:rPr>
                <w:rFonts w:ascii="Arial" w:cs="Arial" w:eastAsia="Arial" w:hAnsi="Arial"/>
                <w:b w:val="false"/>
                <w:bCs w:val="false"/>
                <w:sz w:val="20"/>
                <w:szCs w:val="20"/>
              </w:rPr>
              <w:t xml:space="preserve">Cross-referenced across multiple franchise-industry reporting sources.</w:t>
            </w:r>
          </w:p>
        </w:tc>
        <w:tc>
          <w:tcPr>
            <w:tcW w:type="dxa" w:w="1300"/>
            <w:tcMar>
              <w:top w:type="dxa" w:w="80"/>
              <w:left w:type="dxa" w:w="100"/>
              <w:bottom w:type="dxa" w:w="80"/>
              <w:right w:type="dxa" w:w="100"/>
            </w:tcMar>
          </w:tcPr>
          <w:p>
            <w:pPr>
              <w:jc w:val="left"/>
            </w:pPr>
            <w:r>
              <w:rPr>
                <w:rFonts w:ascii="Arial" w:cs="Arial" w:eastAsia="Arial" w:hAnsi="Arial"/>
                <w:b w:val="false"/>
                <w:bCs w:val="false"/>
                <w:sz w:val="20"/>
                <w:szCs w:val="20"/>
              </w:rPr>
              <w:t xml:space="preserve">MEDIUM</w:t>
            </w:r>
          </w:p>
        </w:tc>
      </w:tr>
    </w:tbl>
    <w:p>
      <w:pPr>
        <w:spacing w:after="160"/>
      </w:pPr>
      <w:r>
        <w:rPr>
          <w:rFonts w:ascii="Calibri" w:cs="Calibri" w:eastAsia="Calibri" w:hAnsi="Calibri"/>
          <w:b w:val="false"/>
          <w:bCs w:val="false"/>
          <w:i w:val="false"/>
          <w:iCs w:val="false"/>
          <w:sz w:val="18"/>
          <w:szCs w:val="18"/>
        </w:rPr>
        <w:t xml:space="preserve">Full source links are provided in the case's online Interactive edition and Data workbook.</w:t>
      </w:r>
    </w:p>
    <w:p>
      <w:pPr>
        <w:pStyle w:val="Heading1"/>
        <w:spacing w:after="150" w:before="300"/>
      </w:pPr>
      <w:r>
        <w:rPr>
          <w:rFonts w:ascii="Arial" w:cs="Arial" w:eastAsia="Arial" w:hAnsi="Arial"/>
          <w:b/>
          <w:bCs/>
          <w:color w:val="1a3a5c"/>
        </w:rPr>
        <w:t xml:space="preserve">Appendix F: "How To…" Math Questions To Research</w:t>
      </w:r>
    </w:p>
    <w:p>
      <w:pPr>
        <w:pStyle w:val="Heading2"/>
        <w:spacing w:after="100" w:before="220"/>
      </w:pPr>
      <w:r>
        <w:rPr>
          <w:rFonts w:ascii="Arial" w:cs="Arial" w:eastAsia="Arial" w:hAnsi="Arial"/>
          <w:b/>
          <w:bCs/>
          <w:color w:val="1a3a5c"/>
        </w:rPr>
        <w:t xml:space="preserve">Vocabulary terms</w:t>
      </w:r>
    </w:p>
    <w:p>
      <w:pPr>
        <w:pStyle w:val="ListParagraph"/>
        <w:numPr>
          <w:ilvl w:val="0"/>
          <w:numId w:val="2"/>
        </w:numPr>
        <w:spacing w:after="100"/>
      </w:pPr>
      <w:r>
        <w:rPr>
          <w:rFonts w:ascii="Calibri" w:cs="Calibri" w:eastAsia="Calibri" w:hAnsi="Calibri"/>
          <w:sz w:val="22"/>
          <w:szCs w:val="22"/>
        </w:rPr>
        <w:t xml:space="preserve">Percent</w:t>
      </w:r>
    </w:p>
    <w:p>
      <w:pPr>
        <w:pStyle w:val="ListParagraph"/>
        <w:numPr>
          <w:ilvl w:val="0"/>
          <w:numId w:val="2"/>
        </w:numPr>
        <w:spacing w:after="100"/>
      </w:pPr>
      <w:r>
        <w:rPr>
          <w:rFonts w:ascii="Calibri" w:cs="Calibri" w:eastAsia="Calibri" w:hAnsi="Calibri"/>
          <w:sz w:val="22"/>
          <w:szCs w:val="22"/>
        </w:rPr>
        <w:t xml:space="preserve">Equation</w:t>
      </w:r>
    </w:p>
    <w:p>
      <w:pPr>
        <w:pStyle w:val="ListParagraph"/>
        <w:numPr>
          <w:ilvl w:val="0"/>
          <w:numId w:val="2"/>
        </w:numPr>
        <w:spacing w:after="100"/>
      </w:pPr>
      <w:r>
        <w:rPr>
          <w:rFonts w:ascii="Calibri" w:cs="Calibri" w:eastAsia="Calibri" w:hAnsi="Calibri"/>
          <w:sz w:val="22"/>
          <w:szCs w:val="22"/>
        </w:rPr>
        <w:t xml:space="preserve">Variable</w:t>
      </w:r>
    </w:p>
    <w:p>
      <w:pPr>
        <w:pStyle w:val="Heading2"/>
        <w:spacing w:after="100" w:before="220"/>
      </w:pPr>
      <w:r>
        <w:rPr>
          <w:rFonts w:ascii="Arial" w:cs="Arial" w:eastAsia="Arial" w:hAnsi="Arial"/>
          <w:b/>
          <w:bCs/>
          <w:color w:val="1a3a5c"/>
        </w:rPr>
        <w:t xml:space="preserve">"How to…" questions</w:t>
      </w:r>
    </w:p>
    <w:p>
      <w:pPr>
        <w:pStyle w:val="ListParagraph"/>
        <w:numPr>
          <w:ilvl w:val="0"/>
          <w:numId w:val="2"/>
        </w:numPr>
        <w:spacing w:after="100"/>
      </w:pPr>
      <w:r>
        <w:rPr>
          <w:rFonts w:ascii="Calibri" w:cs="Calibri" w:eastAsia="Calibri" w:hAnsi="Calibri"/>
          <w:sz w:val="22"/>
          <w:szCs w:val="22"/>
        </w:rPr>
        <w:t xml:space="preserve">How to find the percent of a number</w:t>
      </w:r>
    </w:p>
    <w:p>
      <w:pPr>
        <w:pStyle w:val="ListParagraph"/>
        <w:numPr>
          <w:ilvl w:val="0"/>
          <w:numId w:val="2"/>
        </w:numPr>
        <w:spacing w:after="100"/>
      </w:pPr>
      <w:r>
        <w:rPr>
          <w:rFonts w:ascii="Calibri" w:cs="Calibri" w:eastAsia="Calibri" w:hAnsi="Calibri"/>
          <w:sz w:val="22"/>
          <w:szCs w:val="22"/>
        </w:rPr>
        <w:t xml:space="preserve">How to convert numbers to percents</w:t>
      </w:r>
    </w:p>
    <w:p>
      <w:pPr>
        <w:pStyle w:val="ListParagraph"/>
        <w:numPr>
          <w:ilvl w:val="0"/>
          <w:numId w:val="2"/>
        </w:numPr>
        <w:spacing w:after="100"/>
      </w:pPr>
      <w:r>
        <w:rPr>
          <w:rFonts w:ascii="Calibri" w:cs="Calibri" w:eastAsia="Calibri" w:hAnsi="Calibri"/>
          <w:sz w:val="22"/>
          <w:szCs w:val="22"/>
        </w:rPr>
        <w:t xml:space="preserve">How to add decimal numbers</w:t>
      </w:r>
    </w:p>
    <w:p>
      <w:pPr>
        <w:pStyle w:val="ListParagraph"/>
        <w:numPr>
          <w:ilvl w:val="0"/>
          <w:numId w:val="2"/>
        </w:numPr>
        <w:spacing w:after="100"/>
      </w:pPr>
      <w:r>
        <w:rPr>
          <w:rFonts w:ascii="Calibri" w:cs="Calibri" w:eastAsia="Calibri" w:hAnsi="Calibri"/>
          <w:sz w:val="22"/>
          <w:szCs w:val="22"/>
        </w:rPr>
        <w:t xml:space="preserve">How to subtract decimal numbers</w:t>
      </w:r>
    </w:p>
    <w:p>
      <w:pPr>
        <w:pStyle w:val="ListParagraph"/>
        <w:numPr>
          <w:ilvl w:val="0"/>
          <w:numId w:val="2"/>
        </w:numPr>
        <w:spacing w:after="100"/>
      </w:pPr>
      <w:r>
        <w:rPr>
          <w:rFonts w:ascii="Calibri" w:cs="Calibri" w:eastAsia="Calibri" w:hAnsi="Calibri"/>
          <w:sz w:val="22"/>
          <w:szCs w:val="22"/>
        </w:rPr>
        <w:t xml:space="preserve">How to compare two or more values</w:t>
      </w:r>
    </w:p>
    <w:p>
      <w:pPr>
        <w:pStyle w:val="ListParagraph"/>
        <w:numPr>
          <w:ilvl w:val="0"/>
          <w:numId w:val="2"/>
        </w:numPr>
        <w:spacing w:after="100"/>
      </w:pPr>
      <w:r>
        <w:rPr>
          <w:rFonts w:ascii="Calibri" w:cs="Calibri" w:eastAsia="Calibri" w:hAnsi="Calibri"/>
          <w:sz w:val="22"/>
          <w:szCs w:val="22"/>
        </w:rPr>
        <w:t xml:space="preserve">How to solve a one-step equation</w:t>
      </w:r>
    </w:p>
    <w:p>
      <w:pPr>
        <w:pStyle w:val="ListParagraph"/>
        <w:numPr>
          <w:ilvl w:val="0"/>
          <w:numId w:val="2"/>
        </w:numPr>
        <w:spacing w:after="100"/>
      </w:pPr>
      <w:r>
        <w:rPr>
          <w:rFonts w:ascii="Calibri" w:cs="Calibri" w:eastAsia="Calibri" w:hAnsi="Calibri"/>
          <w:sz w:val="22"/>
          <w:szCs w:val="22"/>
        </w:rPr>
        <w:t xml:space="preserve">How to solve a multi-step equation with a variable on both sides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2026-08-20T22:55:44.594Z</dcterms:created>
  <dcterms:modified xsi:type="dcterms:W3CDTF">2026-08-20T22:55:44.595Z</dcterms:modified>
</cp:coreProperties>
</file>

<file path=docProps/custom.xml><?xml version="1.0" encoding="utf-8"?>
<Properties xmlns="http://schemas.openxmlformats.org/officeDocument/2006/custom-properties" xmlns:vt="http://schemas.openxmlformats.org/officeDocument/2006/docPropsVTypes"/>
</file>