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Gerrymandering</w:t>
      </w:r>
    </w:p>
    <w:p>
      <w:pPr>
        <w:spacing w:after="240"/>
        <w:jc w:val="center"/>
      </w:pPr>
      <w:r>
        <w:rPr>
          <w:b/>
          <w:bCs/>
          <w:color w:val="CC0000"/>
        </w:rPr>
        <w:t xml:space="preserve">FACILITATOR-ONLY — contains the balance, the twist, and the trap. Do not share with Heroes before the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12"/>
              <w:left w:val="single" w:color="B8860B" w:sz="12"/>
              <w:bottom w:val="single" w:color="B8860B" w:sz="12"/>
              <w:right w:val="single" w:color="B8860B" w:sz="12"/>
            </w:tcBorders>
            <w:shd w:fill="FFF4CC" w:val="clear"/>
          </w:tcPr>
          <w:p>
            <w:pPr>
              <w:spacing w:after="100"/>
            </w:pPr>
            <w:r>
              <w:rPr>
                <w:b/>
                <w:bCs/>
              </w:rPr>
              <w:t xml:space="preserve">SPEC §6 Sensitivity Note</w:t>
            </w:r>
          </w:p>
          <w:p>
            <w:pPr>
              <w:spacing w:after="80"/>
            </w:pPr>
            <w:r>
              <w:t xml:space="preserve">The Plan B population-share split of the Treasure Valley (Appendix F) is a stated Modeling Assumption, not a sourced fact -- case-research must state the assumed dividing line and justify it, and case-readiness's Tier 2 sensitivity probe should flex that share to confirm neither plan's argument depends on an unstated, precise split value.</w:t>
            </w:r>
          </w:p>
          <w:p>
            <w:pPr>
              <w:spacing w:after="80"/>
            </w:pPr>
            <w:r>
              <w:t xml:space="preserve">Modeling Assumptions on record: MA1 (Plan B’s exact dividing line within the Treasure Valley — only the population share sent to each district is fixed) and MA2 (every region’s two-party vote share assumed equal to the statewide two-party split). See the Modeling Assumptions table below for the full sensitivity language on each.</w:t>
            </w:r>
          </w:p>
        </w:tc>
      </w:tr>
    </w:tbl>
    <w:p>
      <w:pPr>
        <w:spacing w:after="200"/>
      </w:pPr>
    </w:p>
    <w:p>
      <w:pPr>
        <w:pStyle w:val="Heading2"/>
        <w:spacing w:after="120" w:before="300"/>
      </w:pPr>
      <w:r>
        <w:t xml:space="preserve">The Two Arguments and the Real Margin</w:t>
      </w:r>
    </w:p>
    <w:p>
      <w:pPr>
        <w:spacing w:after="80"/>
      </w:pPr>
      <w:r>
        <w:rPr>
          <w:b/>
          <w:bCs/>
        </w:rPr>
        <w:t xml:space="preserve">Argument for Option A — The Whole Valley Plan</w:t>
      </w:r>
    </w:p>
    <w:p>
      <w:pPr>
        <w:spacing w:after="160"/>
      </w:pPr>
      <w:r>
        <w:t xml:space="preserve">Plan A (Whole Valley) keeps Ada+Canyon intact as District 3, honoring Idaho's stated preference to avoid county splits and producing the most compact, most convex District 3 achievable -- the traditional court-favored proxy against packing/cracking accusations, and the strongest defense against a 'this looks gerrymandered' visual challenge. Its real, computed weakness: District 3 alone is +18.44% over the statewide ideal district population (726,072 vs. 613,035), while Districts 1 and 2 land at -7.17% and -11.27%. Idaho's own 2021 Commission operated on a 5%-deviation-with-compelling-reason standard for legislative maps, and Karcher v. Daggett shows congressional courts scrutinize any deviation, however small, for a legitimate justification -- Plan A's defense rests entirely on 'county integrity is that legitimate justification,' a real, live legal argument, not a numeric tie.</w:t>
      </w:r>
    </w:p>
    <w:p>
      <w:pPr>
        <w:spacing w:after="80"/>
      </w:pPr>
      <w:r>
        <w:rPr>
          <w:b/>
          <w:bCs/>
        </w:rPr>
        <w:t xml:space="preserve">Argument for Option B — The Balanced Split Plan</w:t>
      </w:r>
    </w:p>
    <w:p>
      <w:pPr>
        <w:spacing w:after="160"/>
      </w:pPr>
      <w:r>
        <w:t xml:space="preserve">Plan B (Balanced Split) sends a real, exactly-derived share of the Treasure Valley's population to each of the other two districts, bringing all three districts to within a few hundred people of the statewide ideal (613,035 each) -- directly serving the stricter one-person-one-vote standard Karcher applies to congressional maps, where Plan A's 18.44% deviation would need to survive judicial scrutiny that a near-0% deviation simply doesn't face. Its real, disclosed weakness: it requires splitting a county pair Idaho's own criteria say should stay whole 'wherever population math allows' -- and by Plan B's own logic, population math clearly does allow keeping them whole, just not at this population-equality level, so the split has to be justified on other grounds (rural/urban and statewide voting-bloc balance), not treated as unavoidable.</w:t>
      </w:r>
    </w:p>
    <w:p>
      <w:pPr>
        <w:spacing w:after="80"/>
      </w:pPr>
      <w:r>
        <w:rPr>
          <w:b/>
          <w:bCs/>
        </w:rPr>
        <w:t xml:space="preserve">Margin basis and the real number</w:t>
      </w:r>
    </w:p>
    <w:p>
      <w:pPr>
        <w:spacing w:after="80"/>
      </w:pPr>
      <w:r>
        <w:t xml:space="preserve">Primary metric: absolute value of the statewide efficiency gap (%) on the projected 3-district map, computed via Appendix D/E's real district-level 2020 vote totals and Modeling Assumption MA2 (uniform statewide two-party vote share applied to every region). Under MA2, the projected efficiency gap is mathematically identical under Plan A and Plan B (~12.6%, computed from real vote totals) because vote share, not district population size, drives it under uniform swing -- so the two options are exactly tied on this specific metric by disclosed construction, forcing the discussion onto the two metrics that DO discriminate sharply: population deviation (D1, real: A=18.44% worst-district vs. B=~0%) and compactness/county-integrity (D2, real land-area/measured-perimeter dependent, A structurally favored). See FACILITATOR.md for how to run this without revealing D1/D2's real numbers as an answer key.</w:t>
      </w:r>
    </w:p>
    <w:p>
      <w:pPr>
        <w:spacing w:after="200"/>
      </w:pPr>
      <w:r>
        <w:rPr>
          <w:i/>
          <w:iCs/>
        </w:rPr>
        <w:t xml:space="preserve">Recorded margin_pct: 0% — on the graded primary metric (statewide efficiency gap), the two plans are mathematically tied by disclosed construction (Modeling Assumption MA2). This is not a data gap; it is the case's real Twist. The two metrics that do discriminate sharply between the plans are population deviation (D1: Plan A's worst district is +18.44% over the statewide ideal, 726,072 vs. 613,035; Plan B brings every district within a fraction of a percent) and compactness (D2: land-area/measured-perimeter dependent, structurally favoring Plan A's intact Treasure Valley shape).</w:t>
      </w:r>
    </w:p>
    <w:p>
      <w:pPr>
        <w:pStyle w:val="Heading2"/>
        <w:spacing w:after="120" w:before="300"/>
      </w:pPr>
      <w:r>
        <w:t xml:space="preserve">What a Strong Defense Sounds Like</w:t>
      </w:r>
    </w:p>
    <w:p>
      <w:pPr>
        <w:spacing w:after="200"/>
      </w:pPr>
      <w:r>
        <w:t xml:space="preserve">This case has no single right answer, so do not grade toward "Plan A" or "Plan B" as a correct final pick. A strong defense names all four of Idaho’s legal criteria (population equality, compactness, county integrity, non-dilution) and explains, using the Hero’s own D1–D4 numbers, which criteria their chosen plan wins and which it concedes — rather than presenting only the numbers that favor their pick. It correctly identifies that the efficiency-gap metric (D3) does not distinguish the two plans under the case’s stated Modeling Assumption, and explains </w:t>
      </w:r>
      <w:r>
        <w:rPr>
          <w:i/>
          <w:iCs/>
        </w:rPr>
        <w:t xml:space="preserve">why</w:t>
      </w:r>
      <w:r>
        <w:t xml:space="preserve"> (MA2’s uniform vote-share assumption), rather than either ignoring the tie or treating it as a computational error. It engages with the stricter congressional population-deviation standard (Appendix C, </w:t>
      </w:r>
      <w:r>
        <w:rPr>
          <w:i/>
          <w:iCs/>
        </w:rPr>
        <w:t xml:space="preserve">Karcher v. Daggett</w:t>
      </w:r>
      <w:r>
        <w:t xml:space="preserve">) by name when discussing population balance, not just informally. And it is honest about the case’s one genuinely load-bearing assumption — Plan B’s dividing line (MA1) — acknowledging that the compactness score they computed depends on a boundary they had to draw themselves, not one handed to them. A weak defense picks a side in the first two minutes and mines the appendices for supporting numbers only; a strong one shows its work changing, or nearly changing, when it hits the Twist.</w:t>
      </w:r>
    </w:p>
    <w:p>
      <w:pPr>
        <w:pStyle w:val="Heading2"/>
        <w:spacing w:after="120" w:before="300"/>
      </w:pPr>
      <w:r>
        <w:t xml:space="preserve">Skills This Case Exercises</w:t>
      </w:r>
    </w:p>
    <w:p>
      <w:pPr>
        <w:spacing w:after="120"/>
      </w:pPr>
      <w:r>
        <w:t xml:space="preserve">Name these explicitly in debrief so Heroes connect the case back to the standards ladder:</w:t>
      </w:r>
    </w:p>
    <w:p>
      <w:pPr>
        <w:ind w:left="360"/>
      </w:pPr>
      <w:r>
        <w:t xml:space="preserve">- advanced-numbers-percent</w:t>
      </w:r>
    </w:p>
    <w:p>
      <w:pPr>
        <w:ind w:left="360"/>
      </w:pPr>
      <w:r>
        <w:t xml:space="preserve">- advanced-numbers-how-to-convert-numbers-to-percents</w:t>
      </w:r>
    </w:p>
    <w:p>
      <w:pPr>
        <w:ind w:left="360"/>
      </w:pPr>
      <w:r>
        <w:t xml:space="preserve">- advanced-numbers-how-to-find-the-percent-of-a-number</w:t>
      </w:r>
    </w:p>
    <w:p>
      <w:pPr>
        <w:ind w:left="360"/>
      </w:pPr>
      <w:r>
        <w:t xml:space="preserve">- statistics-and-probability-population</w:t>
      </w:r>
    </w:p>
    <w:p>
      <w:pPr>
        <w:ind w:left="360"/>
      </w:pPr>
      <w:r>
        <w:t xml:space="preserve">- statistics-and-probability-mean</w:t>
      </w:r>
    </w:p>
    <w:p>
      <w:pPr>
        <w:ind w:left="360"/>
      </w:pPr>
      <w:r>
        <w:t xml:space="preserve">- statistics-and-probability-how-to-find-the-mean-of-a-set-of-data</w:t>
      </w:r>
    </w:p>
    <w:p>
      <w:pPr>
        <w:ind w:left="360"/>
      </w:pPr>
      <w:r>
        <w:t xml:space="preserve">- geometry-perimeter</w:t>
      </w:r>
    </w:p>
    <w:p>
      <w:pPr>
        <w:ind w:left="360"/>
      </w:pPr>
      <w:r>
        <w:t xml:space="preserve">- geometry-area</w:t>
      </w:r>
    </w:p>
    <w:p>
      <w:pPr>
        <w:ind w:left="360"/>
      </w:pPr>
      <w:r>
        <w:t xml:space="preserve">- geometry-how-to-find-the-measure-of-the-perimeter-of-a-polygon</w:t>
      </w:r>
    </w:p>
    <w:p>
      <w:pPr>
        <w:ind w:left="360"/>
      </w:pPr>
      <w:r>
        <w:t xml:space="preserve">- geometry-how-to-find-the-area-of-a-circle</w:t>
      </w:r>
    </w:p>
    <w:p>
      <w:pPr>
        <w:ind w:left="360"/>
      </w:pPr>
      <w:r>
        <w:t xml:space="preserve">- geometry-convex</w:t>
      </w:r>
    </w:p>
    <w:p>
      <w:pPr>
        <w:ind w:left="360"/>
      </w:pPr>
      <w:r>
        <w:t xml:space="preserve">- measurement-ratio</w:t>
      </w:r>
    </w:p>
    <w:p>
      <w:pPr>
        <w:ind w:left="360"/>
      </w:pPr>
      <w:r>
        <w:t xml:space="preserve">- measurement-proportion</w:t>
      </w:r>
    </w:p>
    <w:p>
      <w:pPr>
        <w:ind w:left="360"/>
      </w:pPr>
      <w:r>
        <w:t xml:space="preserve">- measurement-how-to-find-a-missing-amount-in-a-proportion</w:t>
      </w:r>
    </w:p>
    <w:p>
      <w:pPr>
        <w:spacing w:after="120"/>
      </w:pPr>
    </w:p>
    <w:p>
      <w:r>
        <w:rPr>
          <w:b/>
          <w:bCs/>
        </w:rPr>
        <w:t xml:space="preserve">New coverage introduced by this case: </w:t>
      </w:r>
      <w:r>
        <w:t xml:space="preserve">geometry-convex</w:t>
      </w:r>
    </w:p>
    <w:p>
      <w:pPr>
        <w:pStyle w:val="Heading2"/>
        <w:spacing w:after="120" w:before="300"/>
      </w:pPr>
      <w:r>
        <w:t xml:space="preserve">Guide Notes (from FACILITATOR.md)</w:t>
      </w:r>
    </w:p>
    <w:p>
      <w:pPr>
        <w:pStyle w:val="Heading1"/>
        <w:spacing w:after="120" w:before="240"/>
      </w:pPr>
      <w:r>
        <w:t xml:space="preserve">Guide Notes: Gerrymandering</w:t>
      </w:r>
    </w:p>
    <w:p>
      <w:r>
        <w:rPr>
          <w:b/>
          <w:bCs/>
        </w:rPr>
        <w:t xml:space="preserve">Case:</w:t>
      </w:r>
      <w:r>
        <w:t xml:space="preserve"> Gerrymandering · </w:t>
      </w:r>
      <w:r>
        <w:rPr>
          <w:b/>
          <w:bCs/>
        </w:rPr>
        <w:t xml:space="preserve">Tier:</w:t>
      </w:r>
      <w:r>
        <w:t xml:space="preserve"> T3 · </w:t>
      </w:r>
      <w:r>
        <w:rPr>
          <w:b/>
          <w:bCs/>
        </w:rPr>
        <w:t xml:space="preserve">Band:</w:t>
      </w:r>
      <w:r>
        <w:t xml:space="preserve"> MS-stretch / HS-entry · </w:t>
      </w:r>
      <w:r>
        <w:rPr>
          <w:b/>
          <w:bCs/>
        </w:rPr>
        <w:t xml:space="preserve">Studio:</w:t>
      </w:r>
      <w:r>
        <w:t xml:space="preserve"> Adventure </w:t>
      </w:r>
      <w:r>
        <w:rPr>
          <w:b/>
          <w:bCs/>
        </w:rPr>
        <w:t xml:space="preserve">Standards:</w:t>
      </w:r>
      <w:r>
        <w:t xml:space="preserve"> see </w:t>
      </w:r>
      <w:r>
        <w:rPr>
          <w:rFonts w:ascii="Courier New" w:cs="Courier New" w:eastAsia="Courier New" w:hAnsi="Courier New"/>
        </w:rPr>
        <w:t xml:space="preserve">case.json.standards[]</w:t>
      </w:r>
      <w:r>
        <w:t xml:space="preserve"> for the exact ids — percent, population/mean, perimeter/area/circle-area, convex, and ratio/proportion</w:t>
      </w:r>
    </w:p>
    <w:p>
      <w:r>
        <w:t xml:space="preserve">Legacy conversion, 2026-08-20, built from the original case study docx (</w:t>
      </w:r>
      <w:r>
        <w:rPr>
          <w:rFonts w:ascii="Courier New" w:cs="Courier New" w:eastAsia="Courier New" w:hAnsi="Courier New"/>
        </w:rPr>
        <w:t xml:space="preserve">source/Y3/Additional/Gerrymandering/Case Study_ Gerrymandering.docx</w:t>
      </w:r>
      <w:r>
        <w:t xml:space="preserve">; no separate Guide Notes document exists for this case — confirmed by directory listing) onto the current 11-anchor ladder. The real premise (Idaho's incoming third congressional seat, the bipartisan Commission for Reapportionment, the Treasure Valley's outsized population share, the efficiency-gap challenge) is preserved from the source. The binary dilemma is not from the source — the original had no named options at all — and is taken verbatim from the human-approved lock in </w:t>
      </w:r>
      <w:r>
        <w:rPr>
          <w:rFonts w:ascii="Courier New" w:cs="Courier New" w:eastAsia="Courier New" w:hAnsi="Courier New"/>
        </w:rPr>
        <w:t xml:space="preserve">cases/_concepts/LEGACY_DILEMMA_LOCKS_2026-08-20.md</w:t>
      </w:r>
      <w:r>
        <w:t xml:space="preserve">.</w:t>
      </w:r>
    </w:p>
    <w:p>
      <w:r>
        <w:rPr>
          <w:b/>
          <w:bCs/>
        </w:rPr>
        <w:t xml:space="preserve">A note on political framing (read this before running the discussion).</w:t>
      </w:r>
      <w:r>
        <w:t xml:space="preserve"> An earlier draft of this case's locked rationale named a specific political party as the beneficiary of one option. That language was struck at lock-approval and does not appear anywhere in </w:t>
      </w:r>
      <w:r>
        <w:rPr>
          <w:rFonts w:ascii="Courier New" w:cs="Courier New" w:eastAsia="Courier New" w:hAnsi="Courier New"/>
        </w:rPr>
        <w:t xml:space="preserve">case.md</w:t>
      </w:r>
      <w:r>
        <w:t xml:space="preserve">, this file, or </w:t>
      </w:r>
      <w:r>
        <w:rPr>
          <w:rFonts w:ascii="Courier New" w:cs="Courier New" w:eastAsia="Courier New" w:hAnsi="Courier New"/>
        </w:rPr>
        <w:t xml:space="preserve">case.json</w:t>
      </w:r>
      <w:r>
        <w:t xml:space="preserve"> — both options are argued here in neutral political-geography terms only: compact/ whole-county vs. split-for-balance, and the legal packing/cracking standard. </w:t>
      </w:r>
      <w:r>
        <w:rPr>
          <w:b/>
          <w:bCs/>
        </w:rPr>
        <w:t xml:space="preserve">If a discussion participant tries to name which party benefits from Plan A or Plan B, redirect to the math:</w:t>
      </w:r>
      <w:r>
        <w:t xml:space="preserve"> ask them to show the packing/cracking or population-deviation evidence for that claim using the case's own numbers, not asserted priors. The case is legally and mathematically real either way — Idaho's own redistricting criteria (Appendix A/C) apply regardless of who they're presumed to help.</w:t>
      </w:r>
    </w:p>
    <w:p>
      <w:pPr>
        <w:pStyle w:val="Heading2"/>
        <w:spacing w:after="120" w:before="240"/>
      </w:pPr>
      <w:r>
        <w:t xml:space="preserve">Intro</w:t>
      </w:r>
    </w:p>
    <w:p>
      <w:r>
        <w:t xml:space="preserve">Frame the format: this is a real state's real redistricting choice, made by a commission that is required by law to be evenly split by party — so the room's own vote, whatever the mix, mirrors that structure. Name the opener: "Idaho is getting a third congressional seat. Two complete maps are on the table. Neither map breaks the law on its face — but only one gets recommended tomorrow at 9 a.m."</w:t>
      </w:r>
    </w:p>
    <w:p>
      <w:pPr>
        <w:pStyle w:val="Heading2"/>
        <w:spacing w:after="120" w:before="240"/>
      </w:pPr>
      <w:r>
        <w:t xml:space="preserve">Launch</w:t>
      </w:r>
    </w:p>
    <w:p>
      <w:r>
        <w:t xml:space="preserve">Read the Overview aloud, then Background's three sentences on the two plans (Whole Valley intact vs. Balanced Split), with no Appendix numbers shown yet. Ask: "Just from the names of these two plans — which one sounds more like gerrymandering to you? Why?"</w:t>
      </w:r>
    </w:p>
    <w:p>
      <w:pPr>
        <w:pStyle w:val="Heading2"/>
        <w:spacing w:after="120" w:before="240"/>
      </w:pPr>
      <w:r>
        <w:t xml:space="preserve">Anchor 1 — Take a stand and vote</w:t>
      </w:r>
    </w:p>
    <w:p>
      <w:r>
        <w:rPr>
          <w:b/>
          <w:bCs/>
        </w:rPr>
        <w:t xml:space="preserve">TAKE A STAND AND VOTE. No reasoning yet, just commit.</w:t>
      </w:r>
    </w:p>
    <w:p>
      <w:r>
        <w:t xml:space="preserve">"Who's recommending the Whole Valley Plan? Who's recommending the Balanced Split?"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'fair'?"</w:t>
      </w:r>
    </w:p>
    <w:p>
      <w:r>
        <w:t xml:space="preserve">Push on what "avoiding gerrymandering" actually means here — Idaho's own criteria list four different things at once (population equality, compactness, county integrity, non-dilution of race/age/party groups) and the two plans trade off against each other on exactly those four. "Is anyone courageous enough to say which one of these four criteria matters most — before we've seen a single number?" Let the room sit in the ambiguity: "Wow, Idaho's own law doesn't rank these for us either."</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picked a working definition of "fair" (or at least ranked the four criteria), ask them to name the actual steps: population-balance math (D1), compactness math (D2), the efficiency-gap calculation (D3), and the demographic check (D4). Re-ask: "Given how we just ranked those four criteria — is that still the right process, or does one deliverable now matter more than the others?"</w:t>
      </w:r>
    </w:p>
    <w:p>
      <w:pPr>
        <w:pStyle w:val="Heading2"/>
        <w:spacing w:after="120" w:before="240"/>
      </w:pPr>
      <w:r>
        <w:t xml:space="preserve">Anchor 4 — What don't we know?</w:t>
      </w:r>
    </w:p>
    <w:p>
      <w:r>
        <w:rPr>
          <w:b/>
          <w:bCs/>
        </w:rPr>
        <w:t xml:space="preserve">"Do we need to make assumptions? Which ones are critical?"</w:t>
      </w:r>
    </w:p>
    <w:p>
      <w:r>
        <w:t xml:space="preserve">Surface the Appendix F Modeling Assumption out loud, as a group, before anyone computes anything: the Balanced Split Plan's exact population-share line through the Treasure Valley is </w:t>
      </w:r>
      <w:r>
        <w:rPr>
          <w:i/>
          <w:iCs/>
        </w:rPr>
        <w:t xml:space="preserve">not</w:t>
      </w:r>
      <w:r>
        <w:t xml:space="preserve"> a fixed fact — it's a constructed dividing line the case-research stage had to state and justify. Ask: "If that dividing line moved five percentage points, would your recommendation still hold?" (Facilitator note: this is exactly what the Twist tests — let the room guess first.)</w:t>
      </w:r>
    </w:p>
    <w:p>
      <w:pPr>
        <w:pStyle w:val="Heading2"/>
        <w:spacing w:after="120" w:before="240"/>
      </w:pPr>
      <w:r>
        <w:t xml:space="preserve">Data Deep Dive</w:t>
      </w:r>
    </w:p>
    <w:p>
      <w:r>
        <w:t xml:space="preserve">Now, and only now, the numbers. Walk D1's population-balance table together as a room, then D2's compactness scores.</w:t>
      </w:r>
    </w:p>
    <w:p>
      <w:r>
        <w:rPr>
          <w:b/>
          <w:bCs/>
        </w:rPr>
        <w:t xml:space="preserve">The trap:</w:t>
      </w:r>
      <w:r>
        <w:t xml:space="preserve"> most Heroes will treat "compact" and "fair" as the same word — they'll see the Whole Valley Plan's higher Polsby-Popper score, conclude it's obviously the less-gerrymandered map, and never actually run the population-deviation math in D1. That's backwards from how courts actually weigh these criteria: population equality is the </w:t>
      </w:r>
      <w:r>
        <w:rPr>
          <w:i/>
          <w:iCs/>
        </w:rPr>
        <w:t xml:space="preserve">constitutional</w:t>
      </w:r>
      <w:r>
        <w:t xml:space="preserve"> requirement for congressional districts (Appendix C) — compactness is a secondary, traditional-districting-principle factor courts use as evidence of intent, not a hard rule with its own numeric threshold the way population equality is. A student who leads with the map that "looks less gerrymandered" and never checks its population-deviation number against Appendix C's stricter congressional-district standard has skipped the one criterion the courts actually enforce first. Cold-call on this specifically: "Which of these two legal tests is Idaho's constitution actually stricter about?"</w:t>
      </w:r>
    </w:p>
    <w:p>
      <w:pPr>
        <w:pStyle w:val="Heading2"/>
        <w:spacing w:after="120" w:before="240"/>
      </w:pPr>
      <w:r>
        <w:t xml:space="preserve">Twist — drop this at roughly the 15-minute mark</w:t>
      </w:r>
    </w:p>
    <w:p>
      <w:r>
        <w:t xml:space="preserve">Deliver slowly, with pauses:</w:t>
      </w:r>
    </w:p>
    <w:p>
      <w:r>
        <w:t xml:space="preserve">"Whichever plan you picked, go back and check your D3 efficiency-gap number against a neighbor who picked the </w:t>
      </w:r>
      <w:r>
        <w:rPr>
          <w:i/>
          <w:iCs/>
        </w:rPr>
        <w:t xml:space="preserve">other</w:t>
      </w:r>
      <w:r>
        <w:t xml:space="preserve"> plan. Compare them side by side. What do you notice?"</w:t>
      </w:r>
    </w:p>
    <w:p>
      <w:r>
        <w:rPr>
          <w:b/>
          <w:bCs/>
        </w:rPr>
        <w:t xml:space="preserve">Facilitator-only.</w:t>
      </w:r>
      <w:r>
        <w:t xml:space="preserve"> </w:t>
      </w:r>
      <w:r>
        <w:rPr>
          <w:rFonts w:ascii="Courier New" w:cs="Courier New" w:eastAsia="Courier New" w:hAnsi="Courier New"/>
        </w:rPr>
        <w:t xml:space="preserve">case.json.balance.margin_pct</w:t>
      </w:r>
      <w:r>
        <w:t xml:space="preserve"> is </w:t>
      </w:r>
      <w:r>
        <w:rPr>
          <w:rFonts w:ascii="Courier New" w:cs="Courier New" w:eastAsia="Courier New" w:hAnsi="Courier New"/>
        </w:rPr>
        <w:t xml:space="preserve">0.0</w:t>
      </w:r>
      <w:r>
        <w:t xml:space="preserve"> by disclosed design: D3's methodology uses Modeling Assumption MA2 (every region's two-party vote share is assumed to match the real, sourced statewide two-party split, since county-level 2020 vote data wasn't reprocessed this research pass) — and under that assumption, the projected efficiency gap comes out </w:t>
      </w:r>
      <w:r>
        <w:rPr>
          <w:b/>
          <w:bCs/>
        </w:rPr>
        <w:t xml:space="preserve">identical</w:t>
      </w:r>
      <w:r>
        <w:t xml:space="preserve"> under Plan A and Plan B, because it's driven by vote share, not by which population is grouped into which district. Heroes who did the arithmetic correctly should discover this themselves. This is the real twist: </w:t>
      </w:r>
      <w:r>
        <w:rPr>
          <w:b/>
          <w:bCs/>
        </w:rPr>
        <w:t xml:space="preserve">the metric they were told to compute (Appendix E) turns out not to distinguish the two plans at all</w:t>
      </w:r>
      <w:r>
        <w:t xml:space="preserve"> — which means whichever plan they already argued for has to stand on D1 (population balance) and D2 (compactness), not on D3. Never reveal this before the room finds it — ask instead: "If your D3 numbers came out the same for both plans, what does that tell you about which of your other numbers is actually doing the work in your recommendation?"</w:t>
      </w:r>
    </w:p>
    <w:p>
      <w:r>
        <w:t xml:space="preserve">Once the room has surfaced this, walk the </w:t>
      </w:r>
      <w:r>
        <w:rPr>
          <w:i/>
          <w:iCs/>
        </w:rPr>
        <w:t xml:space="preserve">real</w:t>
      </w:r>
      <w:r>
        <w:t xml:space="preserve"> asymmetry: D1's population-deviation numbers sharply favor the Balanced Split Plan (the intact Treasure Valley district is a fixed, real 18.44% over Idaho's statewide ideal district population; a well-chosen split can bring every district within a percentage point or two of ideal) — the one criterion federal courts scrutinize most strictly for congressional maps (Appendix C, </w:t>
      </w:r>
      <w:r>
        <w:rPr>
          <w:i/>
          <w:iCs/>
        </w:rPr>
        <w:t xml:space="preserve">Karcher v. Daggett</w:t>
      </w:r>
      <w:r>
        <w:t xml:space="preserve">). D2's compactness numbers (computed by each Hero from their own measured perimeter) should sharply favor the Whole Valley Plan instead. Neither plan wins on every axis — that's the real dilemma, not the efficiency gap.</w:t>
      </w:r>
    </w:p>
    <w:p>
      <w:r>
        <w:t xml:space="preserve">Ask: "You now have 60 seconds. Does this change your recommendation — or not?" Then, the follow-up that matters more than the vote: </w:t>
      </w:r>
      <w:r>
        <w:rPr>
          <w:b/>
          <w:bCs/>
        </w:rPr>
        <w:t xml:space="preserve">"What just broke in your original model? Were you wrong about your plan — or just wrong about which of your own numbers was actually carrying the argument?"</w:t>
      </w:r>
    </w:p>
    <w:p>
      <w:r>
        <w:rPr>
          <w:b/>
          <w:bCs/>
        </w:rPr>
        <w:t xml:space="preserve">Twist soundness check (SPEC §6):</w:t>
      </w:r>
      <w:r>
        <w:t xml:space="preserve"> this twist introduces no new figure that contradicts an earlier one — it names, out loud, a consequence of an assumption that was already disclosed in </w:t>
      </w:r>
      <w:r>
        <w:rPr>
          <w:rFonts w:ascii="Courier New" w:cs="Courier New" w:eastAsia="Courier New" w:hAnsi="Courier New"/>
        </w:rPr>
        <w:t xml:space="preserve">case.json.modeling_assumptions[]</w:t>
      </w:r>
      <w:r>
        <w:t xml:space="preserve"> (MA2), and asks the room to discover it by comparing their own computed numbers. It holds under both a sequential read (Hero computes D3 before ever comparing notes with someone who picked the other plan) and a simultaneous read (both plans' full numbers laid out side by side).</w:t>
      </w:r>
    </w:p>
    <w:p>
      <w:pPr>
        <w:pStyle w:val="Heading2"/>
        <w:spacing w:after="120" w:before="240"/>
      </w:pPr>
      <w:r>
        <w:t xml:space="preserve">Immediate recommit</w:t>
      </w:r>
    </w:p>
    <w:p>
      <w:r>
        <w:t xml:space="preserve">Re-vote immediately. "Did realizing D3 doesn't discriminate between the plans change your hand — or did it just change </w:t>
      </w:r>
      <w:r>
        <w:rPr>
          <w:i/>
          <w:iCs/>
        </w:rPr>
        <w:t xml:space="preserve">which numbers</w:t>
      </w:r>
      <w:r>
        <w:t xml:space="preserve"> you're now resting your hand on?"</w:t>
      </w:r>
    </w:p>
    <w:p>
      <w:pPr>
        <w:pStyle w:val="Heading2"/>
        <w:spacing w:after="120" w:before="240"/>
      </w:pPr>
      <w:r>
        <w:t xml:space="preserve">Close</w:t>
      </w:r>
    </w:p>
    <w:p>
      <w:r>
        <w:t xml:space="preserve">Re-vote once more after full discussion. Ask: "Did we ask the right question at Anchor 2 — is 'fair' actually one thing, or four things in tension?" And: "What math was new to you today, and how did you attack it?"</w:t>
      </w:r>
    </w:p>
    <w:p>
      <w:pPr>
        <w:pStyle w:val="Heading2"/>
        <w:spacing w:after="120" w:before="240"/>
      </w:pPr>
      <w:r>
        <w:t xml:space="preserve">Lessons Learned</w:t>
      </w:r>
    </w:p>
    <w:p>
      <w:r>
        <w:t xml:space="preserve">The source case's own framing treats "avoid gerrymandering" as a single instruction with no worked-out tension inside it. This conversion's central lesson is that Idaho's own stated redistricting criteria are not one test but (at least) four, and that a compact, whole-county map and a population-balanced, split-county map can each satisfy some of those criteria while straining another — "avoid gerrymandering" is not a single number to optimize, it's several legal tests that do not always point the same direction. A second, transferable lesson: an assumption that looks like a technical footnote (exactly where a population-split line falls) can be the single most load-bearing number in the entire recommendation.</w:t>
      </w:r>
    </w:p>
    <w:p>
      <w:pPr>
        <w:pStyle w:val="Heading2"/>
        <w:spacing w:after="120" w:before="240"/>
      </w:pPr>
      <w:r>
        <w:t xml:space="preserve">Five Socratic Questions</w:t>
      </w:r>
    </w:p>
    <w:p>
      <w:r>
        <w:t xml:space="preserve">Use these across Anchors 2–4 and the Data Deep Dive — each is answerable only with this case's own numbers once </w:t>
      </w:r>
      <w:r>
        <w:rPr>
          <w:rFonts w:ascii="Courier New" w:cs="Courier New" w:eastAsia="Courier New" w:hAnsi="Courier New"/>
        </w:rPr>
        <w:t xml:space="preserve">case-research</w:t>
      </w:r>
      <w:r>
        <w:t xml:space="preserve"> fills them in, not general opinion.</w:t>
      </w:r>
    </w:p>
    <w:p>
      <w:pPr>
        <w:ind w:left="360"/>
      </w:pPr>
      <w:r>
        <w:t xml:space="preserve">1. Your D1 population-balance table shows one district furthest from the statewide mean — which plan produces that district, and by how many percentage points does it miss?</w:t>
      </w:r>
    </w:p>
    <w:p>
      <w:pPr>
        <w:ind w:left="360"/>
      </w:pPr>
      <w:r>
        <w:t xml:space="preserve">2. Your D2 compactness scores favor one plan — does the plan with the higher Polsby-Popper score also win on population balance, or do the two criteria point at different plans?</w:t>
      </w:r>
    </w:p>
    <w:p>
      <w:pPr>
        <w:ind w:left="360"/>
      </w:pPr>
      <w:r>
        <w:t xml:space="preserve">3. Appendix C describes a stricter population-deviation standard for congressional districts than for state legislative ones — under that stricter standard, does your chosen plan actually pass?</w:t>
      </w:r>
    </w:p>
    <w:p>
      <w:pPr>
        <w:ind w:left="360"/>
      </w:pPr>
      <w:r>
        <w:t xml:space="preserve">4. Compare your D3 efficiency-gap number against a classmate who picked the other plan — are they actually different, and if not, why not, given the assumption Appendix E's methodology rests on?</w:t>
      </w:r>
    </w:p>
    <w:p>
      <w:pPr>
        <w:ind w:left="360"/>
      </w:pPr>
      <w:r>
        <w:t xml:space="preserve">5. Appendix A defines "packing" and "cracking" as the two technical forms gerrymandering takes — which of those two, if either, does your non-chosen plan more closely resemble, and what number from your own tables is your evidence?</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and </w:t>
      </w:r>
      <w:r>
        <w:rPr>
          <w:rFonts w:ascii="Courier New" w:cs="Courier New" w:eastAsia="Courier New" w:hAnsi="Courier New"/>
        </w:rPr>
        <w:t xml:space="preserve">LEARNING_GOALS.md</w:t>
      </w:r>
      <w:r>
        <w:t xml:space="preserve"> for the full deliverable ↔ skill matrix. In brief: percent and percent-deviation arithmetic, population and mean (the "ideal" district size), perimeter/area and the area of a circle (the Polsby-Popper compactness benchmark), convex vs. concave classification, and ratio/proportion (apportioning a split county's votes and population by the same share).</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Anchors 2–3 run as written; the room splits into a "compactness/county-integrity"   faction and a "population-balance" faction before the Twist forces everyone to hold both legal   standards at once.</w:t>
      </w:r>
    </w:p>
    <w:p>
      <w:pPr>
        <w:ind w:left="360"/>
      </w:pPr>
      <w:r>
        <w:t xml:space="preserve">- </w:t>
      </w:r>
      <w:r>
        <w:rPr>
          <w:b/>
          <w:bCs/>
        </w:rPr>
        <w:t xml:space="preserve">Compressed (6–11):</w:t>
      </w:r>
      <w:r>
        <w:t xml:space="preserve"> Anchors 2–3 combine into one pass; D2's compactness score and D3's   efficiency-gap calculation are worked as one shared worked example (one plan) instead of every   Hero building both plans independently.</w:t>
      </w:r>
    </w:p>
    <w:p>
      <w:pPr>
        <w:ind w:left="360"/>
      </w:pPr>
      <w:r>
        <w:t xml:space="preserve">- </w:t>
      </w:r>
      <w:r>
        <w:rPr>
          <w:b/>
          <w:bCs/>
        </w:rPr>
        <w:t xml:space="preserve">1:1 / pair (1–2):</w:t>
      </w:r>
      <w:r>
        <w:t xml:space="preserve"> No vote to take — Anchor 1 becomes a stated initial position instead of a   cold-call show of hands; the guide plays devil's advocate directly, arguing whichever plan the   Hero didn't pick.</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3:00–10:00</w:t>
            </w:r>
          </w:p>
        </w:tc>
        <w:tc>
          <w:tcPr>
            <w:tcW w:type="dxa" w:w="4500"/>
          </w:tcPr>
          <w:p>
            <w:r>
              <w:t xml:space="preserve">Position defense: "Convince us why it's the fairer map, not just the less-gerrymandered-looking one"</w:t>
            </w:r>
          </w:p>
        </w:tc>
      </w:tr>
      <w:tr>
        <w:tc>
          <w:tcPr>
            <w:tcW w:type="dxa" w:w="4500"/>
          </w:tcPr>
          <w:p>
            <w:r>
              <w:t xml:space="preserve">10:00–15:00</w:t>
            </w:r>
          </w:p>
        </w:tc>
        <w:tc>
          <w:tcPr>
            <w:tcW w:type="dxa" w:w="4500"/>
          </w:tcPr>
          <w:p>
            <w:r>
              <w:t xml:space="preserve">Pressure-test the models: "Whose plan breaks first if the split-line assumption moves?"</w:t>
            </w:r>
          </w:p>
        </w:tc>
      </w:tr>
      <w:tr>
        <w:tc>
          <w:tcPr>
            <w:tcW w:type="dxa" w:w="4500"/>
          </w:tcPr>
          <w:p>
            <w:r>
              <w:rPr>
                <w:b/>
                <w:bCs/>
              </w:rPr>
              <w:t xml:space="preserve">15:00</w:t>
            </w:r>
          </w:p>
        </w:tc>
        <w:tc>
          <w:tcPr>
            <w:tcW w:type="dxa" w:w="4500"/>
          </w:tcPr>
          <w:p>
            <w:r>
              <w:rPr>
                <w:b/>
                <w:bCs/>
              </w:rPr>
              <w:t xml:space="preserve">DROP THE TWIST</w:t>
            </w:r>
            <w:r>
              <w:t xml:space="preserve"> — the population-share assumption is not a fact, delivered slowly</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 two named threads: (1) compactness/county-integrity vs.</w:t>
            </w:r>
          </w:p>
        </w:tc>
      </w:tr>
    </w:tbl>
    <w:p/>
    <w:p>
      <w:r>
        <w:t xml:space="preserve">population-balance as competing legal criteria; (2) packing vs. cracking as the two technical forms of the same underlying accusation, and which plan's shape resembles which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30:00–45:00</w:t>
            </w:r>
          </w:p>
        </w:tc>
        <w:tc>
          <w:tcPr>
            <w:tcW w:type="dxa" w:w="4500"/>
            <w:shd w:fill="DDDDDD" w:val="clear"/>
          </w:tcPr>
          <w:p>
            <w:r>
              <w:t xml:space="preserve">Close, re-vote,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2026-08-20T22:56:32.676Z</dcterms:created>
  <dcterms:modified xsi:type="dcterms:W3CDTF">2026-08-20T22:56:32.677Z</dcterms:modified>
</cp:coreProperties>
</file>

<file path=docProps/custom.xml><?xml version="1.0" encoding="utf-8"?>
<Properties xmlns="http://schemas.openxmlformats.org/officeDocument/2006/custom-properties" xmlns:vt="http://schemas.openxmlformats.org/officeDocument/2006/docPropsVTypes"/>
</file>