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6"/>
          <w:szCs w:val="36"/>
        </w:rPr>
        <w:t xml:space="preserve">Case Study: Heist</w:t>
      </w:r>
    </w:p>
    <w:p>
      <w:pPr>
        <w:spacing w:after="320"/>
        <w:jc w:val="center"/>
      </w:pPr>
      <w:r>
        <w:rPr>
          <w:i/>
          <w:iCs/>
          <w:sz w:val="22"/>
          <w:szCs w:val="22"/>
        </w:rPr>
        <w:t xml:space="preserve">MS | Math | Case Study | 2026-27 | Adventure</w:t>
      </w:r>
    </w:p>
    <w:p>
      <w:pPr>
        <w:pStyle w:val="Heading1"/>
        <w:spacing w:after="140" w:before="280"/>
      </w:pPr>
      <w:r>
        <w:rPr>
          <w:b/>
          <w:bCs/>
        </w:rPr>
        <w:t xml:space="preserve">Overview</w:t>
      </w:r>
    </w:p>
    <w:p>
      <w:pPr>
        <w:spacing w:after="140"/>
      </w:pPr>
      <w:r>
        <w:t xml:space="preserve">The map is still warm from the printer when Five slaps both palms on the table. "Ah, there she is — welcome, Four." He spreads his arms like he's introducing a headliner. "Good. Now that we're all here, let's get down to business."</w:t>
      </w:r>
    </w:p>
    <w:p>
      <w:pPr>
        <w:spacing w:after="140"/>
      </w:pPr>
      <w:r>
        <w:t xml:space="preserve">One doesn't look up from the laptop balanced on his knee, three fingers moving fast across the trackpad. Two leans against the wall by the door, arms crossed, already dressed for driving — gloves on, jacket zipped, the look of someone who has sat in a lot of parked cars waiting for other people to finish talking.</w:t>
      </w:r>
    </w:p>
    <w:p>
      <w:pPr>
        <w:spacing w:after="140"/>
      </w:pPr>
      <w:r>
        <w:t xml:space="preserve">"You're all here because you're the best of the best," Five says. "This score sets us up for life. Small city. Limited security. Lots of exits." He taps the map. "We should be in and out fast."</w:t>
      </w:r>
    </w:p>
    <w:p>
      <w:pPr>
        <w:spacing w:after="140"/>
      </w:pPr>
      <w:r>
        <w:t xml:space="preserve">Every eye in the room turns to Four.</w:t>
      </w:r>
    </w:p>
    <w:p>
      <w:pPr>
        <w:spacing w:after="140"/>
      </w:pPr>
      <w:r>
        <w:t xml:space="preserve">She unrolls a second map over the first — this one hers, covered in her own handwriting, two routes traced in different colors from the same starting point, each one ending at a different door.</w:t>
      </w:r>
    </w:p>
    <w:p>
      <w:pPr>
        <w:spacing w:after="140"/>
      </w:pPr>
      <w:r>
        <w:t xml:space="preserve">"Four," Five says. "What's the plan?"</w:t>
      </w:r>
    </w:p>
    <w:p>
      <w:pPr>
        <w:spacing w:after="140"/>
      </w:pPr>
      <w:r>
        <w:t xml:space="preserve">She doesn't answer right away. Her pen hovers between the two colored lines.</w:t>
      </w:r>
    </w:p>
    <w:p>
      <w:pPr>
        <w:pStyle w:val="Heading1"/>
        <w:spacing w:after="140" w:before="280"/>
      </w:pPr>
      <w:r>
        <w:rPr>
          <w:b/>
          <w:bCs/>
        </w:rPr>
        <w:t xml:space="preserve">Background</w:t>
      </w:r>
    </w:p>
    <w:p>
      <w:pPr>
        <w:spacing w:after="100"/>
      </w:pPr>
      <w:r>
        <w:t xml:space="preserve">For over four years, the Gang Of Five has eluded every authority chasing them across the Western United States, pulling off more than $3 million in heists without ever injuring a soul, always in broad daylight, always on a weekday, never leaving a trace. Despite the name, the crew is four people — three is considered unlucky in the trade, so nobody claims the number. Each member goes by a number instead of a name:</w:t>
      </w:r>
    </w:p>
    <w:p>
      <w:pPr>
        <w:pStyle w:val="ListParagraph"/>
        <w:numPr>
          <w:ilvl w:val="0"/>
          <w:numId w:val="2"/>
        </w:numPr>
        <w:spacing w:after="80"/>
        <w:ind w:left="480" w:hanging="240"/>
      </w:pPr>
      <w:r>
        <w:rPr>
          <w:b/>
          <w:bCs/>
        </w:rPr>
        <w:t xml:space="preserve">One</w:t>
      </w:r>
      <w:r>
        <w:t xml:space="preserve"> — Hedley "Three Fingers," a hacker savant despite having only three fingers on his left hand.</w:t>
      </w:r>
    </w:p>
    <w:p>
      <w:pPr>
        <w:pStyle w:val="ListParagraph"/>
        <w:numPr>
          <w:ilvl w:val="0"/>
          <w:numId w:val="2"/>
        </w:numPr>
        <w:spacing w:after="80"/>
        <w:ind w:left="480" w:hanging="240"/>
      </w:pPr>
      <w:r>
        <w:rPr>
          <w:b/>
          <w:bCs/>
        </w:rPr>
        <w:t xml:space="preserve">Two</w:t>
      </w:r>
      <w:r>
        <w:t xml:space="preserve"> — "Two Face" Randy, burned in a childhood fire and rebuilt with a partial face transplant; an expert safecracker and, as a part-time race car driver, the crew’s getaway wheelman.</w:t>
      </w:r>
    </w:p>
    <w:p>
      <w:pPr>
        <w:pStyle w:val="ListParagraph"/>
        <w:numPr>
          <w:ilvl w:val="0"/>
          <w:numId w:val="2"/>
        </w:numPr>
        <w:spacing w:after="80"/>
        <w:ind w:left="480" w:hanging="240"/>
      </w:pPr>
      <w:r>
        <w:rPr>
          <w:b/>
          <w:bCs/>
        </w:rPr>
        <w:t xml:space="preserve">Four</w:t>
      </w:r>
      <w:r>
        <w:t xml:space="preserve"> — Felicity "The Viper," the gang’s master schemer. She plans every heist and every getaway.</w:t>
      </w:r>
    </w:p>
    <w:p>
      <w:pPr>
        <w:pStyle w:val="ListParagraph"/>
        <w:numPr>
          <w:ilvl w:val="0"/>
          <w:numId w:val="2"/>
        </w:numPr>
        <w:spacing w:after="80"/>
        <w:ind w:left="480" w:hanging="240"/>
      </w:pPr>
      <w:r>
        <w:rPr>
          <w:b/>
          <w:bCs/>
        </w:rPr>
        <w:t xml:space="preserve">Five</w:t>
      </w:r>
      <w:r>
        <w:t xml:space="preserve"> — leader of the crew, an expert fence with contacts across the globe. No one, not even his own crew, knows his real name.</w:t>
      </w:r>
    </w:p>
    <w:p>
      <w:pPr>
        <w:spacing w:after="100"/>
      </w:pPr>
    </w:p>
    <w:p>
      <w:pPr>
        <w:spacing w:after="140"/>
      </w:pPr>
      <w:r>
        <w:t xml:space="preserve">This time the target is the real Zions Bank Idaho headquarters, at 800 W Main St in downtown Boise, Idaho — a building that also houses a server farm holding the bank’s client logins, passwords, and tens of millions of dollars in cryptocurrency (SEE APPENDIX A).</w:t>
      </w:r>
    </w:p>
    <w:p>
      <w:pPr>
        <w:spacing w:after="140"/>
      </w:pPr>
      <w:r>
        <w:t xml:space="preserve">The clock is unforgiving. The gang has 9 minutes total inside the building before the vault’s own alarm silently signals police, and that signal fires the instant the hard drives are pulled from the server racks — which Four has scheduled for the 8-minute-30-second mark. That leaves exactly 30 seconds to get out of the building and reach the getaway car before the police can plausibly arrive. Four has scouted two ways out: a street-level exit and an underground parking-garage exit, and she has already calculated, for each one, how long it takes to reach the car and the odds the crew clears the building without being made (SEE APPENDIX A). Neither route is instant, and neither is free of risk — that tradeoff is the whole decision in front of her.</w:t>
      </w:r>
    </w:p>
    <w:p>
      <w:pPr>
        <w:spacing w:after="140"/>
      </w:pPr>
      <w:r>
        <w:t xml:space="preserve">Getting out of the building is only the first half of the problem. Security cameras on nearby buildings will almost certainly let police identify the crew’s car — a white 2018 Ford Focus — within minutes of the alarm going off, and once that happens, a police helicopter will be in the air hunting for it. The plan has always been the same: drive the Focus from Zions Bank to a parking lot at Heroes Academy, a real school on Boise’s northwest side, and swap into a second, clean vehicle before driving out of state (SEE APPENDIX A). Every mile spent in the Focus before that swap is a mile of exposure — and Four has her own detailed model, built from years in the trade, of exactly what raises and lowers that exposure along the way: the kind of road, how many stoplights and stop signs, how many minutes the crew spends in the car, and how close the route passes to an actual police facility (SEE APPENDIX B and APPENDIX C). None of these figures are pulled from a public crime database — nobody publishes "odds of getting caught per stoplight" — so Four’s whole risk model is disclosed openly as her own professional judgment call, not presented as if it were externally verified (SEE APPENDIX C). Every real, verifiable fact this case relies on — the building’s address, the school’s address, the real route, and the real police facility location — is documented with its source (SEE APPENDIX D).</w:t>
      </w:r>
    </w:p>
    <w:p>
      <w:pPr>
        <w:spacing w:after="140"/>
      </w:pPr>
      <w:r>
        <w:t xml:space="preserve">Whichever exit the crew takes, they take the same car to the same swap lot afterward — so the getaway drive itself doesn’t change with the choice. What changes is only how the crew leaves the building, and by how much that changes their overall odds of getting all the way to Heroes Academy clean. The vocabulary and "how to…" skills this case will ask you to research are listed in APPENDIX E — that is where Challenge 1 sends you.</w:t>
      </w:r>
    </w:p>
    <w:p>
      <w:pPr>
        <w:pStyle w:val="Heading1"/>
        <w:spacing w:after="140" w:before="280"/>
      </w:pPr>
      <w:r>
        <w:rPr>
          <w:b/>
          <w:bCs/>
        </w:rPr>
        <w:t xml:space="preserve">Dilemma</w:t>
      </w:r>
    </w:p>
    <w:p>
      <w:pPr>
        <w:spacing w:after="120"/>
      </w:pPr>
      <w:r>
        <w:t xml:space="preserve">You are "Four."</w:t>
      </w:r>
    </w:p>
    <w:p>
      <w:pPr>
        <w:spacing w:after="100"/>
      </w:pPr>
      <w:r>
        <w:t xml:space="preserve">Do you:</w:t>
      </w:r>
    </w:p>
    <w:p>
      <w:pPr>
        <w:spacing w:after="100"/>
      </w:pPr>
      <w:r>
        <w:rPr>
          <w:b/>
          <w:bCs/>
        </w:rPr>
        <w:t xml:space="preserve">A.) </w:t>
      </w:r>
      <w:r>
        <w:t xml:space="preserve">Take the street-level exit (17 seconds to the car, 94% chance of a successful escape) OR</w:t>
      </w:r>
    </w:p>
    <w:p>
      <w:pPr>
        <w:spacing w:after="100"/>
      </w:pPr>
      <w:r>
        <w:rPr>
          <w:b/>
          <w:bCs/>
        </w:rPr>
        <w:t xml:space="preserve">B.) </w:t>
      </w:r>
      <w:r>
        <w:t xml:space="preserve">Take the underground parking-garage exit (29 seconds to the car, 98% chance of a successful escape)</w:t>
      </w:r>
    </w:p>
    <w:p>
      <w:pPr>
        <w:pStyle w:val="Heading1"/>
        <w:spacing w:after="140" w:before="280"/>
      </w:pPr>
      <w:r>
        <w:rPr>
          <w:b/>
          <w:bCs/>
        </w:rPr>
        <w:t xml:space="preserve">Challenges</w:t>
      </w:r>
    </w:p>
    <w:p>
      <w:pPr>
        <w:spacing w:after="120"/>
      </w:pPr>
      <w:r>
        <w:rPr>
          <w:b/>
          <w:bCs/>
        </w:rPr>
        <w:t xml:space="preserve">1.) </w:t>
      </w:r>
      <w:r>
        <w:t xml:space="preserve">Research and find an online resource that answers one of the "how to…" questions from the case study launch. Post a link to the resource as your submission.</w:t>
      </w:r>
    </w:p>
    <w:p>
      <w:pPr>
        <w:spacing w:after="120"/>
      </w:pPr>
      <w:r>
        <w:rPr>
          <w:b/>
          <w:bCs/>
        </w:rPr>
        <w:t xml:space="preserve">2.) </w:t>
      </w:r>
      <w:r>
        <w:t xml:space="preserve">Post 250 or more "excellent" words pitching a firm stance to your audience on which you would choose and why. Your pitch must include: a.) Use of the "how to…" resource you researched in Challenge 1. b.) At least one original visual display of the data.</w:t>
      </w:r>
    </w:p>
    <w:p>
      <w:pPr>
        <w:spacing w:after="100"/>
      </w:pPr>
      <w:r>
        <w:rPr>
          <w:b/>
          <w:bCs/>
        </w:rPr>
        <w:t xml:space="preserve">3.) </w:t>
      </w:r>
      <w:r>
        <w:t xml:space="preserve">Your pitch must include:</w:t>
      </w:r>
    </w:p>
    <w:p>
      <w:pPr>
        <w:pStyle w:val="ListParagraph"/>
        <w:numPr>
          <w:ilvl w:val="0"/>
          <w:numId w:val="2"/>
        </w:numPr>
        <w:spacing w:after="80"/>
        <w:ind w:left="480" w:hanging="240"/>
      </w:pPr>
      <w:r>
        <w:rPr>
          <w:b/>
          <w:bCs/>
        </w:rPr>
        <w:t xml:space="preserve">D1. </w:t>
      </w:r>
      <w:r>
        <w:rPr>
          <w:b/>
          <w:bCs/>
        </w:rPr>
        <w:t xml:space="preserve">A segment-by-segment route table</w:t>
      </w:r>
      <w:r>
        <w:t xml:space="preserve"> for the real drive from Zions Bank to Heroes Academy, showing each segment’s road type and distance in miles, ending in one clearly labeled total-miles figure and one clearly labeled total-drive-time figure.</w:t>
      </w:r>
    </w:p>
    <w:p>
      <w:pPr>
        <w:pStyle w:val="ListParagraph"/>
        <w:numPr>
          <w:ilvl w:val="0"/>
          <w:numId w:val="2"/>
        </w:numPr>
        <w:spacing w:after="80"/>
        <w:ind w:left="480" w:hanging="240"/>
      </w:pPr>
      <w:r>
        <w:rPr>
          <w:b/>
          <w:bCs/>
        </w:rPr>
        <w:t xml:space="preserve">D2. </w:t>
      </w:r>
      <w:r>
        <w:rPr>
          <w:b/>
          <w:bCs/>
        </w:rPr>
        <w:t xml:space="preserve">A window check for both exit options</w:t>
      </w:r>
      <w:r>
        <w:t xml:space="preserve">, showing in seconds whether Option A and Option B each fit inside Four’s 30-second post-alarm window, plus the drive’s average speed in miles per hour (computed from the real total distance and total time in Appendix A) — and a sentence explaining, in your own words, whether "94% vs. 98%" is telling the whole story about which option is actually safer.</w:t>
      </w:r>
    </w:p>
    <w:p>
      <w:pPr>
        <w:pStyle w:val="ListParagraph"/>
        <w:numPr>
          <w:ilvl w:val="0"/>
          <w:numId w:val="2"/>
        </w:numPr>
        <w:spacing w:after="80"/>
        <w:ind w:left="480" w:hanging="240"/>
      </w:pPr>
      <w:r>
        <w:rPr>
          <w:b/>
          <w:bCs/>
        </w:rPr>
        <w:t xml:space="preserve">D3. </w:t>
      </w:r>
      <w:r>
        <w:rPr>
          <w:b/>
          <w:bCs/>
        </w:rPr>
        <w:t xml:space="preserve">A full compound-probability calculation for each option</w:t>
      </w:r>
      <w:r>
        <w:t xml:space="preserve"> — convert every risk factor in Appendix C (road type per mile, stoplights, stop signs, minutes in the vehicle) into a survival probability, multiply them together into one combined getaway-drive survival probability, then multiply that by each option’s own building-exit success chance from the Dilemma to get one final combined percentage per option. Show every intermediate number. State the gap between Option A’s and Option B’s final percentages, in percentage points.</w:t>
      </w:r>
    </w:p>
    <w:p>
      <w:pPr>
        <w:pStyle w:val="ListParagraph"/>
        <w:numPr>
          <w:ilvl w:val="0"/>
          <w:numId w:val="2"/>
        </w:numPr>
        <w:spacing w:after="80"/>
        <w:ind w:left="480" w:hanging="240"/>
      </w:pPr>
      <w:r>
        <w:rPr>
          <w:b/>
          <w:bCs/>
        </w:rPr>
        <w:t xml:space="preserve">D4. </w:t>
      </w:r>
      <w:r>
        <w:rPr>
          <w:b/>
          <w:bCs/>
        </w:rPr>
        <w:t xml:space="preserve">A police-proximity check</w:t>
      </w:r>
      <w:r>
        <w:t xml:space="preserve">, using Appendix B’s real, published Boise Police Department facility location(s): does the getaway route from Appendix A pass within Appendix C’s stated 1-mile or ½-mile risk radius of a real station? Show your reasoning, and say plainly whether that risk factor applies to this route or not.</w:t>
      </w:r>
    </w:p>
    <w:p>
      <w:pPr>
        <w:pStyle w:val="ListParagraph"/>
        <w:numPr>
          <w:ilvl w:val="0"/>
          <w:numId w:val="2"/>
        </w:numPr>
        <w:spacing w:after="80"/>
        <w:ind w:left="480" w:hanging="240"/>
      </w:pPr>
      <w:r>
        <w:rPr>
          <w:b/>
          <w:bCs/>
        </w:rPr>
        <w:t xml:space="preserve">D5. </w:t>
      </w:r>
      <w:r>
        <w:rPr>
          <w:b/>
          <w:bCs/>
        </w:rPr>
        <w:t xml:space="preserve">Two original visual displays</w:t>
      </w:r>
      <w:r>
        <w:t xml:space="preserve">: a bar graph comparing Option A’s and Option B’s final combined percentages from D3, and a pie chart or histogram showing which single risk factor from Appendix C removes the largest share of the getaway-drive survival probability.</w:t>
      </w:r>
    </w:p>
    <w:p>
      <w:pPr>
        <w:spacing w:after="100"/>
      </w:pPr>
    </w:p>
    <w:p>
      <w:pPr>
        <w:spacing w:after="120"/>
      </w:pPr>
      <w:r>
        <w:rPr>
          <w:b/>
          <w:bCs/>
        </w:rPr>
        <w:t xml:space="preserve">4.) </w:t>
      </w:r>
      <w:r>
        <w:t xml:space="preserve">An appendix showing evidence of your original thinking, work, calculations and processes you used to complete the challenges (pictures, screenshots, notes, etc.). Your work in the appendix does not count toward your word count.</w:t>
      </w:r>
    </w:p>
    <w:p>
      <w:pPr>
        <w:spacing w:after="120"/>
      </w:pPr>
      <w:r>
        <w:rPr>
          <w:b/>
          <w:bCs/>
        </w:rPr>
        <w:t xml:space="preserve">5.) </w:t>
      </w:r>
      <w:r>
        <w:t xml:space="preserve">Participate twice or more in the Case Study discussion. </w:t>
      </w:r>
      <w:r>
        <w:rPr>
          <w:i/>
          <w:iCs/>
        </w:rPr>
        <w:t xml:space="preserve">If you are absent the day of a discussion post 500 "excellent" words on the questions above.</w:t>
      </w:r>
    </w:p>
    <w:p>
      <w:r>
        <w:br w:type="page"/>
      </w:r>
    </w:p>
    <w:p>
      <w:pPr>
        <w:pStyle w:val="Heading1"/>
        <w:spacing w:after="140" w:before="280"/>
      </w:pPr>
      <w:r>
        <w:rPr>
          <w:b/>
          <w:bCs/>
        </w:rPr>
        <w:t xml:space="preserve">Appendix A — The Route: Zions Bank to Heroes Academy</w:t>
      </w:r>
    </w:p>
    <w:p>
      <w:pPr>
        <w:spacing w:after="100"/>
      </w:pPr>
      <w:r>
        <w:rPr>
          <w:b/>
          <w:bCs/>
        </w:rPr>
        <w:t xml:space="preserve">Start: </w:t>
      </w:r>
      <w:r>
        <w:t xml:space="preserve">Zions Bank Idaho Headquarters, 800 W Main St, Boise, ID 83702 — the real building this case is set in [S1].</w:t>
      </w:r>
    </w:p>
    <w:p>
      <w:pPr>
        <w:spacing w:after="100"/>
      </w:pPr>
      <w:r>
        <w:rPr>
          <w:b/>
          <w:bCs/>
        </w:rPr>
        <w:t xml:space="preserve">Swap point: </w:t>
      </w:r>
      <w:r>
        <w:t xml:space="preserve">Heroes Academy, 5771 N Discovery Way, Boise, ID 83713 — a real school on Boise’s northwest side, next to the West Boise YMCA [S2].</w:t>
      </w:r>
    </w:p>
    <w:p>
      <w:pPr>
        <w:spacing w:after="120"/>
      </w:pPr>
      <w:r>
        <w:t xml:space="preserve">The real driving route between these two points runs 8.9 miles and takes 21 minutes under normal traffic, via downtown Boise city streets onto W Chinden Blvd / US-20 W / US-26 W [S3]. This case breaks that real route into three segments by road type, matching Appendix C’s risk categories: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3200"/>
        <w:gridCol w:w="1800"/>
      </w:tblGrid>
      <w:tr>
        <w:tc>
          <w:tcPr>
            <w:tcW w:type="dxa" w:w="4500"/>
            <w:shd w:fill="DDDDDD" w:val="clear"/>
            <w:vAlign w:val="top"/>
          </w:tcPr>
          <w:p>
            <w:r>
              <w:rPr>
                <w:b/>
                <w:bCs/>
              </w:rPr>
              <w:t xml:space="preserve">Segment</w:t>
            </w:r>
          </w:p>
        </w:tc>
        <w:tc>
          <w:tcPr>
            <w:tcW w:type="dxa" w:w="3200"/>
            <w:shd w:fill="DDDDDD" w:val="clear"/>
            <w:vAlign w:val="top"/>
          </w:tcPr>
          <w:p>
            <w:r>
              <w:rPr>
                <w:b/>
                <w:bCs/>
              </w:rPr>
              <w:t xml:space="preserve">Road type</w:t>
            </w:r>
          </w:p>
        </w:tc>
        <w:tc>
          <w:tcPr>
            <w:tcW w:type="dxa" w:w="1800"/>
            <w:shd w:fill="DDDDDD" w:val="clear"/>
            <w:vAlign w:val="top"/>
          </w:tcPr>
          <w:p>
            <w:r>
              <w:rPr>
                <w:b/>
                <w:bCs/>
              </w:rPr>
              <w:t xml:space="preserve">Distance (mi)</w:t>
            </w:r>
          </w:p>
        </w:tc>
      </w:tr>
      <w:tr>
        <w:tc>
          <w:tcPr>
            <w:tcW w:type="dxa" w:w="4500"/>
            <w:vAlign w:val="top"/>
          </w:tcPr>
          <w:p>
            <w:r>
              <w:t xml:space="preserve">Zions Bank → onto the state highway</w:t>
            </w:r>
          </w:p>
        </w:tc>
        <w:tc>
          <w:tcPr>
            <w:tcW w:type="dxa" w:w="3200"/>
            <w:vAlign w:val="top"/>
          </w:tcPr>
          <w:p>
            <w:r>
              <w:t xml:space="preserve">3+ lane city road (downtown Boise streets)</w:t>
            </w:r>
          </w:p>
        </w:tc>
        <w:tc>
          <w:tcPr>
            <w:tcW w:type="dxa" w:w="1800"/>
            <w:vAlign w:val="top"/>
          </w:tcPr>
          <w:p>
            <w:r>
              <w:t xml:space="preserve">2.0</w:t>
            </w:r>
          </w:p>
        </w:tc>
      </w:tr>
      <w:tr>
        <w:tc>
          <w:tcPr>
            <w:tcW w:type="dxa" w:w="4500"/>
            <w:vAlign w:val="top"/>
          </w:tcPr>
          <w:p>
            <w:r>
              <w:t xml:space="preserve">W Chinden Blvd / US-20 W / US-26 W</w:t>
            </w:r>
          </w:p>
        </w:tc>
        <w:tc>
          <w:tcPr>
            <w:tcW w:type="dxa" w:w="3200"/>
            <w:vAlign w:val="top"/>
          </w:tcPr>
          <w:p>
            <w:r>
              <w:t xml:space="preserve">State highway</w:t>
            </w:r>
          </w:p>
        </w:tc>
        <w:tc>
          <w:tcPr>
            <w:tcW w:type="dxa" w:w="1800"/>
            <w:vAlign w:val="top"/>
          </w:tcPr>
          <w:p>
            <w:r>
              <w:t xml:space="preserve">6.4</w:t>
            </w:r>
          </w:p>
        </w:tc>
      </w:tr>
      <w:tr>
        <w:tc>
          <w:tcPr>
            <w:tcW w:type="dxa" w:w="4500"/>
            <w:vAlign w:val="top"/>
          </w:tcPr>
          <w:p>
            <w:r>
              <w:t xml:space="preserve">Off the highway → Heroes Academy</w:t>
            </w:r>
          </w:p>
        </w:tc>
        <w:tc>
          <w:tcPr>
            <w:tcW w:type="dxa" w:w="3200"/>
            <w:vAlign w:val="top"/>
          </w:tcPr>
          <w:p>
            <w:r>
              <w:t xml:space="preserve">Neighborhood road</w:t>
            </w:r>
          </w:p>
        </w:tc>
        <w:tc>
          <w:tcPr>
            <w:tcW w:type="dxa" w:w="1800"/>
            <w:vAlign w:val="top"/>
          </w:tcPr>
          <w:p>
            <w:r>
              <w:t xml:space="preserve">0.5</w:t>
            </w:r>
          </w:p>
        </w:tc>
      </w:tr>
      <w:tr>
        <w:tc>
          <w:tcPr>
            <w:tcW w:type="dxa" w:w="4500"/>
            <w:vAlign w:val="top"/>
          </w:tcPr>
          <w:p>
            <w:r>
              <w:t xml:space="preserve">Total</w:t>
            </w:r>
          </w:p>
        </w:tc>
        <w:tc>
          <w:tcPr>
            <w:tcW w:type="dxa" w:w="3200"/>
            <w:vAlign w:val="top"/>
          </w:tcPr>
          <w:p>
            <w:r>
              <w:t xml:space="preserve">—</w:t>
            </w:r>
          </w:p>
        </w:tc>
        <w:tc>
          <w:tcPr>
            <w:tcW w:type="dxa" w:w="1800"/>
            <w:vAlign w:val="top"/>
          </w:tcPr>
          <w:p>
            <w:r>
              <w:t xml:space="preserve">8.9</w:t>
            </w:r>
          </w:p>
        </w:tc>
      </w:tr>
    </w:tbl>
    <w:p>
      <w:pPr>
        <w:spacing w:after="100" w:before="100"/>
      </w:pPr>
      <w:r>
        <w:t xml:space="preserve">Total real drive time for the route: 21 minutes [S3]. (The specific 2.0 / 6.4 / 0.5 mile split across the three road-type categories is this case’s own segmentation of the real 8.9-mile route — SEE APPENDIX C, MA1 — since Google’s own routing tool reports one combined distance/time, not a category-by-category breakdown.)</w:t>
      </w:r>
    </w:p>
    <w:p>
      <w:pPr>
        <w:spacing w:after="160"/>
      </w:pPr>
      <w:r>
        <w:t xml:space="preserve">Building-exit figures (from the Dilemma, restated here for reference): Option A (street-level exit) — 17 seconds to the car, 94% escape success chance. Option B (underground garage exit) — 29 seconds to the car, 98% escape success chance. These are Four’s own scouting figures for this specific job, not a claim about real-world building security data.</w:t>
      </w:r>
    </w:p>
    <w:p>
      <w:pPr>
        <w:pStyle w:val="Heading1"/>
        <w:spacing w:after="140" w:before="280"/>
      </w:pPr>
      <w:r>
        <w:rPr>
          <w:b/>
          <w:bCs/>
        </w:rPr>
        <w:t xml:space="preserve">Appendix B — Boise Police Facilities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3500"/>
        <w:gridCol w:w="2800"/>
      </w:tblGrid>
      <w:tr>
        <w:tc>
          <w:tcPr>
            <w:tcW w:type="dxa" w:w="3200"/>
            <w:shd w:fill="DDDDDD" w:val="clear"/>
            <w:vAlign w:val="top"/>
          </w:tcPr>
          <w:p>
            <w:r>
              <w:rPr>
                <w:b/>
                <w:bCs/>
              </w:rPr>
              <w:t xml:space="preserve">Facility</w:t>
            </w:r>
          </w:p>
        </w:tc>
        <w:tc>
          <w:tcPr>
            <w:tcW w:type="dxa" w:w="3500"/>
            <w:shd w:fill="DDDDDD" w:val="clear"/>
            <w:vAlign w:val="top"/>
          </w:tcPr>
          <w:p>
            <w:r>
              <w:rPr>
                <w:b/>
                <w:bCs/>
              </w:rPr>
              <w:t xml:space="preserve">Address</w:t>
            </w:r>
          </w:p>
        </w:tc>
        <w:tc>
          <w:tcPr>
            <w:tcW w:type="dxa" w:w="2800"/>
            <w:shd w:fill="DDDDDD" w:val="clear"/>
            <w:vAlign w:val="top"/>
          </w:tcPr>
          <w:p>
            <w:r>
              <w:rPr>
                <w:b/>
                <w:bCs/>
              </w:rPr>
              <w:t xml:space="preserve">Distance from Zions Bank (driving)</w:t>
            </w:r>
          </w:p>
        </w:tc>
      </w:tr>
      <w:tr>
        <w:tc>
          <w:tcPr>
            <w:tcW w:type="dxa" w:w="3200"/>
            <w:vAlign w:val="top"/>
          </w:tcPr>
          <w:p>
            <w:r>
              <w:t xml:space="preserve">Boise Police Department headquarters</w:t>
            </w:r>
          </w:p>
        </w:tc>
        <w:tc>
          <w:tcPr>
            <w:tcW w:type="dxa" w:w="3500"/>
            <w:vAlign w:val="top"/>
          </w:tcPr>
          <w:p>
            <w:r>
              <w:t xml:space="preserve">333 N Mark Stall Pl, Boise, ID 83704</w:t>
            </w:r>
          </w:p>
        </w:tc>
        <w:tc>
          <w:tcPr>
            <w:tcW w:type="dxa" w:w="2800"/>
            <w:vAlign w:val="top"/>
          </w:tcPr>
          <w:p>
            <w:r>
              <w:t xml:space="preserve">6.3 miles, via I-184 W [S4]</w:t>
            </w:r>
          </w:p>
        </w:tc>
      </w:tr>
    </w:tbl>
    <w:p>
      <w:pPr>
        <w:spacing w:after="160" w:before="100"/>
      </w:pPr>
      <w:r>
        <w:t xml:space="preserve">Boise Police Department’s headquarters is real and its address is public record [S4]. It sits 6.3 miles from Zions Bank via I-184 W — a different corridor than the Chinden Blvd getaway route in Appendix A. Whether that matters to the getaway route’s risk is exactly what D4 asks you to check against Appendix C’s proximity rule, not assume either way.</w:t>
      </w:r>
    </w:p>
    <w:p>
      <w:pPr>
        <w:pStyle w:val="Heading1"/>
        <w:spacing w:after="140" w:before="280"/>
      </w:pPr>
      <w:r>
        <w:rPr>
          <w:b/>
          <w:bCs/>
        </w:rPr>
        <w:t xml:space="preserve">Appendix C — Modeling Assumptions</w:t>
      </w:r>
    </w:p>
    <w:p>
      <w:pPr>
        <w:spacing w:after="100"/>
      </w:pPr>
      <w:r>
        <w:rPr>
          <w:b/>
          <w:bCs/>
        </w:rPr>
        <w:t xml:space="preserve">Modeling Assumptions — </w:t>
      </w:r>
      <w:r>
        <w:t xml:space="preserve">Four’s Getaway Risk Model. The road-type, stoplight, stop-sign, per-minute, and police-proximity risk factors below are the numeric heart of D3’s compound-probability calculation.</w:t>
      </w:r>
    </w:p>
    <w:p>
      <w:pPr>
        <w:pBdr>
          <w:left w:val="single" w:color="C9A227" w:sz="18"/>
        </w:pBdr>
        <w:shd w:fill="F7EDCF" w:val="clear"/>
        <w:spacing w:after="160" w:before="60"/>
        <w:ind w:left="200"/>
      </w:pPr>
      <w:r>
        <w:rPr>
          <w:i/>
          <w:iCs/>
        </w:rPr>
        <w:t xml:space="preserve">These figures are not sourced to any public dataset — no such dataset exists for "odds of getting caught per stoplight." They are Four’s own stated scenario assumptions, built from her years of professional experience, and disclosed openly as assumptions. A Hero may challenge any of them in discussion — that is a legitimate move.</w:t>
      </w:r>
    </w:p>
    <w:p>
      <w:pPr>
        <w:spacing w:after="80"/>
      </w:pPr>
      <w:r>
        <w:rPr>
          <w:b/>
          <w:bCs/>
        </w:rPr>
        <w:t xml:space="preserve">Chance of a police encounter, per mile driven, by road type: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tblGrid>
      <w:tr>
        <w:tc>
          <w:tcPr>
            <w:tcW w:type="dxa" w:w="4500"/>
            <w:shd w:fill="DDDDDD" w:val="clear"/>
            <w:vAlign w:val="top"/>
          </w:tcPr>
          <w:p>
            <w:r>
              <w:rPr>
                <w:b/>
                <w:bCs/>
              </w:rPr>
              <w:t xml:space="preserve">Road type</w:t>
            </w:r>
          </w:p>
        </w:tc>
        <w:tc>
          <w:tcPr>
            <w:tcW w:type="dxa" w:w="2500"/>
            <w:shd w:fill="DDDDDD" w:val="clear"/>
            <w:vAlign w:val="top"/>
          </w:tcPr>
          <w:p>
            <w:r>
              <w:rPr>
                <w:b/>
                <w:bCs/>
              </w:rPr>
              <w:t xml:space="preserve">Risk per mile</w:t>
            </w:r>
          </w:p>
        </w:tc>
      </w:tr>
      <w:tr>
        <w:tc>
          <w:tcPr>
            <w:tcW w:type="dxa" w:w="4500"/>
            <w:vAlign w:val="top"/>
          </w:tcPr>
          <w:p>
            <w:r>
              <w:t xml:space="preserve">Freeway</w:t>
            </w:r>
          </w:p>
        </w:tc>
        <w:tc>
          <w:tcPr>
            <w:tcW w:type="dxa" w:w="2500"/>
            <w:vAlign w:val="top"/>
          </w:tcPr>
          <w:p>
            <w:r>
              <w:t xml:space="preserve">1.7%</w:t>
            </w:r>
          </w:p>
        </w:tc>
      </w:tr>
      <w:tr>
        <w:tc>
          <w:tcPr>
            <w:tcW w:type="dxa" w:w="4500"/>
            <w:vAlign w:val="top"/>
          </w:tcPr>
          <w:p>
            <w:r>
              <w:t xml:space="preserve">State highway</w:t>
            </w:r>
          </w:p>
        </w:tc>
        <w:tc>
          <w:tcPr>
            <w:tcW w:type="dxa" w:w="2500"/>
            <w:vAlign w:val="top"/>
          </w:tcPr>
          <w:p>
            <w:r>
              <w:t xml:space="preserve">1.2%</w:t>
            </w:r>
          </w:p>
        </w:tc>
      </w:tr>
      <w:tr>
        <w:tc>
          <w:tcPr>
            <w:tcW w:type="dxa" w:w="4500"/>
            <w:vAlign w:val="top"/>
          </w:tcPr>
          <w:p>
            <w:r>
              <w:t xml:space="preserve">3+ lane city road</w:t>
            </w:r>
          </w:p>
        </w:tc>
        <w:tc>
          <w:tcPr>
            <w:tcW w:type="dxa" w:w="2500"/>
            <w:vAlign w:val="top"/>
          </w:tcPr>
          <w:p>
            <w:r>
              <w:t xml:space="preserve">0.29%</w:t>
            </w:r>
          </w:p>
        </w:tc>
      </w:tr>
      <w:tr>
        <w:tc>
          <w:tcPr>
            <w:tcW w:type="dxa" w:w="4500"/>
            <w:vAlign w:val="top"/>
          </w:tcPr>
          <w:p>
            <w:r>
              <w:t xml:space="preserve">Neighborhood road</w:t>
            </w:r>
          </w:p>
        </w:tc>
        <w:tc>
          <w:tcPr>
            <w:tcW w:type="dxa" w:w="2500"/>
            <w:vAlign w:val="top"/>
          </w:tcPr>
          <w:p>
            <w:r>
              <w:t xml:space="preserve">0.08%</w:t>
            </w:r>
          </w:p>
        </w:tc>
      </w:tr>
    </w:tbl>
    <w:p>
      <w:pPr>
        <w:spacing w:after="100"/>
      </w:pPr>
    </w:p>
    <w:p>
      <w:pPr>
        <w:spacing w:after="80"/>
      </w:pPr>
      <w:r>
        <w:rPr>
          <w:b/>
          <w:bCs/>
        </w:rPr>
        <w:t xml:space="preserve">Other risk factors: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600"/>
        <w:gridCol w:w="2900"/>
      </w:tblGrid>
      <w:tr>
        <w:tc>
          <w:tcPr>
            <w:tcW w:type="dxa" w:w="900"/>
            <w:shd w:fill="DDDDDD" w:val="clear"/>
            <w:vAlign w:val="top"/>
          </w:tcPr>
          <w:p>
            <w:r>
              <w:rPr>
                <w:b/>
                <w:bCs/>
              </w:rPr>
              <w:t xml:space="preserve">#</w:t>
            </w:r>
          </w:p>
        </w:tc>
        <w:tc>
          <w:tcPr>
            <w:tcW w:type="dxa" w:w="2600"/>
            <w:shd w:fill="DDDDDD" w:val="clear"/>
            <w:vAlign w:val="top"/>
          </w:tcPr>
          <w:p>
            <w:r>
              <w:rPr>
                <w:b/>
                <w:bCs/>
              </w:rPr>
              <w:t xml:space="preserve">Assumption</w:t>
            </w:r>
          </w:p>
        </w:tc>
        <w:tc>
          <w:tcPr>
            <w:tcW w:type="dxa" w:w="2600"/>
            <w:shd w:fill="DDDDDD" w:val="clear"/>
            <w:vAlign w:val="top"/>
          </w:tcPr>
          <w:p>
            <w:r>
              <w:rPr>
                <w:b/>
                <w:bCs/>
              </w:rPr>
              <w:t xml:space="preserve">Value used</w:t>
            </w:r>
          </w:p>
        </w:tc>
        <w:tc>
          <w:tcPr>
            <w:tcW w:type="dxa" w:w="2900"/>
            <w:shd w:fill="DDDDDD" w:val="clear"/>
            <w:vAlign w:val="top"/>
          </w:tcPr>
          <w:p>
            <w:r>
              <w:rPr>
                <w:b/>
                <w:bCs/>
              </w:rPr>
              <w:t xml:space="preserve">Basis / Sensitivity</w:t>
            </w:r>
          </w:p>
        </w:tc>
      </w:tr>
      <w:tr>
        <w:tc>
          <w:tcPr>
            <w:tcW w:type="dxa" w:w="900"/>
            <w:vAlign w:val="top"/>
          </w:tcPr>
          <w:p>
            <w:r>
              <w:t xml:space="preserve">MA1</w:t>
            </w:r>
          </w:p>
        </w:tc>
        <w:tc>
          <w:tcPr>
            <w:tcW w:type="dxa" w:w="2600"/>
            <w:vAlign w:val="top"/>
          </w:tcPr>
          <w:p>
            <w:r>
              <w:t xml:space="preserve">Segmenting the real 8.9-mile route into road-type categories</w:t>
            </w:r>
          </w:p>
        </w:tc>
        <w:tc>
          <w:tcPr>
            <w:tcW w:type="dxa" w:w="2600"/>
            <w:vAlign w:val="top"/>
          </w:tcPr>
          <w:p>
            <w:r>
              <w:t xml:space="preserve">2.0 mi city / 6.4 mi highway / 0.5 mi neighborhood</w:t>
            </w:r>
          </w:p>
        </w:tc>
        <w:tc>
          <w:tcPr>
            <w:tcW w:type="dxa" w:w="2900"/>
            <w:vAlign w:val="top"/>
          </w:tcPr>
          <w:p>
            <w:r>
              <w:t xml:space="preserve">Google’s live routing result names the real roads used but reports one combined distance, not a mile-by-mile breakdown — this case assigns each named road to Appendix C’s nearest matching category. A different split changes the combined route survival probability.</w:t>
            </w:r>
          </w:p>
        </w:tc>
      </w:tr>
      <w:tr>
        <w:tc>
          <w:tcPr>
            <w:tcW w:type="dxa" w:w="900"/>
            <w:vAlign w:val="top"/>
          </w:tcPr>
          <w:p>
            <w:r>
              <w:t xml:space="preserve">MA2</w:t>
            </w:r>
          </w:p>
        </w:tc>
        <w:tc>
          <w:tcPr>
            <w:tcW w:type="dxa" w:w="2600"/>
            <w:vAlign w:val="top"/>
          </w:tcPr>
          <w:p>
            <w:r>
              <w:t xml:space="preserve">Stoplight and stop sign count along the route</w:t>
            </w:r>
          </w:p>
        </w:tc>
        <w:tc>
          <w:tcPr>
            <w:tcW w:type="dxa" w:w="2600"/>
            <w:vAlign w:val="top"/>
          </w:tcPr>
          <w:p>
            <w:r>
              <w:t xml:space="preserve">7 stoplights, 3 stop signs</w:t>
            </w:r>
          </w:p>
        </w:tc>
        <w:tc>
          <w:tcPr>
            <w:tcW w:type="dxa" w:w="2900"/>
            <w:vAlign w:val="top"/>
          </w:tcPr>
          <w:p>
            <w:r>
              <w:t xml:space="preserve">No public database counts traffic control devices along an arbitrary route; this case fixes a plausible count. Tested at ±50% by the case’s own sensitivity model.</w:t>
            </w:r>
          </w:p>
        </w:tc>
      </w:tr>
      <w:tr>
        <w:tc>
          <w:tcPr>
            <w:tcW w:type="dxa" w:w="900"/>
            <w:vAlign w:val="top"/>
          </w:tcPr>
          <w:p>
            <w:r>
              <w:t xml:space="preserve">MA3</w:t>
            </w:r>
          </w:p>
        </w:tc>
        <w:tc>
          <w:tcPr>
            <w:tcW w:type="dxa" w:w="2600"/>
            <w:vAlign w:val="top"/>
          </w:tcPr>
          <w:p>
            <w:r>
              <w:t xml:space="preserve">Stopping at a stoplight increases the chance of being caught</w:t>
            </w:r>
          </w:p>
        </w:tc>
        <w:tc>
          <w:tcPr>
            <w:tcW w:type="dxa" w:w="2600"/>
            <w:vAlign w:val="top"/>
          </w:tcPr>
          <w:p>
            <w:r>
              <w:t xml:space="preserve">1.65% per stoplight</w:t>
            </w:r>
          </w:p>
        </w:tc>
        <w:tc>
          <w:tcPr>
            <w:tcW w:type="dxa" w:w="2900"/>
            <w:vAlign w:val="top"/>
          </w:tcPr>
          <w:p>
            <w:r>
              <w:t xml:space="preserve">Four’s own model. Same sensitivity as MA2.</w:t>
            </w:r>
          </w:p>
        </w:tc>
      </w:tr>
      <w:tr>
        <w:tc>
          <w:tcPr>
            <w:tcW w:type="dxa" w:w="900"/>
            <w:vAlign w:val="top"/>
          </w:tcPr>
          <w:p>
            <w:r>
              <w:t xml:space="preserve">MA4</w:t>
            </w:r>
          </w:p>
        </w:tc>
        <w:tc>
          <w:tcPr>
            <w:tcW w:type="dxa" w:w="2600"/>
            <w:vAlign w:val="top"/>
          </w:tcPr>
          <w:p>
            <w:r>
              <w:t xml:space="preserve">Stopping at a stop sign increases the chance of being caught</w:t>
            </w:r>
          </w:p>
        </w:tc>
        <w:tc>
          <w:tcPr>
            <w:tcW w:type="dxa" w:w="2600"/>
            <w:vAlign w:val="top"/>
          </w:tcPr>
          <w:p>
            <w:r>
              <w:t xml:space="preserve">0.4% per stop sign</w:t>
            </w:r>
          </w:p>
        </w:tc>
        <w:tc>
          <w:tcPr>
            <w:tcW w:type="dxa" w:w="2900"/>
            <w:vAlign w:val="top"/>
          </w:tcPr>
          <w:p>
            <w:r>
              <w:t xml:space="preserve">Four’s own model. Same sensitivity as MA2.</w:t>
            </w:r>
          </w:p>
        </w:tc>
      </w:tr>
      <w:tr>
        <w:tc>
          <w:tcPr>
            <w:tcW w:type="dxa" w:w="900"/>
            <w:vAlign w:val="top"/>
          </w:tcPr>
          <w:p>
            <w:r>
              <w:t xml:space="preserve">MA5</w:t>
            </w:r>
          </w:p>
        </w:tc>
        <w:tc>
          <w:tcPr>
            <w:tcW w:type="dxa" w:w="2600"/>
            <w:vAlign w:val="top"/>
          </w:tcPr>
          <w:p>
            <w:r>
              <w:t xml:space="preserve">Every minute spent in the getaway vehicle increases the chance of being caught</w:t>
            </w:r>
          </w:p>
        </w:tc>
        <w:tc>
          <w:tcPr>
            <w:tcW w:type="dxa" w:w="2600"/>
            <w:vAlign w:val="top"/>
          </w:tcPr>
          <w:p>
            <w:r>
              <w:t xml:space="preserve">0.27% per minute</w:t>
            </w:r>
          </w:p>
        </w:tc>
        <w:tc>
          <w:tcPr>
            <w:tcW w:type="dxa" w:w="2900"/>
            <w:vAlign w:val="top"/>
          </w:tcPr>
          <w:p>
            <w:r>
              <w:t xml:space="preserve">Four’s own model, applied to the real 21-minute drive time from Appendix A [S3]. About time spent exposed on the road, not any one specific car. Tested at ±50%.</w:t>
            </w:r>
          </w:p>
        </w:tc>
      </w:tr>
      <w:tr>
        <w:tc>
          <w:tcPr>
            <w:tcW w:type="dxa" w:w="900"/>
            <w:vAlign w:val="top"/>
          </w:tcPr>
          <w:p>
            <w:r>
              <w:t xml:space="preserve">MA6</w:t>
            </w:r>
          </w:p>
        </w:tc>
        <w:tc>
          <w:tcPr>
            <w:tcW w:type="dxa" w:w="2600"/>
            <w:vAlign w:val="top"/>
          </w:tcPr>
          <w:p>
            <w:r>
              <w:t xml:space="preserve">Driving within 1 mile / ½ mile of a police station increases the chance of being caught</w:t>
            </w:r>
          </w:p>
        </w:tc>
        <w:tc>
          <w:tcPr>
            <w:tcW w:type="dxa" w:w="2600"/>
            <w:vAlign w:val="top"/>
          </w:tcPr>
          <w:p>
            <w:r>
              <w:t xml:space="preserve">+14% within 1 mile, +26% within ½ mile</w:t>
            </w:r>
          </w:p>
        </w:tc>
        <w:tc>
          <w:tcPr>
            <w:tcW w:type="dxa" w:w="2900"/>
            <w:vAlign w:val="top"/>
          </w:tcPr>
          <w:p>
            <w:r>
              <w:t xml:space="preserve">Four’s own model. Whether this applies to the real route is what D4 asks you to determine. Does not apply to the base route (SEE APPENDIX B) — but a different real route might trigger it.</w:t>
            </w:r>
          </w:p>
        </w:tc>
      </w:tr>
    </w:tbl>
    <w:p>
      <w:pPr>
        <w:spacing w:after="160" w:before="140"/>
      </w:pPr>
      <w:r>
        <w:t xml:space="preserve">Optional, not required for any Challenge deliverable — a harder, additional lever some Heroes may choose to explore: speeding beyond the posted limit increases the chance of being caught by 1.42% for the first mile per hour over the limit, then doubles for every additional mile per hour over, following y = 1.42^x (x = mph over the limit, y = % chance of being caught added). This case does not require using this factor — Four’s default plan is to obey posted speed limits — but it is real appendix data a Hero is free to bring into their pitch if they want to argue for or against speeding.</w:t>
      </w:r>
    </w:p>
    <w:p>
      <w:pPr>
        <w:pStyle w:val="Heading1"/>
        <w:spacing w:after="140" w:before="280"/>
      </w:pPr>
      <w:r>
        <w:rPr>
          <w:b/>
          <w:bCs/>
        </w:rPr>
        <w:t xml:space="preserve">Appendix D — Sources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400"/>
        <w:gridCol w:w="2000"/>
        <w:gridCol w:w="900"/>
        <w:gridCol w:w="900"/>
      </w:tblGrid>
      <w:tr>
        <w:tc>
          <w:tcPr>
            <w:tcW w:type="dxa" w:w="700"/>
            <w:shd w:fill="DDDDDD" w:val="clear"/>
            <w:vAlign w:val="top"/>
          </w:tcPr>
          <w:p>
            <w:r>
              <w:rPr>
                <w:b/>
                <w:bCs/>
              </w:rPr>
              <w:t xml:space="preserve">#</w:t>
            </w:r>
          </w:p>
        </w:tc>
        <w:tc>
          <w:tcPr>
            <w:tcW w:type="dxa" w:w="2400"/>
            <w:shd w:fill="DDDDDD" w:val="clear"/>
            <w:vAlign w:val="top"/>
          </w:tcPr>
          <w:p>
            <w:r>
              <w:rPr>
                <w:b/>
                <w:bCs/>
              </w:rPr>
              <w:t xml:space="preserve">Claim</w:t>
            </w:r>
          </w:p>
        </w:tc>
        <w:tc>
          <w:tcPr>
            <w:tcW w:type="dxa" w:w="2400"/>
            <w:shd w:fill="DDDDDD" w:val="clear"/>
            <w:vAlign w:val="top"/>
          </w:tcPr>
          <w:p>
            <w:r>
              <w:rPr>
                <w:b/>
                <w:bCs/>
              </w:rPr>
              <w:t xml:space="preserve">Value</w:t>
            </w:r>
          </w:p>
        </w:tc>
        <w:tc>
          <w:tcPr>
            <w:tcW w:type="dxa" w:w="2000"/>
            <w:shd w:fill="DDDDDD" w:val="clear"/>
            <w:vAlign w:val="top"/>
          </w:tcPr>
          <w:p>
            <w:r>
              <w:rPr>
                <w:b/>
                <w:bCs/>
              </w:rPr>
              <w:t xml:space="preserve">Source</w:t>
            </w:r>
          </w:p>
        </w:tc>
        <w:tc>
          <w:tcPr>
            <w:tcW w:type="dxa" w:w="900"/>
            <w:shd w:fill="DDDDDD" w:val="clear"/>
            <w:vAlign w:val="top"/>
          </w:tcPr>
          <w:p>
            <w:r>
              <w:rPr>
                <w:b/>
                <w:bCs/>
              </w:rPr>
              <w:t xml:space="preserve">Date</w:t>
            </w:r>
          </w:p>
        </w:tc>
        <w:tc>
          <w:tcPr>
            <w:tcW w:type="dxa" w:w="900"/>
            <w:shd w:fill="DDDDDD" w:val="clear"/>
            <w:vAlign w:val="top"/>
          </w:tcPr>
          <w:p>
            <w:r>
              <w:rPr>
                <w:b/>
                <w:bCs/>
              </w:rPr>
              <w:t xml:space="preserve">Confidence</w:t>
            </w:r>
          </w:p>
        </w:tc>
      </w:tr>
      <w:tr>
        <w:tc>
          <w:tcPr>
            <w:tcW w:type="dxa" w:w="700"/>
            <w:vAlign w:val="top"/>
          </w:tcPr>
          <w:p>
            <w:r>
              <w:t xml:space="preserve">S1</w:t>
            </w:r>
          </w:p>
        </w:tc>
        <w:tc>
          <w:tcPr>
            <w:tcW w:type="dxa" w:w="2400"/>
            <w:vAlign w:val="top"/>
          </w:tcPr>
          <w:p>
            <w:r>
              <w:t xml:space="preserve">Zions Bank Idaho Headquarters, real street address</w:t>
            </w:r>
          </w:p>
        </w:tc>
        <w:tc>
          <w:tcPr>
            <w:tcW w:type="dxa" w:w="2400"/>
            <w:vAlign w:val="top"/>
          </w:tcPr>
          <w:p>
            <w:r>
              <w:t xml:space="preserve">800 W Main St, Boise, ID 83702</w:t>
            </w:r>
          </w:p>
        </w:tc>
        <w:tc>
          <w:tcPr>
            <w:tcW w:type="dxa" w:w="2000"/>
            <w:vAlign w:val="top"/>
          </w:tcPr>
          <w:p>
            <w:hyperlink w:history="1" r:id="rIdiy4n_0oybsutcgogxrzqq">
              <w:r>
                <w:rPr>
                  <w:rStyle w:val="Hyperlink"/>
                </w:rPr>
                <w:t xml:space="preserve">Downtown Boise Association business directory; BBB listing</w:t>
              </w:r>
            </w:hyperlink>
          </w:p>
        </w:tc>
        <w:tc>
          <w:tcPr>
            <w:tcW w:type="dxa" w:w="900"/>
            <w:vAlign w:val="top"/>
          </w:tcPr>
          <w:p>
            <w:r>
              <w:t xml:space="preserve">2026-08-20</w:t>
            </w:r>
          </w:p>
        </w:tc>
        <w:tc>
          <w:tcPr>
            <w:tcW w:type="dxa" w:w="900"/>
            <w:vAlign w:val="top"/>
          </w:tcPr>
          <w:p>
            <w:r>
              <w:t xml:space="preserve">HIGH</w:t>
            </w:r>
          </w:p>
        </w:tc>
      </w:tr>
      <w:tr>
        <w:tc>
          <w:tcPr>
            <w:tcW w:type="dxa" w:w="700"/>
            <w:vAlign w:val="top"/>
          </w:tcPr>
          <w:p>
            <w:r>
              <w:t xml:space="preserve">S2</w:t>
            </w:r>
          </w:p>
        </w:tc>
        <w:tc>
          <w:tcPr>
            <w:tcW w:type="dxa" w:w="2400"/>
            <w:vAlign w:val="top"/>
          </w:tcPr>
          <w:p>
            <w:r>
              <w:t xml:space="preserve">Heroes Academy, real school address</w:t>
            </w:r>
          </w:p>
        </w:tc>
        <w:tc>
          <w:tcPr>
            <w:tcW w:type="dxa" w:w="2400"/>
            <w:vAlign w:val="top"/>
          </w:tcPr>
          <w:p>
            <w:r>
              <w:t xml:space="preserve">5771 N Discovery Way, Boise, ID 83713</w:t>
            </w:r>
          </w:p>
        </w:tc>
        <w:tc>
          <w:tcPr>
            <w:tcW w:type="dxa" w:w="2000"/>
            <w:vAlign w:val="top"/>
          </w:tcPr>
          <w:p>
            <w:hyperlink w:history="1" r:id="rIdv5bfy43w8hasl873estcc">
              <w:r>
                <w:rPr>
                  <w:rStyle w:val="Hyperlink"/>
                </w:rPr>
                <w:t xml:space="preserve">Heroes Academy: An Acton Academy</w:t>
              </w:r>
            </w:hyperlink>
          </w:p>
        </w:tc>
        <w:tc>
          <w:tcPr>
            <w:tcW w:type="dxa" w:w="900"/>
            <w:vAlign w:val="top"/>
          </w:tcPr>
          <w:p>
            <w:r>
              <w:t xml:space="preserve">2026-08-20</w:t>
            </w:r>
          </w:p>
        </w:tc>
        <w:tc>
          <w:tcPr>
            <w:tcW w:type="dxa" w:w="900"/>
            <w:vAlign w:val="top"/>
          </w:tcPr>
          <w:p>
            <w:r>
              <w:t xml:space="preserve">HIGH</w:t>
            </w:r>
          </w:p>
        </w:tc>
      </w:tr>
      <w:tr>
        <w:tc>
          <w:tcPr>
            <w:tcW w:type="dxa" w:w="700"/>
            <w:vAlign w:val="top"/>
          </w:tcPr>
          <w:p>
            <w:r>
              <w:t xml:space="preserve">S3</w:t>
            </w:r>
          </w:p>
        </w:tc>
        <w:tc>
          <w:tcPr>
            <w:tcW w:type="dxa" w:w="2400"/>
            <w:vAlign w:val="top"/>
          </w:tcPr>
          <w:p>
            <w:r>
              <w:t xml:space="preserve">Real driving distance and time, Zions Bank to Heroes Academy</w:t>
            </w:r>
          </w:p>
        </w:tc>
        <w:tc>
          <w:tcPr>
            <w:tcW w:type="dxa" w:w="2400"/>
            <w:vAlign w:val="top"/>
          </w:tcPr>
          <w:p>
            <w:r>
              <w:t xml:space="preserve">8.9 miles, 21 minutes, via W Chinden Blvd and US-20 W/US-26 W</w:t>
            </w:r>
          </w:p>
        </w:tc>
        <w:tc>
          <w:tcPr>
            <w:tcW w:type="dxa" w:w="2000"/>
            <w:vAlign w:val="top"/>
          </w:tcPr>
          <w:p>
            <w:hyperlink w:history="1" r:id="rIdb1gd07clrrgajon9vxwsw">
              <w:r>
                <w:rPr>
                  <w:rStyle w:val="Hyperlink"/>
                </w:rPr>
                <w:t xml:space="preserve">Google Maps, live-fetched route</w:t>
              </w:r>
            </w:hyperlink>
          </w:p>
        </w:tc>
        <w:tc>
          <w:tcPr>
            <w:tcW w:type="dxa" w:w="900"/>
            <w:vAlign w:val="top"/>
          </w:tcPr>
          <w:p>
            <w:r>
              <w:t xml:space="preserve">2026-08-20</w:t>
            </w:r>
          </w:p>
        </w:tc>
        <w:tc>
          <w:tcPr>
            <w:tcW w:type="dxa" w:w="900"/>
            <w:vAlign w:val="top"/>
          </w:tcPr>
          <w:p>
            <w:r>
              <w:t xml:space="preserve">HIGH</w:t>
            </w:r>
          </w:p>
        </w:tc>
      </w:tr>
      <w:tr>
        <w:tc>
          <w:tcPr>
            <w:tcW w:type="dxa" w:w="700"/>
            <w:vAlign w:val="top"/>
          </w:tcPr>
          <w:p>
            <w:r>
              <w:t xml:space="preserve">S4</w:t>
            </w:r>
          </w:p>
        </w:tc>
        <w:tc>
          <w:tcPr>
            <w:tcW w:type="dxa" w:w="2400"/>
            <w:vAlign w:val="top"/>
          </w:tcPr>
          <w:p>
            <w:r>
              <w:t xml:space="preserve">Boise Police Department headquarters, real address and driving distance from Zions Bank</w:t>
            </w:r>
          </w:p>
        </w:tc>
        <w:tc>
          <w:tcPr>
            <w:tcW w:type="dxa" w:w="2400"/>
            <w:vAlign w:val="top"/>
          </w:tcPr>
          <w:p>
            <w:r>
              <w:t xml:space="preserve">333 N Mark Stall Pl, Boise, ID 83704; 6.3 miles via I-184 W</w:t>
            </w:r>
          </w:p>
        </w:tc>
        <w:tc>
          <w:tcPr>
            <w:tcW w:type="dxa" w:w="2000"/>
            <w:vAlign w:val="top"/>
          </w:tcPr>
          <w:p>
            <w:hyperlink w:history="1" r:id="rId2hp6ditcdgkxby58edzdr">
              <w:r>
                <w:rPr>
                  <w:rStyle w:val="Hyperlink"/>
                </w:rPr>
                <w:t xml:space="preserve">Yelp/countyoffice.org; Google Maps route</w:t>
              </w:r>
            </w:hyperlink>
          </w:p>
        </w:tc>
        <w:tc>
          <w:tcPr>
            <w:tcW w:type="dxa" w:w="900"/>
            <w:vAlign w:val="top"/>
          </w:tcPr>
          <w:p>
            <w:r>
              <w:t xml:space="preserve">2026-08-20</w:t>
            </w:r>
          </w:p>
        </w:tc>
        <w:tc>
          <w:tcPr>
            <w:tcW w:type="dxa" w:w="900"/>
            <w:vAlign w:val="top"/>
          </w:tcPr>
          <w:p>
            <w:r>
              <w:t xml:space="preserve">HIGH</w:t>
            </w:r>
          </w:p>
        </w:tc>
      </w:tr>
    </w:tbl>
    <w:p>
      <w:r>
        <w:br w:type="page"/>
      </w:r>
    </w:p>
    <w:p>
      <w:pPr>
        <w:pStyle w:val="Heading1"/>
        <w:spacing w:after="140" w:before="280"/>
      </w:pPr>
      <w:r>
        <w:rPr>
          <w:b/>
          <w:bCs/>
        </w:rPr>
        <w:t xml:space="preserve">Appendix E — "How To…" Math Questions To Research</w:t>
      </w:r>
    </w:p>
    <w:p>
      <w:pPr>
        <w:spacing w:after="80"/>
      </w:pPr>
      <w:r>
        <w:rPr>
          <w:b/>
          <w:bCs/>
        </w:rPr>
        <w:t xml:space="preserve">Vocabulary terms</w:t>
      </w:r>
    </w:p>
    <w:p>
      <w:pPr>
        <w:pStyle w:val="ListParagraph"/>
        <w:numPr>
          <w:ilvl w:val="0"/>
          <w:numId w:val="2"/>
        </w:numPr>
        <w:spacing w:after="80"/>
        <w:ind w:left="480" w:hanging="240"/>
      </w:pPr>
      <w:r>
        <w:t xml:space="preserve">Distance</w:t>
      </w:r>
    </w:p>
    <w:p>
      <w:pPr>
        <w:pStyle w:val="ListParagraph"/>
        <w:numPr>
          <w:ilvl w:val="0"/>
          <w:numId w:val="2"/>
        </w:numPr>
        <w:spacing w:after="80"/>
        <w:ind w:left="480" w:hanging="240"/>
      </w:pPr>
      <w:r>
        <w:t xml:space="preserve">Measurement</w:t>
      </w:r>
    </w:p>
    <w:p>
      <w:pPr>
        <w:pStyle w:val="ListParagraph"/>
        <w:numPr>
          <w:ilvl w:val="0"/>
          <w:numId w:val="2"/>
        </w:numPr>
        <w:spacing w:after="80"/>
        <w:ind w:left="480" w:hanging="240"/>
      </w:pPr>
      <w:r>
        <w:t xml:space="preserve">Data</w:t>
      </w:r>
    </w:p>
    <w:p>
      <w:pPr>
        <w:pStyle w:val="ListParagraph"/>
        <w:numPr>
          <w:ilvl w:val="0"/>
          <w:numId w:val="2"/>
        </w:numPr>
        <w:spacing w:after="80"/>
        <w:ind w:left="480" w:hanging="240"/>
      </w:pPr>
      <w:r>
        <w:t xml:space="preserve">Bar Graph</w:t>
      </w:r>
    </w:p>
    <w:p>
      <w:pPr>
        <w:pStyle w:val="ListParagraph"/>
        <w:numPr>
          <w:ilvl w:val="0"/>
          <w:numId w:val="2"/>
        </w:numPr>
        <w:spacing w:after="80"/>
        <w:ind w:left="480" w:hanging="240"/>
      </w:pPr>
      <w:r>
        <w:t xml:space="preserve">Greater Than</w:t>
      </w:r>
    </w:p>
    <w:p>
      <w:pPr>
        <w:pStyle w:val="ListParagraph"/>
        <w:numPr>
          <w:ilvl w:val="0"/>
          <w:numId w:val="2"/>
        </w:numPr>
        <w:spacing w:after="80"/>
        <w:ind w:left="480" w:hanging="240"/>
      </w:pPr>
      <w:r>
        <w:t xml:space="preserve">Less Than</w:t>
      </w:r>
    </w:p>
    <w:p>
      <w:pPr>
        <w:pStyle w:val="ListParagraph"/>
        <w:numPr>
          <w:ilvl w:val="0"/>
          <w:numId w:val="2"/>
        </w:numPr>
        <w:spacing w:after="80"/>
        <w:ind w:left="480" w:hanging="240"/>
      </w:pPr>
      <w:r>
        <w:t xml:space="preserve">Equal</w:t>
      </w:r>
    </w:p>
    <w:p>
      <w:pPr>
        <w:pStyle w:val="ListParagraph"/>
        <w:numPr>
          <w:ilvl w:val="0"/>
          <w:numId w:val="2"/>
        </w:numPr>
        <w:spacing w:after="80"/>
        <w:ind w:left="480" w:hanging="240"/>
      </w:pPr>
      <w:r>
        <w:t xml:space="preserve">Addition</w:t>
      </w:r>
    </w:p>
    <w:p>
      <w:pPr>
        <w:pStyle w:val="ListParagraph"/>
        <w:numPr>
          <w:ilvl w:val="0"/>
          <w:numId w:val="2"/>
        </w:numPr>
        <w:spacing w:after="80"/>
        <w:ind w:left="480" w:hanging="240"/>
      </w:pPr>
      <w:r>
        <w:t xml:space="preserve">Sum</w:t>
      </w:r>
    </w:p>
    <w:p>
      <w:pPr>
        <w:pStyle w:val="ListParagraph"/>
        <w:numPr>
          <w:ilvl w:val="0"/>
          <w:numId w:val="2"/>
        </w:numPr>
        <w:spacing w:after="80"/>
        <w:ind w:left="480" w:hanging="240"/>
      </w:pPr>
      <w:r>
        <w:t xml:space="preserve">Subtraction</w:t>
      </w:r>
    </w:p>
    <w:p>
      <w:pPr>
        <w:pStyle w:val="ListParagraph"/>
        <w:numPr>
          <w:ilvl w:val="0"/>
          <w:numId w:val="2"/>
        </w:numPr>
        <w:spacing w:after="80"/>
        <w:ind w:left="480" w:hanging="240"/>
      </w:pPr>
      <w:r>
        <w:t xml:space="preserve">Difference</w:t>
      </w:r>
    </w:p>
    <w:p>
      <w:pPr>
        <w:pStyle w:val="ListParagraph"/>
        <w:numPr>
          <w:ilvl w:val="0"/>
          <w:numId w:val="2"/>
        </w:numPr>
        <w:spacing w:after="80"/>
        <w:ind w:left="480" w:hanging="240"/>
      </w:pPr>
      <w:r>
        <w:t xml:space="preserve">Multiplication</w:t>
      </w:r>
    </w:p>
    <w:p>
      <w:pPr>
        <w:pStyle w:val="ListParagraph"/>
        <w:numPr>
          <w:ilvl w:val="0"/>
          <w:numId w:val="2"/>
        </w:numPr>
        <w:spacing w:after="80"/>
        <w:ind w:left="480" w:hanging="240"/>
      </w:pPr>
      <w:r>
        <w:t xml:space="preserve">Product</w:t>
      </w:r>
    </w:p>
    <w:p>
      <w:pPr>
        <w:pStyle w:val="ListParagraph"/>
        <w:numPr>
          <w:ilvl w:val="0"/>
          <w:numId w:val="2"/>
        </w:numPr>
        <w:spacing w:after="80"/>
        <w:ind w:left="480" w:hanging="240"/>
      </w:pPr>
      <w:r>
        <w:t xml:space="preserve">Division</w:t>
      </w:r>
    </w:p>
    <w:p>
      <w:pPr>
        <w:pStyle w:val="ListParagraph"/>
        <w:numPr>
          <w:ilvl w:val="0"/>
          <w:numId w:val="2"/>
        </w:numPr>
        <w:spacing w:after="80"/>
        <w:ind w:left="480" w:hanging="240"/>
      </w:pPr>
      <w:r>
        <w:t xml:space="preserve">Quotient</w:t>
      </w:r>
    </w:p>
    <w:p>
      <w:pPr>
        <w:pStyle w:val="ListParagraph"/>
        <w:numPr>
          <w:ilvl w:val="0"/>
          <w:numId w:val="2"/>
        </w:numPr>
        <w:spacing w:after="80"/>
        <w:ind w:left="480" w:hanging="240"/>
      </w:pPr>
      <w:r>
        <w:t xml:space="preserve">Decimal</w:t>
      </w:r>
    </w:p>
    <w:p>
      <w:pPr>
        <w:pStyle w:val="ListParagraph"/>
        <w:numPr>
          <w:ilvl w:val="0"/>
          <w:numId w:val="2"/>
        </w:numPr>
        <w:spacing w:after="80"/>
        <w:ind w:left="480" w:hanging="240"/>
      </w:pPr>
      <w:r>
        <w:t xml:space="preserve">Decimal Number</w:t>
      </w:r>
    </w:p>
    <w:p>
      <w:pPr>
        <w:pStyle w:val="ListParagraph"/>
        <w:numPr>
          <w:ilvl w:val="0"/>
          <w:numId w:val="2"/>
        </w:numPr>
        <w:spacing w:after="80"/>
        <w:ind w:left="480" w:hanging="240"/>
      </w:pPr>
      <w:r>
        <w:t xml:space="preserve">Percent</w:t>
      </w:r>
    </w:p>
    <w:p>
      <w:pPr>
        <w:pStyle w:val="ListParagraph"/>
        <w:numPr>
          <w:ilvl w:val="0"/>
          <w:numId w:val="2"/>
        </w:numPr>
        <w:spacing w:after="80"/>
        <w:ind w:left="480" w:hanging="240"/>
      </w:pPr>
      <w:r>
        <w:t xml:space="preserve">Rounding</w:t>
      </w:r>
    </w:p>
    <w:p>
      <w:pPr>
        <w:pStyle w:val="ListParagraph"/>
        <w:numPr>
          <w:ilvl w:val="0"/>
          <w:numId w:val="2"/>
        </w:numPr>
        <w:spacing w:after="80"/>
        <w:ind w:left="480" w:hanging="240"/>
      </w:pPr>
      <w:r>
        <w:t xml:space="preserve">Estimating</w:t>
      </w:r>
    </w:p>
    <w:p>
      <w:pPr>
        <w:pStyle w:val="ListParagraph"/>
        <w:numPr>
          <w:ilvl w:val="0"/>
          <w:numId w:val="2"/>
        </w:numPr>
        <w:spacing w:after="80"/>
        <w:ind w:left="480" w:hanging="240"/>
      </w:pPr>
      <w:r>
        <w:t xml:space="preserve">Time</w:t>
      </w:r>
    </w:p>
    <w:p>
      <w:pPr>
        <w:pStyle w:val="ListParagraph"/>
        <w:numPr>
          <w:ilvl w:val="0"/>
          <w:numId w:val="2"/>
        </w:numPr>
        <w:spacing w:after="80"/>
        <w:ind w:left="480" w:hanging="240"/>
      </w:pPr>
      <w:r>
        <w:t xml:space="preserve">Event</w:t>
      </w:r>
    </w:p>
    <w:p>
      <w:pPr>
        <w:pStyle w:val="ListParagraph"/>
        <w:numPr>
          <w:ilvl w:val="0"/>
          <w:numId w:val="2"/>
        </w:numPr>
        <w:spacing w:after="80"/>
        <w:ind w:left="480" w:hanging="240"/>
      </w:pPr>
      <w:r>
        <w:t xml:space="preserve">Outcome</w:t>
      </w:r>
    </w:p>
    <w:p>
      <w:pPr>
        <w:pStyle w:val="ListParagraph"/>
        <w:numPr>
          <w:ilvl w:val="0"/>
          <w:numId w:val="2"/>
        </w:numPr>
        <w:spacing w:after="80"/>
        <w:ind w:left="480" w:hanging="240"/>
      </w:pPr>
      <w:r>
        <w:t xml:space="preserve">Probability</w:t>
      </w:r>
    </w:p>
    <w:p>
      <w:pPr>
        <w:pStyle w:val="ListParagraph"/>
        <w:numPr>
          <w:ilvl w:val="0"/>
          <w:numId w:val="2"/>
        </w:numPr>
        <w:spacing w:after="80"/>
        <w:ind w:left="480" w:hanging="240"/>
      </w:pPr>
      <w:r>
        <w:t xml:space="preserve">Theoretical Probability</w:t>
      </w:r>
    </w:p>
    <w:p>
      <w:pPr>
        <w:pStyle w:val="ListParagraph"/>
        <w:numPr>
          <w:ilvl w:val="0"/>
          <w:numId w:val="2"/>
        </w:numPr>
        <w:spacing w:after="80"/>
        <w:ind w:left="480" w:hanging="240"/>
      </w:pPr>
      <w:r>
        <w:t xml:space="preserve">Experimental Probability</w:t>
      </w:r>
    </w:p>
    <w:p>
      <w:pPr>
        <w:pStyle w:val="ListParagraph"/>
        <w:numPr>
          <w:ilvl w:val="0"/>
          <w:numId w:val="2"/>
        </w:numPr>
        <w:spacing w:after="80"/>
        <w:ind w:left="480" w:hanging="240"/>
      </w:pPr>
      <w:r>
        <w:t xml:space="preserve">Dependent Event</w:t>
      </w:r>
    </w:p>
    <w:p>
      <w:pPr>
        <w:pStyle w:val="ListParagraph"/>
        <w:numPr>
          <w:ilvl w:val="0"/>
          <w:numId w:val="2"/>
        </w:numPr>
        <w:spacing w:after="80"/>
        <w:ind w:left="480" w:hanging="240"/>
      </w:pPr>
      <w:r>
        <w:t xml:space="preserve">Independent Event</w:t>
      </w:r>
    </w:p>
    <w:p>
      <w:pPr>
        <w:pStyle w:val="ListParagraph"/>
        <w:numPr>
          <w:ilvl w:val="0"/>
          <w:numId w:val="2"/>
        </w:numPr>
        <w:spacing w:after="80"/>
        <w:ind w:left="480" w:hanging="240"/>
      </w:pPr>
      <w:r>
        <w:t xml:space="preserve">Conditional Probability</w:t>
      </w:r>
    </w:p>
    <w:p>
      <w:pPr>
        <w:pStyle w:val="ListParagraph"/>
        <w:numPr>
          <w:ilvl w:val="0"/>
          <w:numId w:val="2"/>
        </w:numPr>
        <w:spacing w:after="80"/>
        <w:ind w:left="480" w:hanging="240"/>
      </w:pPr>
      <w:r>
        <w:t xml:space="preserve">Histogram</w:t>
      </w:r>
    </w:p>
    <w:p>
      <w:pPr>
        <w:pStyle w:val="ListParagraph"/>
        <w:numPr>
          <w:ilvl w:val="0"/>
          <w:numId w:val="2"/>
        </w:numPr>
        <w:spacing w:after="80"/>
        <w:ind w:left="480" w:hanging="240"/>
      </w:pPr>
      <w:r>
        <w:t xml:space="preserve">Pie Chart</w:t>
      </w:r>
    </w:p>
    <w:p>
      <w:pPr>
        <w:spacing w:after="100"/>
      </w:pPr>
    </w:p>
    <w:p>
      <w:pPr>
        <w:spacing w:after="80"/>
      </w:pPr>
      <w:r>
        <w:rPr>
          <w:b/>
          <w:bCs/>
        </w:rPr>
        <w:t xml:space="preserve">"How to…" questions</w:t>
      </w:r>
    </w:p>
    <w:p>
      <w:pPr>
        <w:pStyle w:val="ListParagraph"/>
        <w:numPr>
          <w:ilvl w:val="0"/>
          <w:numId w:val="2"/>
        </w:numPr>
        <w:spacing w:after="80"/>
        <w:ind w:left="480" w:hanging="240"/>
      </w:pPr>
      <w:r>
        <w:t xml:space="preserve">How to compare two or more values</w:t>
      </w:r>
    </w:p>
    <w:p>
      <w:pPr>
        <w:pStyle w:val="ListParagraph"/>
        <w:numPr>
          <w:ilvl w:val="0"/>
          <w:numId w:val="2"/>
        </w:numPr>
        <w:spacing w:after="80"/>
        <w:ind w:left="480" w:hanging="240"/>
      </w:pPr>
      <w:r>
        <w:t xml:space="preserve">How to add multi-digit numbers</w:t>
      </w:r>
    </w:p>
    <w:p>
      <w:pPr>
        <w:pStyle w:val="ListParagraph"/>
        <w:numPr>
          <w:ilvl w:val="0"/>
          <w:numId w:val="2"/>
        </w:numPr>
        <w:spacing w:after="80"/>
        <w:ind w:left="480" w:hanging="240"/>
      </w:pPr>
      <w:r>
        <w:t xml:space="preserve">How to subtract multi-digit numbers</w:t>
      </w:r>
    </w:p>
    <w:p>
      <w:pPr>
        <w:pStyle w:val="ListParagraph"/>
        <w:numPr>
          <w:ilvl w:val="0"/>
          <w:numId w:val="2"/>
        </w:numPr>
        <w:spacing w:after="80"/>
        <w:ind w:left="480" w:hanging="240"/>
      </w:pPr>
      <w:r>
        <w:t xml:space="preserve">How to multiply any two numbers</w:t>
      </w:r>
    </w:p>
    <w:p>
      <w:pPr>
        <w:pStyle w:val="ListParagraph"/>
        <w:numPr>
          <w:ilvl w:val="0"/>
          <w:numId w:val="2"/>
        </w:numPr>
        <w:spacing w:after="80"/>
        <w:ind w:left="480" w:hanging="240"/>
      </w:pPr>
      <w:r>
        <w:t xml:space="preserve">How to divide a multi-digit number by a 2-digit number</w:t>
      </w:r>
    </w:p>
    <w:p>
      <w:pPr>
        <w:pStyle w:val="ListParagraph"/>
        <w:numPr>
          <w:ilvl w:val="0"/>
          <w:numId w:val="2"/>
        </w:numPr>
        <w:spacing w:after="80"/>
        <w:ind w:left="480" w:hanging="240"/>
      </w:pPr>
      <w:r>
        <w:t xml:space="preserve">How to read decimal numbers</w:t>
      </w:r>
    </w:p>
    <w:p>
      <w:pPr>
        <w:pStyle w:val="ListParagraph"/>
        <w:numPr>
          <w:ilvl w:val="0"/>
          <w:numId w:val="2"/>
        </w:numPr>
        <w:spacing w:after="80"/>
        <w:ind w:left="480" w:hanging="240"/>
      </w:pPr>
      <w:r>
        <w:t xml:space="preserve">How to add decimal numbers</w:t>
      </w:r>
    </w:p>
    <w:p>
      <w:pPr>
        <w:pStyle w:val="ListParagraph"/>
        <w:numPr>
          <w:ilvl w:val="0"/>
          <w:numId w:val="2"/>
        </w:numPr>
        <w:spacing w:after="80"/>
        <w:ind w:left="480" w:hanging="240"/>
      </w:pPr>
      <w:r>
        <w:t xml:space="preserve">How to subtract decimal numbers</w:t>
      </w:r>
    </w:p>
    <w:p>
      <w:pPr>
        <w:pStyle w:val="ListParagraph"/>
        <w:numPr>
          <w:ilvl w:val="0"/>
          <w:numId w:val="2"/>
        </w:numPr>
        <w:spacing w:after="80"/>
        <w:ind w:left="480" w:hanging="240"/>
      </w:pPr>
      <w:r>
        <w:t xml:space="preserve">How to multiply decimal numbers</w:t>
      </w:r>
    </w:p>
    <w:p>
      <w:pPr>
        <w:pStyle w:val="ListParagraph"/>
        <w:numPr>
          <w:ilvl w:val="0"/>
          <w:numId w:val="2"/>
        </w:numPr>
        <w:spacing w:after="80"/>
        <w:ind w:left="480" w:hanging="240"/>
      </w:pPr>
      <w:r>
        <w:t xml:space="preserve">How to divide decimal numbers</w:t>
      </w:r>
    </w:p>
    <w:p>
      <w:pPr>
        <w:pStyle w:val="ListParagraph"/>
        <w:numPr>
          <w:ilvl w:val="0"/>
          <w:numId w:val="2"/>
        </w:numPr>
        <w:spacing w:after="80"/>
        <w:ind w:left="480" w:hanging="240"/>
      </w:pPr>
      <w:r>
        <w:t xml:space="preserve">How to convert percents to numbers</w:t>
      </w:r>
    </w:p>
    <w:p>
      <w:pPr>
        <w:pStyle w:val="ListParagraph"/>
        <w:numPr>
          <w:ilvl w:val="0"/>
          <w:numId w:val="2"/>
        </w:numPr>
        <w:spacing w:after="80"/>
        <w:ind w:left="480" w:hanging="240"/>
      </w:pPr>
      <w:r>
        <w:t xml:space="preserve">How to convert numbers to percents</w:t>
      </w:r>
    </w:p>
    <w:p>
      <w:pPr>
        <w:pStyle w:val="ListParagraph"/>
        <w:numPr>
          <w:ilvl w:val="0"/>
          <w:numId w:val="2"/>
        </w:numPr>
        <w:spacing w:after="80"/>
        <w:ind w:left="480" w:hanging="240"/>
      </w:pPr>
      <w:r>
        <w:t xml:space="preserve">How to round a number to a specified place value</w:t>
      </w:r>
    </w:p>
    <w:p>
      <w:pPr>
        <w:pStyle w:val="ListParagraph"/>
        <w:numPr>
          <w:ilvl w:val="0"/>
          <w:numId w:val="2"/>
        </w:numPr>
        <w:spacing w:after="80"/>
        <w:ind w:left="480" w:hanging="240"/>
      </w:pPr>
      <w:r>
        <w:t xml:space="preserve">How to convert between units of time</w:t>
      </w:r>
    </w:p>
    <w:p>
      <w:pPr>
        <w:pStyle w:val="ListParagraph"/>
        <w:numPr>
          <w:ilvl w:val="0"/>
          <w:numId w:val="2"/>
        </w:numPr>
        <w:spacing w:after="80"/>
        <w:ind w:left="480" w:hanging="240"/>
      </w:pPr>
      <w:r>
        <w:t xml:space="preserve">How to convert an amount from one unit to another unit</w:t>
      </w:r>
    </w:p>
    <w:p>
      <w:pPr>
        <w:pStyle w:val="ListParagraph"/>
        <w:numPr>
          <w:ilvl w:val="0"/>
          <w:numId w:val="2"/>
        </w:numPr>
        <w:spacing w:after="80"/>
        <w:ind w:left="480" w:hanging="240"/>
      </w:pPr>
      <w:r>
        <w:t xml:space="preserve">How to convert an amount with compound units</w:t>
      </w:r>
    </w:p>
    <w:p>
      <w:pPr>
        <w:pStyle w:val="ListParagraph"/>
        <w:numPr>
          <w:ilvl w:val="0"/>
          <w:numId w:val="2"/>
        </w:numPr>
        <w:spacing w:after="80"/>
        <w:ind w:left="480" w:hanging="240"/>
      </w:pPr>
      <w:r>
        <w:t xml:space="preserve">How to add and subtract time</w:t>
      </w:r>
    </w:p>
    <w:p>
      <w:pPr>
        <w:pStyle w:val="ListParagraph"/>
        <w:numPr>
          <w:ilvl w:val="0"/>
          <w:numId w:val="2"/>
        </w:numPr>
        <w:spacing w:after="80"/>
        <w:ind w:left="480" w:hanging="240"/>
      </w:pPr>
      <w:r>
        <w:t xml:space="preserve">How to find elapsed time</w:t>
      </w:r>
    </w:p>
    <w:p>
      <w:pPr>
        <w:pStyle w:val="ListParagraph"/>
        <w:numPr>
          <w:ilvl w:val="0"/>
          <w:numId w:val="2"/>
        </w:numPr>
        <w:spacing w:after="80"/>
        <w:ind w:left="480" w:hanging="240"/>
      </w:pPr>
      <w:r>
        <w:t xml:space="preserve">How to determine the probability of a single event</w:t>
      </w:r>
    </w:p>
    <w:p>
      <w:pPr>
        <w:pStyle w:val="ListParagraph"/>
        <w:numPr>
          <w:ilvl w:val="0"/>
          <w:numId w:val="2"/>
        </w:numPr>
        <w:spacing w:after="80"/>
        <w:ind w:left="480" w:hanging="240"/>
      </w:pPr>
      <w:r>
        <w:t xml:space="preserve">How to determine the probability of a compound event</w:t>
      </w:r>
    </w:p>
    <w:p>
      <w:pPr>
        <w:pStyle w:val="ListParagraph"/>
        <w:numPr>
          <w:ilvl w:val="0"/>
          <w:numId w:val="2"/>
        </w:numPr>
        <w:spacing w:after="80"/>
        <w:ind w:left="480" w:hanging="240"/>
      </w:pPr>
      <w:r>
        <w:t xml:space="preserve">How to determine the probability of conditional events</w:t>
      </w:r>
    </w:p>
    <w:p>
      <w:pPr>
        <w:pStyle w:val="ListParagraph"/>
        <w:numPr>
          <w:ilvl w:val="0"/>
          <w:numId w:val="2"/>
        </w:numPr>
        <w:spacing w:after="80"/>
        <w:ind w:left="480" w:hanging="240"/>
      </w:pPr>
      <w:r>
        <w:t xml:space="preserve">How to create a histogram given a set of data</w:t>
      </w:r>
    </w:p>
    <w:p>
      <w:pPr>
        <w:pStyle w:val="ListParagraph"/>
        <w:numPr>
          <w:ilvl w:val="0"/>
          <w:numId w:val="2"/>
        </w:numPr>
        <w:spacing w:after="80"/>
        <w:ind w:left="480" w:hanging="240"/>
      </w:pPr>
      <w:r>
        <w:t xml:space="preserve">How to create a pie chart given a set of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y4n_0oybsutcgogxrzqq" Type="http://schemas.openxmlformats.org/officeDocument/2006/relationships/hyperlink" Target="https://downtownboise.org/go/zions-bank" TargetMode="External"/><Relationship Id="rIdv5bfy43w8hasl873estcc" Type="http://schemas.openxmlformats.org/officeDocument/2006/relationships/hyperlink" Target="https://actonacademy.org/campuses/heroes-academy/" TargetMode="External"/><Relationship Id="rIdb1gd07clrrgajon9vxwsw" Type="http://schemas.openxmlformats.org/officeDocument/2006/relationships/hyperlink" Target="https://www.google.com/maps/dir/800+W+Main+St,+Boise,+ID+83702/5771+N+Discovery+Way,+Boise,+ID+83713" TargetMode="External"/><Relationship Id="rId2hp6ditcdgkxby58edzdr" Type="http://schemas.openxmlformats.org/officeDocument/2006/relationships/hyperlink" Target="https://www.google.com/maps/dir/800+W+Main+St,+Boise,+ID+83702/333+N+Mark+Stall+Pl,+Boise,+ID+83704"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2026-08-20T21:41:30.572Z</dcterms:created>
  <dcterms:modified xsi:type="dcterms:W3CDTF">2026-08-20T21:41:30.573Z</dcterms:modified>
</cp:coreProperties>
</file>

<file path=docProps/custom.xml><?xml version="1.0" encoding="utf-8"?>
<Properties xmlns="http://schemas.openxmlformats.org/officeDocument/2006/custom-properties" xmlns:vt="http://schemas.openxmlformats.org/officeDocument/2006/docPropsVTypes"/>
</file>