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6"/>
          <w:szCs w:val="36"/>
        </w:rPr>
        <w:t xml:space="preserve">Facilitator Guide: Heist</w:t>
      </w:r>
    </w:p>
    <w:p>
      <w:pPr>
        <w:spacing w:after="200"/>
        <w:jc w:val="center"/>
      </w:pPr>
      <w:r>
        <w:rPr>
          <w:b/>
          <w:bCs/>
          <w:color w:val="CC0000"/>
        </w:rPr>
        <w:t xml:space="preserve">FACILITATOR-ONLY — contains the balance, the margin, the trap, and the twist. Do not share with Heroes before the discussion.</w:t>
      </w:r>
    </w:p>
    <w:p>
      <w:pPr>
        <w:pBdr>
          <w:top w:val="single" w:color="A3312A" w:sz="4"/>
          <w:bottom w:val="single" w:color="A3312A" w:sz="4"/>
          <w:left w:val="single" w:color="A3312A" w:sz="18"/>
          <w:right w:val="single" w:color="A3312A" w:sz="4"/>
        </w:pBdr>
        <w:shd w:fill="FBEBEB" w:val="clear"/>
        <w:spacing w:after="100" w:before="100"/>
        <w:ind w:left="200" w:right="200"/>
      </w:pPr>
      <w:r>
        <w:rPr>
          <w:b/>
          <w:bCs/>
        </w:rPr>
        <w:t xml:space="preserve">SPEC §6 — content note: </w:t>
      </w:r>
      <w:r>
        <w:t xml:space="preserve">this case’s protagonists are sympathetic bank robbers. The math is about probability and risk, not about glorifying theft — keep the discussion on the numbers. The original source’s own "Monday Case Study Launch" material (preserved below under Lessons Learned) explicitly raises the "heroes or villains" question as a discussion-worthy framing device, not a resolved position; let the room sit with that ambiguity rather than settle it.</w:t>
      </w:r>
    </w:p>
    <w:p>
      <w:pPr>
        <w:pBdr>
          <w:bottom w:val="single" w:color="A3312A" w:sz="4"/>
          <w:left w:val="single" w:color="A3312A" w:sz="18"/>
          <w:right w:val="single" w:color="A3312A" w:sz="4"/>
        </w:pBdr>
        <w:shd w:fill="FBEBEB" w:val="clear"/>
        <w:spacing w:after="240"/>
        <w:ind w:left="200" w:right="200"/>
      </w:pPr>
      <w:r>
        <w:rPr>
          <w:b/>
          <w:bCs/>
        </w:rPr>
        <w:t xml:space="preserve">SPEC §6 — sensitivity note (from case.json.sensitivity_note): </w:t>
      </w:r>
      <w:r>
        <w:t xml:space="preserve">because Option A and Option B share the identical getaway route, every stated route assumption in Appendix C cancels out of the margin — flexing any of them, in either direction, never changes the 4.26% margin or the winner (verified via sensitivity_model.py’s FLEX sweep, Tier 2 probe 5). Only the two given, locked exit figures (94%/98%) can move the margin or flip the winner.</w:t>
      </w:r>
    </w:p>
    <w:p>
      <w:pPr>
        <w:pStyle w:val="Heading2"/>
        <w:spacing w:after="100" w:before="220"/>
      </w:pPr>
      <w:r>
        <w:rPr>
          <w:b/>
          <w:bCs/>
        </w:rPr>
        <w:t xml:space="preserve">Case at a glance</w:t>
      </w:r>
    </w:p>
    <w:p>
      <w:pPr>
        <w:spacing w:after="100"/>
      </w:pPr>
      <w:r>
        <w:rPr>
          <w:b/>
          <w:bCs/>
        </w:rPr>
        <w:t xml:space="preserve">Case: </w:t>
      </w:r>
      <w:r>
        <w:t xml:space="preserve">Heist  ·  </w:t>
      </w:r>
      <w:r>
        <w:rPr>
          <w:b/>
          <w:bCs/>
        </w:rPr>
        <w:t xml:space="preserve">Tier: </w:t>
      </w:r>
      <w:r>
        <w:t xml:space="preserve">T3  ·  </w:t>
      </w:r>
      <w:r>
        <w:rPr>
          <w:b/>
          <w:bCs/>
        </w:rPr>
        <w:t xml:space="preserve">Band: </w:t>
      </w:r>
      <w:r>
        <w:t xml:space="preserve">MS-stretch / HS-entry  ·  </w:t>
      </w:r>
      <w:r>
        <w:rPr>
          <w:b/>
          <w:bCs/>
        </w:rPr>
        <w:t xml:space="preserve">Studio: </w:t>
      </w:r>
      <w:r>
        <w:t xml:space="preserve">Adventure</w:t>
      </w:r>
    </w:p>
    <w:p>
      <w:pPr>
        <w:spacing w:after="100"/>
      </w:pPr>
      <w:r>
        <w:t xml:space="preserve">Standards: 55 skills spanning compound/conditional probability, decimal and percent arithmetic, unit and compound-unit conversion, elapsed time, and two required visual displays. See case.json.standards[] for the exact ids.</w:t>
      </w:r>
    </w:p>
    <w:p>
      <w:pPr>
        <w:spacing w:after="160"/>
      </w:pPr>
      <w:r>
        <w:t xml:space="preserve">Legacy conversion, 2026-08-20, built from the original case study docx (source/Y1/Session 5/Heist/Case Study_ Heist.docx and Guides Notes.docx) onto the current 11-anchor ladder. The Gang Of Five, the real Zions Bank Idaho Headquarters, the 9-minute/8.5-minute/30-second timing, the Ford Focus, and the two exit options with their exact original figures (17 sec/94%; 29 sec/98%) are preserved verbatim from the source.</w:t>
      </w:r>
    </w:p>
    <w:p>
      <w:pPr>
        <w:pStyle w:val="Heading2"/>
        <w:spacing w:after="100" w:before="220"/>
      </w:pPr>
      <w:r>
        <w:rPr>
          <w:b/>
          <w:bCs/>
        </w:rPr>
        <w:t xml:space="preserve">The Balance and the Margin</w:t>
      </w:r>
    </w:p>
    <w:p>
      <w:pPr>
        <w:spacing w:after="100"/>
      </w:pPr>
      <w:r>
        <w:rPr>
          <w:b/>
          <w:bCs/>
        </w:rPr>
        <w:t xml:space="preserve">Argument A (street-level exit): </w:t>
      </w:r>
      <w:r>
        <w:t xml:space="preserve">the 94% figure already prices in real slack — 17 of the allotted 30 seconds, leaving 13 full seconds (43% of the window) of cushion for anything that doesn’t go exactly to plan. A crew that values margin for error over the raw headline percentage has a real, quantifiable reason to prefer A.</w:t>
      </w:r>
    </w:p>
    <w:p>
      <w:pPr>
        <w:spacing w:after="100"/>
      </w:pPr>
      <w:r>
        <w:rPr>
          <w:b/>
          <w:bCs/>
        </w:rPr>
        <w:t xml:space="preserve">Argument B (underground garage exit): </w:t>
      </w:r>
      <w:r>
        <w:t xml:space="preserve">98% is the higher number on every metric actually being graded — both the building-exit chance itself and, once multiplied through the identical shared getaway drive, the final combined probability of a clean escape (74.91% vs. 71.85%, a real 3.06-percentage-point gap). Every stated route assumption applies equally to both options and cancels out of the comparison, so this gap is not fragile to any of them.</w:t>
      </w:r>
    </w:p>
    <w:p>
      <w:pPr>
        <w:spacing w:after="60"/>
      </w:pPr>
      <w:r>
        <w:rPr>
          <w:b/>
          <w:bCs/>
        </w:rPr>
        <w:t xml:space="preserve">Margin (the real number): </w:t>
      </w:r>
      <w:r>
        <w:t xml:space="preserve">Route survival probability (shared by both options) = 76.43%. Option A total = 94% × 76.43% = 71.85%. Option B total = 98% × 76.43% = 74.91%. Margin = (74.91 − 71.85) / 71.85 = </w:t>
      </w:r>
    </w:p>
    <w:p>
      <w:pPr>
        <w:spacing w:after="100"/>
      </w:pPr>
      <w:r>
        <w:rPr>
          <w:b/>
          <w:bCs/>
        </w:rPr>
        <w:t xml:space="preserve">4.26%, Option B (underground garage) wins on the graded primary metric.</w:t>
      </w:r>
    </w:p>
    <w:p>
      <w:pPr>
        <w:spacing w:after="160"/>
      </w:pPr>
      <w:r>
        <w:t xml:space="preserve">The 30-second-window buffer argument for A (13s vs. 1s of slack) is real, disclosed context for discussion, not the graded primary metric.</w:t>
      </w:r>
    </w:p>
    <w:p>
      <w:pPr>
        <w:pStyle w:val="Heading2"/>
        <w:spacing w:after="100" w:before="220"/>
      </w:pPr>
      <w:r>
        <w:rPr>
          <w:b/>
          <w:bCs/>
        </w:rPr>
        <w:t xml:space="preserve">Five Socratic Questions</w:t>
      </w:r>
    </w:p>
    <w:p>
      <w:pPr>
        <w:spacing w:after="100"/>
      </w:pPr>
      <w:r>
        <w:t xml:space="preserve">Use these across Anchors 2–4 and the Data Deep Dive — each is answerable only with this case’s own numbers, not general opinion.</w:t>
      </w:r>
    </w:p>
    <w:p>
      <w:pPr>
        <w:pStyle w:val="ListParagraph"/>
        <w:numPr>
          <w:ilvl w:val="0"/>
          <w:numId w:val="2"/>
        </w:numPr>
        <w:spacing w:after="80"/>
        <w:ind w:left="480" w:hanging="240"/>
      </w:pPr>
      <w:r>
        <w:rPr>
          <w:b/>
          <w:bCs/>
        </w:rPr>
        <w:t xml:space="preserve">1. </w:t>
      </w:r>
      <w:r>
        <w:t xml:space="preserve">Option A leaves 13 seconds of the 30-second window unused, and Option B leaves 1 — if "safer" means margin for error rather than the raw percentage, does your recommendation change?</w:t>
      </w:r>
    </w:p>
    <w:p>
      <w:pPr>
        <w:pStyle w:val="ListParagraph"/>
        <w:numPr>
          <w:ilvl w:val="0"/>
          <w:numId w:val="2"/>
        </w:numPr>
        <w:spacing w:after="80"/>
        <w:ind w:left="480" w:hanging="240"/>
      </w:pPr>
      <w:r>
        <w:rPr>
          <w:b/>
          <w:bCs/>
        </w:rPr>
        <w:t xml:space="preserve">2. </w:t>
      </w:r>
      <w:r>
        <w:t xml:space="preserve">Every risk factor in Appendix C applies identically to both options — what does that tell you about which numbers in this case actually decide the dilemma, versus which ones are real work that doesn’t change the answer?</w:t>
      </w:r>
    </w:p>
    <w:p>
      <w:pPr>
        <w:pStyle w:val="ListParagraph"/>
        <w:numPr>
          <w:ilvl w:val="0"/>
          <w:numId w:val="2"/>
        </w:numPr>
        <w:spacing w:after="80"/>
        <w:ind w:left="480" w:hanging="240"/>
      </w:pPr>
      <w:r>
        <w:rPr>
          <w:b/>
          <w:bCs/>
        </w:rPr>
        <w:t xml:space="preserve">3. </w:t>
      </w:r>
      <w:r>
        <w:t xml:space="preserve">The route to Heroes Academy doesn’t pass within a mile of Boise PD’s real headquarters — how would your combined probability change if it did, at the half-mile penalty instead of the one-mile penalty?</w:t>
      </w:r>
    </w:p>
    <w:p>
      <w:pPr>
        <w:pStyle w:val="ListParagraph"/>
        <w:numPr>
          <w:ilvl w:val="0"/>
          <w:numId w:val="2"/>
        </w:numPr>
        <w:spacing w:after="80"/>
        <w:ind w:left="480" w:hanging="240"/>
      </w:pPr>
      <w:r>
        <w:rPr>
          <w:b/>
          <w:bCs/>
        </w:rPr>
        <w:t xml:space="preserve">4. </w:t>
      </w:r>
      <w:r>
        <w:t xml:space="preserve">Appendix C’s speeding formula was never required for any deliverable — under what circumstance would a real getaway crew ever choose to use it anyway, even knowing the odds get worse fast?</w:t>
      </w:r>
    </w:p>
    <w:p>
      <w:pPr>
        <w:pStyle w:val="ListParagraph"/>
        <w:numPr>
          <w:ilvl w:val="0"/>
          <w:numId w:val="2"/>
        </w:numPr>
        <w:spacing w:after="80"/>
        <w:ind w:left="480" w:hanging="240"/>
      </w:pPr>
      <w:r>
        <w:rPr>
          <w:b/>
          <w:bCs/>
        </w:rPr>
        <w:t xml:space="preserve">5. </w:t>
      </w:r>
      <w:r>
        <w:t xml:space="preserve">After the Twist, both options get strictly worse but the gap between them stays exactly the same size — why doesn’t adding a shared delay ever change which option was already ahead?</w:t>
      </w:r>
    </w:p>
    <w:p>
      <w:pPr>
        <w:spacing w:after="100"/>
      </w:pPr>
    </w:p>
    <w:p>
      <w:pPr>
        <w:pStyle w:val="Heading2"/>
        <w:spacing w:after="100" w:before="220"/>
      </w:pPr>
      <w:r>
        <w:rPr>
          <w:b/>
          <w:bCs/>
        </w:rPr>
        <w:t xml:space="preserve">The Trap</w:t>
      </w:r>
    </w:p>
    <w:p>
      <w:pPr>
        <w:spacing w:after="120"/>
      </w:pPr>
      <w:r>
        <w:rPr>
          <w:b/>
          <w:bCs/>
        </w:rPr>
        <w:t xml:space="preserve">Primary trap — additive vs. multiplicative compounding. </w:t>
      </w:r>
      <w:r>
        <w:t xml:space="preserve">Appendix C hands Heroes a stack of flat percentages ("1.2% per mile," "1.65% per stoplight," "+14% within 1 mile") that read like things you add up. Most Heroes will compute total risk by summing every risk factor (or subtracting that sum from the whole) instead of converting each one into a survival probability and multiplying those survival probabilities together. This is the more dangerous trap because it produces a number that looks right: for small percentages, (1−a)(1−b) is close to 1−a−b, so an additive answer lands close enough to the real multiplicative route-survival figure (76.43%) to pass a hurried sanity check without ever being caught. Watch for it directly in D3 work: ask a group to show you the actual operation between their risk-factor rows — a plus sign there is the trap firing.</w:t>
      </w:r>
    </w:p>
    <w:p>
      <w:pPr>
        <w:spacing w:after="160"/>
      </w:pPr>
      <w:r>
        <w:rPr>
          <w:b/>
          <w:bCs/>
        </w:rPr>
        <w:t xml:space="preserve">Secondary trap — assuming the routes differ. </w:t>
      </w:r>
      <w:r>
        <w:t xml:space="preserve">Because Option A and Option B share the exact same car, route, and Appendix C risk factors, some Heroes will assume they need to build two separate route-risk models and will spend real working time trying to figure out how the choice of exit changes the drive. It doesn’t: the drive is identical either way, every stated route assumption cancels out of the comparison algebraically, and the entire A-vs-B decision on the graded metric is actually decided by two numbers the Heroes already have on page one: 94% and 98%. This trap costs time and insight rather than producing a wrong final number. Cold-call on it once groups have their route-risk math done: "Which of your numbers actually changed between Option A and Option B?"</w:t>
      </w:r>
    </w:p>
    <w:p>
      <w:pPr>
        <w:pStyle w:val="Heading2"/>
        <w:spacing w:after="100" w:before="220"/>
      </w:pPr>
      <w:r>
        <w:rPr>
          <w:b/>
          <w:bCs/>
        </w:rPr>
        <w:t xml:space="preserve">The Twist — drop at roughly the 15-minute mark</w:t>
      </w:r>
    </w:p>
    <w:p>
      <w:pPr>
        <w:spacing w:after="120"/>
      </w:pPr>
      <w:r>
        <w:t xml:space="preserve">"On your way out of the building, you see a meter maid ticketing your Ford Focus — parking meter never got paid. There’s no time to argue and no time to wait: you have to abandon the car. Two wants the corvette in the next row. Five says take the minivan instead. Everyone looks at you. Make the call, Four."</w:t>
      </w:r>
    </w:p>
    <w:p>
      <w:pPr>
        <w:spacing w:after="120"/>
      </w:pPr>
      <w:r>
        <w:t xml:space="preserve">Whichever vehicle the room picks, stealing it and hot-wiring it without keys costs 3 real minutes — the crew is now spending 24 minutes in the getaway vehicle instead of 21. Recompute live: the per-minute risk factor (0.27%/minute) now applies across 24 minutes instead of 21, dropping the shared route-survival probability from 76.43% to 75.82%. Recomputed totals: Option A falls to 71.27%, Option B falls to 74.30% — both options get strictly worse, invalidating any room’s belief that the getaway is now safer or unaffected. But the margin between A and B is unchanged, still 4.26% — the twist lowers the floor under both options equally without changing which one wins, because the added risk (like every other route risk factor) is common to both.</w:t>
      </w:r>
    </w:p>
    <w:p>
      <w:pPr>
        <w:spacing w:after="120"/>
      </w:pPr>
      <w:r>
        <w:t xml:space="preserve">Ask: "You now have 60 seconds. Does this change your recommendation — or not?" Then the follow-up that matters more than the vote: "What just broke in your original model? Did the answer change — or just get worse for everyone, in the same way, no matter which door you’d picked?"</w:t>
      </w:r>
    </w:p>
    <w:p>
      <w:pPr>
        <w:spacing w:after="160"/>
      </w:pPr>
      <w:r>
        <w:t xml:space="preserve">The corvette-vs-minivan choice itself has no case-provided numbers — that is deliberate. A Hero who demands data before choosing has spotted something real: this is a judgment call under missing information, not a hidden calculation, and the guide should say so if pressed rather than inventing a number.</w:t>
      </w:r>
    </w:p>
    <w:p>
      <w:pPr>
        <w:pStyle w:val="Heading2"/>
        <w:spacing w:after="100" w:before="220"/>
      </w:pPr>
      <w:r>
        <w:rPr>
          <w:b/>
          <w:bCs/>
        </w:rPr>
        <w:t xml:space="preserve">What a Strong Defense Sounds Like</w:t>
      </w:r>
    </w:p>
    <w:p>
      <w:pPr>
        <w:spacing w:after="160"/>
      </w:pPr>
      <w:r>
        <w:t xml:space="preserve">This case has no single right answer — the primary graded metric favors Option B (underground garage) by 4.26%, but a Hero can defend Option A credibly by centering the time-window buffer instead of the raw combined probability. What separates a strong defense from a weak one is not which option a Hero picks, but whether their reasoning survives contact with the case’s own numbers: do they correctly multiply survival probabilities rather than add risk percentages; do they recognize the shared route cancels out of the A-vs-B comparison rather than re-deriving two separate models; do they state the margin/trade-off honestly rather than cherry-picking whichever metric flatters their pick; and after the Twist, do they correctly identify that both options got worse by the same shared factor rather than treating it as new information that should flip their vote. A strong defense names its metric, computes it correctly, and is honest about what the numbers do and don’t settle.</w:t>
      </w:r>
    </w:p>
    <w:p>
      <w:pPr>
        <w:pStyle w:val="Heading2"/>
        <w:spacing w:after="100" w:before="220"/>
      </w:pPr>
      <w:r>
        <w:rPr>
          <w:b/>
          <w:bCs/>
        </w:rPr>
        <w:t xml:space="preserve">Skills This Case Exercises</w:t>
      </w:r>
    </w:p>
    <w:p>
      <w:pPr>
        <w:spacing w:after="80"/>
      </w:pPr>
      <w:r>
        <w:t xml:space="preserve">Name these explicitly in debrief:</w:t>
      </w:r>
    </w:p>
    <w:p>
      <w:pPr>
        <w:pStyle w:val="ListParagraph"/>
        <w:numPr>
          <w:ilvl w:val="0"/>
          <w:numId w:val="2"/>
        </w:numPr>
        <w:spacing w:after="80"/>
        <w:ind w:left="480" w:hanging="240"/>
      </w:pPr>
      <w:r>
        <w:t xml:space="preserve">Compound, dependent, and conditional probability (multiplying survival probabilities across a chain of independent-ish risk factors)</w:t>
      </w:r>
    </w:p>
    <w:p>
      <w:pPr>
        <w:pStyle w:val="ListParagraph"/>
        <w:numPr>
          <w:ilvl w:val="0"/>
          <w:numId w:val="2"/>
        </w:numPr>
        <w:spacing w:after="80"/>
        <w:ind w:left="480" w:hanging="240"/>
      </w:pPr>
      <w:r>
        <w:t xml:space="preserve">Percent ↔ decimal conversion, and all four operations on decimals</w:t>
      </w:r>
    </w:p>
    <w:p>
      <w:pPr>
        <w:pStyle w:val="ListParagraph"/>
        <w:numPr>
          <w:ilvl w:val="0"/>
          <w:numId w:val="2"/>
        </w:numPr>
        <w:spacing w:after="80"/>
        <w:ind w:left="480" w:hanging="240"/>
      </w:pPr>
      <w:r>
        <w:t xml:space="preserve">Distance, elapsed time, and compound-unit conversion (miles/minutes → miles per hour)</w:t>
      </w:r>
    </w:p>
    <w:p>
      <w:pPr>
        <w:pStyle w:val="ListParagraph"/>
        <w:numPr>
          <w:ilvl w:val="0"/>
          <w:numId w:val="2"/>
        </w:numPr>
        <w:spacing w:after="80"/>
        <w:ind w:left="480" w:hanging="240"/>
      </w:pPr>
      <w:r>
        <w:t xml:space="preserve">Rounding and estimating</w:t>
      </w:r>
    </w:p>
    <w:p>
      <w:pPr>
        <w:pStyle w:val="ListParagraph"/>
        <w:numPr>
          <w:ilvl w:val="0"/>
          <w:numId w:val="2"/>
        </w:numPr>
        <w:spacing w:after="80"/>
        <w:ind w:left="480" w:hanging="240"/>
      </w:pPr>
      <w:r>
        <w:t xml:space="preserve">Constructing two required original visual displays: a bar graph and a pie chart or histogram</w:t>
      </w:r>
    </w:p>
    <w:p>
      <w:pPr>
        <w:pStyle w:val="ListParagraph"/>
        <w:numPr>
          <w:ilvl w:val="0"/>
          <w:numId w:val="2"/>
        </w:numPr>
        <w:spacing w:after="80"/>
        <w:ind w:left="480" w:hanging="240"/>
      </w:pPr>
      <w:r>
        <w:t xml:space="preserve">Recognizing which numbers in a model are load-bearing to a decision versus which are real, correct work that doesn’t change the answer (the case’s core transferable insight)</w:t>
      </w:r>
    </w:p>
    <w:p>
      <w:pPr>
        <w:spacing w:after="120"/>
      </w:pPr>
    </w:p>
    <w:p>
      <w:pPr>
        <w:pStyle w:val="Heading2"/>
        <w:spacing w:after="100" w:before="220"/>
      </w:pPr>
      <w:r>
        <w:rPr>
          <w:b/>
          <w:bCs/>
        </w:rPr>
        <w:t xml:space="preserve">Anchor Ladder</w:t>
      </w:r>
    </w:p>
    <w:p>
      <w:pPr>
        <w:spacing w:after="60" w:before="100"/>
      </w:pPr>
      <w:r>
        <w:rPr>
          <w:b/>
          <w:bCs/>
        </w:rPr>
        <w:t xml:space="preserve">Intro</w:t>
      </w:r>
    </w:p>
    <w:p>
      <w:pPr>
        <w:spacing w:after="100"/>
      </w:pPr>
      <w:r>
        <w:t xml:space="preserve">Frame the format: this is a real building, a real destination, and a real getaway route — dressed up as a heist, but every mile and every stated risk factor is either sourced or openly disclosed as an assumption. Opener: "Two ways out of the building. One’s faster to reach. One’s supposedly safer. You have to pick, and the drive afterward doesn’t care which door you used."</w:t>
      </w:r>
    </w:p>
    <w:p>
      <w:pPr>
        <w:spacing w:after="60" w:before="100"/>
      </w:pPr>
      <w:r>
        <w:rPr>
          <w:b/>
          <w:bCs/>
        </w:rPr>
        <w:t xml:space="preserve">Launch</w:t>
      </w:r>
    </w:p>
    <w:p>
      <w:pPr>
        <w:spacing w:after="100"/>
      </w:pPr>
      <w:r>
        <w:t xml:space="preserve">Read the Overview aloud. Show a map of downtown Boise centered on 800 W Main St. Ask: "You are Felicity ‘The Viper’ — Four. What’s your plan?"</w:t>
      </w:r>
    </w:p>
    <w:p>
      <w:pPr>
        <w:spacing w:after="60" w:before="100"/>
      </w:pPr>
      <w:r>
        <w:rPr>
          <w:b/>
          <w:bCs/>
        </w:rPr>
        <w:t xml:space="preserve">Anchor 1 — Take a stand and vote</w:t>
      </w:r>
    </w:p>
    <w:p>
      <w:pPr>
        <w:spacing w:after="100"/>
      </w:pPr>
      <w:r>
        <w:t xml:space="preserve">"Street level, or underground garage?" Show of hands. Record the count — Close asks again. No reasoning yet.</w:t>
      </w:r>
    </w:p>
    <w:p>
      <w:pPr>
        <w:spacing w:after="60" w:before="100"/>
      </w:pPr>
      <w:r>
        <w:rPr>
          <w:b/>
          <w:bCs/>
        </w:rPr>
        <w:t xml:space="preserve">Anchor 2 — What is the problem we’re solving?</w:t>
      </w:r>
    </w:p>
    <w:p>
      <w:pPr>
        <w:spacing w:after="100"/>
      </w:pPr>
      <w:r>
        <w:t xml:space="preserve">Push on what "safer" means: the raw stated percentage, the time cushion before the 30-second cutoff, or the combined odds of making it all the way to Heroes Academy? "Is anyone courageous enough to define ‘safer’ before we compute anything?"</w:t>
      </w:r>
    </w:p>
    <w:p>
      <w:pPr>
        <w:spacing w:after="60" w:before="100"/>
      </w:pPr>
      <w:r>
        <w:rPr>
          <w:b/>
          <w:bCs/>
        </w:rPr>
        <w:t xml:space="preserve">Anchor 3 — What is the process?</w:t>
      </w:r>
    </w:p>
    <w:p>
      <w:pPr>
        <w:spacing w:after="100"/>
      </w:pPr>
      <w:r>
        <w:t xml:space="preserve">Name the steps: convert every Appendix C risk factor into a survival probability, multiply into one route-survival number, multiply by each option’s exit-success chance, then compare. Re-ask whether that’s still the right process given the room’s definition of "safer."</w:t>
      </w:r>
    </w:p>
    <w:p>
      <w:pPr>
        <w:spacing w:after="60" w:before="100"/>
      </w:pPr>
      <w:r>
        <w:rPr>
          <w:b/>
          <w:bCs/>
        </w:rPr>
        <w:t xml:space="preserve">Anchor 4 — What don’t we know?</w:t>
      </w:r>
    </w:p>
    <w:p>
      <w:pPr>
        <w:spacing w:after="100"/>
      </w:pPr>
      <w:r>
        <w:t xml:space="preserve">Surface Appendix C’s Modeling Assumptions out loud before anyone computes anything — especially MA1 and MA2. Ask which one the room thinks matters most (the honest answer is none of them — see the Trap, above — but let the room guess first).</w:t>
      </w:r>
    </w:p>
    <w:p>
      <w:pPr>
        <w:spacing w:after="60" w:before="100"/>
      </w:pPr>
      <w:r>
        <w:rPr>
          <w:b/>
          <w:bCs/>
        </w:rPr>
        <w:t xml:space="preserve">Data Deep Dive</w:t>
      </w:r>
    </w:p>
    <w:p>
      <w:pPr>
        <w:spacing w:after="100"/>
      </w:pPr>
      <w:r>
        <w:t xml:space="preserve">Walk D3’s compound-probability chain together, one factor at a time, for one option first. Watch for the additive-vs-multiplicative trap directly in the work.</w:t>
      </w:r>
    </w:p>
    <w:p>
      <w:pPr>
        <w:spacing w:after="60" w:before="100"/>
      </w:pPr>
      <w:r>
        <w:rPr>
          <w:b/>
          <w:bCs/>
        </w:rPr>
        <w:t xml:space="preserve">Immediate recommit</w:t>
      </w:r>
    </w:p>
    <w:p>
      <w:pPr>
        <w:spacing w:after="100"/>
      </w:pPr>
      <w:r>
        <w:t xml:space="preserve">Re-vote immediately after the Twist. "Did the twist change your hand — or just confirm it, now with worse odds for everyone?"</w:t>
      </w:r>
    </w:p>
    <w:p>
      <w:pPr>
        <w:spacing w:after="60" w:before="100"/>
      </w:pPr>
      <w:r>
        <w:rPr>
          <w:b/>
          <w:bCs/>
        </w:rPr>
        <w:t xml:space="preserve">Close</w:t>
      </w:r>
    </w:p>
    <w:p>
      <w:pPr>
        <w:spacing w:after="100"/>
      </w:pPr>
      <w:r>
        <w:t xml:space="preserve">Re-vote once more after full discussion. "Did we ask the right question, or was the real question how much of a safety cushion you want, on a call the raw percentages already answered?" And: "What math was new to you today, and how did you attack it?"</w:t>
      </w:r>
    </w:p>
    <w:p>
      <w:pPr>
        <w:pStyle w:val="Heading2"/>
        <w:spacing w:after="100" w:before="220"/>
      </w:pPr>
      <w:r>
        <w:rPr>
          <w:b/>
          <w:bCs/>
        </w:rPr>
        <w:t xml:space="preserve">Lessons Learned</w:t>
      </w:r>
    </w:p>
    <w:p>
      <w:pPr>
        <w:spacing w:after="160"/>
      </w:pPr>
      <w:r>
        <w:t xml:space="preserve">(Migrated from the original Guide Notes’ "Monday Case Study Launch.") The original case opened its week with a broader framing exercise: a hypothetical crew of thieves who only target corrupt corporations and give away what they steal — "are these thieves heroes or villains?" — followed by "would you keep the money, give it away, or something else," and "what’s the easiest thing to steal and fence?" This conversion preserves that framing exactly as launch-week discussion material, not as part of the graded case itself; it is a genuinely open ethical question this conversion doesn’t resolve either. The mathematical lesson this conversion adds: a shared constraint cancels out of a comparison. Every route-risk assumption in Appendix C is real, stated work a Hero has to do correctly — but none of it, by construction, can ever change which exit is the better choice. Recognizing which numbers are actually load-bearing to a decision, versus which are real but decorative to that specific decision, is the transferable skill.</w:t>
      </w:r>
    </w:p>
    <w:p>
      <w:pPr>
        <w:pStyle w:val="Heading2"/>
        <w:spacing w:after="100" w:before="220"/>
      </w:pPr>
      <w:r>
        <w:rPr>
          <w:b/>
          <w:bCs/>
        </w:rPr>
        <w:t xml:space="preserve">Cohort Bands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DDDDD" w:val="clear"/>
            <w:vAlign w:val="top"/>
          </w:tcPr>
          <w:p>
            <w:r>
              <w:rPr>
                <w:b/>
                <w:bCs/>
              </w:rPr>
              <w:t xml:space="preserve">Band</w:t>
            </w:r>
          </w:p>
        </w:tc>
        <w:tc>
          <w:tcPr>
            <w:tcW w:type="dxa" w:w="6800"/>
            <w:shd w:fill="DDDDDD" w:val="clear"/>
            <w:vAlign w:val="top"/>
          </w:tcPr>
          <w:p>
            <w:r>
              <w:rPr>
                <w:b/>
                <w:bCs/>
              </w:rPr>
              <w:t xml:space="preserve">Note</w:t>
            </w:r>
          </w:p>
        </w:tc>
      </w:tr>
      <w:tr>
        <w:tc>
          <w:tcPr>
            <w:tcW w:type="dxa" w:w="2200"/>
            <w:vAlign w:val="top"/>
          </w:tcPr>
          <w:p>
            <w:r>
              <w:t xml:space="preserve">Full (12–20)</w:t>
            </w:r>
          </w:p>
        </w:tc>
        <w:tc>
          <w:tcPr>
            <w:tcW w:type="dxa" w:w="6800"/>
            <w:vAlign w:val="top"/>
          </w:tcPr>
          <w:p>
            <w:r>
              <w:t xml:space="preserve">Anchors 2–4 run as written; the room typically splits into a "trust the higher percentage" faction and a "trust the bigger safety buffer" faction before the Twist forces everyone to recompute minutes-in-vehicle live.</w:t>
            </w:r>
          </w:p>
        </w:tc>
      </w:tr>
      <w:tr>
        <w:tc>
          <w:tcPr>
            <w:tcW w:type="dxa" w:w="2200"/>
            <w:vAlign w:val="top"/>
          </w:tcPr>
          <w:p>
            <w:r>
              <w:t xml:space="preserve">Compressed (6–11)</w:t>
            </w:r>
          </w:p>
        </w:tc>
        <w:tc>
          <w:tcPr>
            <w:tcW w:type="dxa" w:w="6800"/>
            <w:vAlign w:val="top"/>
          </w:tcPr>
          <w:p>
            <w:r>
              <w:t xml:space="preserve">Anchors 2–3 combine into one pass; D5’s two visual displays are worked as one shared example instead of every Hero building both independently.</w:t>
            </w:r>
          </w:p>
        </w:tc>
      </w:tr>
      <w:tr>
        <w:tc>
          <w:tcPr>
            <w:tcW w:type="dxa" w:w="2200"/>
            <w:vAlign w:val="top"/>
          </w:tcPr>
          <w:p>
            <w:r>
              <w:t xml:space="preserve">1:1 / pair (1–2)</w:t>
            </w:r>
          </w:p>
        </w:tc>
        <w:tc>
          <w:tcPr>
            <w:tcW w:type="dxa" w:w="6800"/>
            <w:vAlign w:val="top"/>
          </w:tcPr>
          <w:p>
            <w:r>
              <w:t xml:space="preserve">No vote to take — Anchor 1 becomes a stated initial position instead of a cold-call show of hands; the guide plays devil’s advocate directly.</w:t>
            </w:r>
          </w:p>
        </w:tc>
      </w:tr>
    </w:tbl>
    <w:p>
      <w:pPr>
        <w:spacing w:before="200"/>
      </w:pPr>
    </w:p>
    <w:p>
      <w:pPr>
        <w:pStyle w:val="Heading2"/>
        <w:spacing w:after="100" w:before="220"/>
      </w:pPr>
      <w:r>
        <w:rPr>
          <w:b/>
          <w:bCs/>
        </w:rP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DDDDD" w:val="clear"/>
            <w:vAlign w:val="top"/>
          </w:tcPr>
          <w:p>
            <w:r>
              <w:rPr>
                <w:b/>
                <w:bCs/>
              </w:rPr>
              <w:t xml:space="preserve">Time</w:t>
            </w:r>
          </w:p>
        </w:tc>
        <w:tc>
          <w:tcPr>
            <w:tcW w:type="dxa" w:w="6800"/>
            <w:shd w:fill="DDDDDD" w:val="clear"/>
            <w:vAlign w:val="top"/>
          </w:tcPr>
          <w:p>
            <w:r>
              <w:rPr>
                <w:b/>
                <w:bCs/>
              </w:rPr>
              <w:t xml:space="preserve">Move</w:t>
            </w:r>
          </w:p>
        </w:tc>
      </w:tr>
      <w:tr>
        <w:tc>
          <w:tcPr>
            <w:tcW w:type="dxa" w:w="2200"/>
            <w:vAlign w:val="top"/>
          </w:tcPr>
          <w:p>
            <w:r>
              <w:t xml:space="preserve">0:00–3:00</w:t>
            </w:r>
          </w:p>
        </w:tc>
        <w:tc>
          <w:tcPr>
            <w:tcW w:type="dxa" w:w="6800"/>
            <w:vAlign w:val="top"/>
          </w:tcPr>
          <w:p>
            <w:r>
              <w:t xml:space="preserve">Cold-call launch, 30-second commitments, stand/sit vote (Anchor 1) — no explanation</w:t>
            </w:r>
          </w:p>
        </w:tc>
      </w:tr>
      <w:tr>
        <w:tc>
          <w:tcPr>
            <w:tcW w:type="dxa" w:w="2200"/>
            <w:vAlign w:val="top"/>
          </w:tcPr>
          <w:p>
            <w:r>
              <w:t xml:space="preserve">3:00–10:00</w:t>
            </w:r>
          </w:p>
        </w:tc>
        <w:tc>
          <w:tcPr>
            <w:tcW w:type="dxa" w:w="6800"/>
            <w:vAlign w:val="top"/>
          </w:tcPr>
          <w:p>
            <w:r>
              <w:t xml:space="preserve">Position defense: "Convince us it’s safer, not just faster or higher-percentage"</w:t>
            </w:r>
          </w:p>
        </w:tc>
      </w:tr>
      <w:tr>
        <w:tc>
          <w:tcPr>
            <w:tcW w:type="dxa" w:w="2200"/>
            <w:vAlign w:val="top"/>
          </w:tcPr>
          <w:p>
            <w:r>
              <w:t xml:space="preserve">10:00–15:00</w:t>
            </w:r>
          </w:p>
        </w:tc>
        <w:tc>
          <w:tcPr>
            <w:tcW w:type="dxa" w:w="6800"/>
            <w:vAlign w:val="top"/>
          </w:tcPr>
          <w:p>
            <w:r>
              <w:t xml:space="preserve">Pressure-test the models: "Which of your numbers actually differ between A and B?"</w:t>
            </w:r>
          </w:p>
        </w:tc>
      </w:tr>
      <w:tr>
        <w:tc>
          <w:tcPr>
            <w:tcW w:type="dxa" w:w="2200"/>
            <w:vAlign w:val="top"/>
          </w:tcPr>
          <w:p>
            <w:r>
              <w:t xml:space="preserve">15:00</w:t>
            </w:r>
          </w:p>
        </w:tc>
        <w:tc>
          <w:tcPr>
            <w:tcW w:type="dxa" w:w="6800"/>
            <w:vAlign w:val="top"/>
          </w:tcPr>
          <w:p>
            <w:r>
              <w:t xml:space="preserve">DROP THE TWIST — the stolen-vehicle 3-minute delay, delivered slowly</w:t>
            </w:r>
          </w:p>
        </w:tc>
      </w:tr>
      <w:tr>
        <w:tc>
          <w:tcPr>
            <w:tcW w:type="dxa" w:w="2200"/>
            <w:vAlign w:val="top"/>
          </w:tcPr>
          <w:p>
            <w:r>
              <w:t xml:space="preserve">15:00–20:00</w:t>
            </w:r>
          </w:p>
        </w:tc>
        <w:tc>
          <w:tcPr>
            <w:tcW w:type="dxa" w:w="6800"/>
            <w:vAlign w:val="top"/>
          </w:tcPr>
          <w:p>
            <w:r>
              <w:t xml:space="preserve">Immediate recommit: who reverses? "What just broke — the answer, or just the odds?"</w:t>
            </w:r>
          </w:p>
        </w:tc>
      </w:tr>
      <w:tr>
        <w:tc>
          <w:tcPr>
            <w:tcW w:type="dxa" w:w="2200"/>
            <w:vAlign w:val="top"/>
          </w:tcPr>
          <w:p>
            <w:r>
              <w:t xml:space="preserve">20:00–30:00</w:t>
            </w:r>
          </w:p>
        </w:tc>
        <w:tc>
          <w:tcPr>
            <w:tcW w:type="dxa" w:w="6800"/>
            <w:vAlign w:val="top"/>
          </w:tcPr>
          <w:p>
            <w:r>
              <w:t xml:space="preserve">Threaded deep conflict: raw percentage vs. time-window buffer; which risk factors are load-bearing</w:t>
            </w:r>
          </w:p>
        </w:tc>
      </w:tr>
      <w:tr>
        <w:tc>
          <w:tcPr>
            <w:tcW w:type="dxa" w:w="2200"/>
            <w:vAlign w:val="top"/>
          </w:tcPr>
          <w:p>
            <w:r>
              <w:t xml:space="preserve">30:00–45:00</w:t>
            </w:r>
          </w:p>
        </w:tc>
        <w:tc>
          <w:tcPr>
            <w:tcW w:type="dxa" w:w="6800"/>
            <w:vAlign w:val="top"/>
          </w:tcPr>
          <w:p>
            <w:r>
              <w:t xml:space="preserve">Close, re-vote, reflection, Lessons Learned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2026-08-20T21:41:30.575Z</dcterms:created>
  <dcterms:modified xsi:type="dcterms:W3CDTF">2026-08-20T21:41:30.575Z</dcterms:modified>
</cp:coreProperties>
</file>

<file path=docProps/custom.xml><?xml version="1.0" encoding="utf-8"?>
<Properties xmlns="http://schemas.openxmlformats.org/officeDocument/2006/custom-properties" xmlns:vt="http://schemas.openxmlformats.org/officeDocument/2006/docPropsVTypes"/>
</file>