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Insurance Actuary</w:t>
      </w:r>
    </w:p>
    <w:p>
      <w:pPr>
        <w:spacing w:after="240"/>
        <w:jc w:val="center"/>
      </w:pPr>
      <w:r>
        <w:rPr>
          <w:i/>
          <w:iCs/>
          <w:sz w:val="22"/>
          <w:szCs w:val="22"/>
        </w:rPr>
        <w:t xml:space="preserve">MS | Math | Case Study | 2026 | Launchpad</w:t>
      </w:r>
    </w:p>
    <w:p>
      <w:pPr>
        <w:pStyle w:val="Heading2"/>
        <w:spacing w:after="120" w:before="240"/>
      </w:pPr>
      <w:r>
        <w:t xml:space="preserve">Overview</w:t>
      </w:r>
    </w:p>
    <w:p>
      <w:r>
        <w:t xml:space="preserve">The mahogany table is already half full. Sofia Ficonia takes the folding chair against the wall — the one reserved for staff who present nothing and say less — and sets her laptop bag between her feet. Eight years at Safetylife and she has never once been in this room while the Board was in it.</w:t>
      </w:r>
    </w:p>
    <w:p>
      <w:r>
        <w:t xml:space="preserve">Uni Kimuni buttons his suit jacket at the head of the table. He is thirty-nine and has been CEO for eleven months, hired the week the old leadership was walked out for losing a third of the company's revenue in four years. He glances back at Sofia — not at the Board, at her — and says it quietly enough that only she catches it: "Sure this is the right call?"</w:t>
      </w:r>
    </w:p>
    <w:p>
      <w:r>
        <w:t xml:space="preserve">She has run the numbers four times. She has run them a fifth time this morning, on the drive in, replaying the arithmetic in her head at every red light. Two spreadsheets sit open on the laptop she has not yet closed: one titled YOUNG, one titled SENIOR. A third file, the one she has not opened since Tuesday, is titled MIDDLE — and stays closed, because the team settled that question days ago. Kimuni is still watching her.</w:t>
      </w:r>
    </w:p>
    <w:p>
      <w:r>
        <w:t xml:space="preserve">She nods.</w:t>
      </w:r>
    </w:p>
    <w:p>
      <w:r>
        <w:t xml:space="preserve">He turns to the table, opens the folder in front of him, and begins: "Effective 2019, Safetylife will discontinue automobile insurance for one driver age class." Twelve board members lean forward. Sofia's cursor sits blinking over the export button on the spreadsheet that isn't open yet.</w:t>
      </w:r>
    </w:p>
    <w:p>
      <w:pPr>
        <w:pStyle w:val="Heading2"/>
        <w:spacing w:after="120" w:before="240"/>
      </w:pPr>
      <w:r>
        <w:t xml:space="preserve">Background</w:t>
      </w:r>
    </w:p>
    <w:p>
      <w:r>
        <w:t xml:space="preserve">Safetylife has sold personal and commercial automobile insurance in Carbosia — a developed nation with insurance laws similar to most U.S. states — for 79 years. In 2014 it was Carbosia's largest personal auto insurer, writing over Ĉ3.2 billion (Carbosian Caribs) in premium. Every year since, its revenue and market share fell; by 2018, revenue had dropped to Ĉ2.4 billion. The Board dismissed the old leadership and hired Uni Kimuni, who has publicly committed to growing 2019 revenue by 2% — a promise he made to the Board and to Safetylife's shareholders before he had seen a single claims file.</w:t>
      </w:r>
    </w:p>
    <w:p>
      <w:r>
        <w:t xml:space="preserve">Kimuni's plan, built with Sofia's actuarial team, is to narrow Safetylife's personal auto book to two of its three driver-age classes: </w:t>
      </w:r>
      <w:r>
        <w:rPr>
          <w:b/>
          <w:bCs/>
        </w:rPr>
        <w:t xml:space="preserve">Young</w:t>
      </w:r>
      <w:r>
        <w:t xml:space="preserve"> (14–24), </w:t>
      </w:r>
      <w:r>
        <w:rPr>
          <w:b/>
          <w:bCs/>
        </w:rPr>
        <w:t xml:space="preserve">Middle-aged</w:t>
      </w:r>
      <w:r>
        <w:t xml:space="preserve"> (25–64), and </w:t>
      </w:r>
      <w:r>
        <w:rPr>
          <w:b/>
          <w:bCs/>
        </w:rPr>
        <w:t xml:space="preserve">Senior</w:t>
      </w:r>
      <w:r>
        <w:t xml:space="preserve"> (65+). One class is discontinued entirely — no new policies, no renewals. The team has already ruled out cutting Middle-aged: it is Safetylife's largest and most stable customer segment by far, and no analysis the actuaries ran supported discarding the company's core book. The real decision is between the other two.</w:t>
      </w:r>
    </w:p>
    <w:p>
      <w:r>
        <w:t xml:space="preserve">Safetylife prices and tracks risk using a 27-class code: every policy is classified by </w:t>
      </w:r>
      <w:r>
        <w:rPr>
          <w:b/>
          <w:bCs/>
        </w:rPr>
        <w:t xml:space="preserve">Vehicle Size</w:t>
      </w:r>
      <w:r>
        <w:t xml:space="preserve"> (Small / Medium / Large), </w:t>
      </w:r>
      <w:r>
        <w:rPr>
          <w:b/>
          <w:bCs/>
        </w:rPr>
        <w:t xml:space="preserve">Driver Age</w:t>
      </w:r>
      <w:r>
        <w:t xml:space="preserve"> (Young / Middle / Senior), and </w:t>
      </w:r>
      <w:r>
        <w:rPr>
          <w:b/>
          <w:bCs/>
        </w:rPr>
        <w:t xml:space="preserve">Driver Risk</w:t>
      </w:r>
      <w:r>
        <w:t xml:space="preserve"> (Low / Average / High, based on driving record), coded by the first letter of each in that order. A large car with a middle-aged primary driver and a driving record showing a higher likelihood of future claims is class </w:t>
      </w:r>
      <w:r>
        <w:rPr>
          <w:b/>
          <w:bCs/>
        </w:rPr>
        <w:t xml:space="preserve">LMH</w:t>
      </w:r>
      <w:r>
        <w:t xml:space="preserve">. Three years of quarterly claims data — car-years of exposure, number of claims, and Ĉ amount of claims incurred, across all 27 classes and 5 required coverages (Bodily Injury, Property Damage, Comprehensive, Collision, Personal Injury) — sit in Safetylife's system for every quarter from 2016 through 2018 (SEE APPENDIX A AND APPENDIX B).</w:t>
      </w:r>
    </w:p>
    <w:p>
      <w:r>
        <w:t xml:space="preserve">Carbosian law requires every vehicle owner to carry all five coverages before a title transfers, so the 27-class matrix is Safetylife's complete personal-auto book — there is no discontinued-coverage carve-out to lean on. Whichever age class the Board votes to cut, every policy in it, across all 9 Vehicle Size × Risk combinations, is gone: every customer, every premium dollar, every claim.</w:t>
      </w:r>
    </w:p>
    <w:p>
      <w:r>
        <w:t xml:space="preserve">Age-based risk classification is not a Safetylife invention — real auto insurers flag both young and senior drivers for different, well-documented reasons (SEE APPENDIX D). Safetylife's own risk-code key, and worked examples of how a class code is built, are reproduced for reference (SEE APPENDIX C). Additional background on the actuarial profession itself is available for the "how to…" research task (SEE APPENDIX E), and the full list of vocabulary and "how to…" questions this case draws on is in (SEE APPENDIX Z).</w:t>
      </w:r>
    </w:p>
    <w:p>
      <w:r>
        <w:t xml:space="preserve">Sofia's task, and the room's, is not "which class costs the most." It is which single cut most helps Kimuni make good on a 2% revenue-growth promise he has already made in public (SEE APPENDIX A).</w:t>
      </w:r>
    </w:p>
    <w:p>
      <w:pPr>
        <w:pStyle w:val="Heading2"/>
        <w:spacing w:after="120" w:before="240"/>
      </w:pPr>
      <w:r>
        <w:t xml:space="preserve">Dilemma</w:t>
      </w:r>
    </w:p>
    <w:p>
      <w:r>
        <w:t xml:space="preserve">You are Sofia Ficonia. Do you: A.) Recommend Safetylife discontinue policies for Young drivers (14–24) OR B.) Recommend Safetylife discontinue policies for Senior drivers (65+)</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2019 claims-cost forecast table for all three driver-age classes (Young, Middle-aged, Senior) — the projected average amount of claims incurred per vehicle (Ĉ per car-year of exposure) Safetylife would expect in 2019 </w:t>
      </w:r>
      <w:r>
        <w:rPr>
          <w:b/>
          <w:bCs/>
        </w:rPr>
        <w:t xml:space="preserve">if no policy changes were made</w:t>
      </w:r>
      <w:r>
        <w:t xml:space="preserve">, built from the 2016–2018 quarterly trend (SEE APPENDIX A).     D2. A blended (weighted-average) 2019 claims-cost-per-vehicle comparison for Safetylife's </w:t>
      </w:r>
      <w:r>
        <w:rPr>
          <w:i/>
          <w:iCs/>
        </w:rPr>
        <w:t xml:space="preserve">remaining</w:t>
      </w:r>
      <w:r>
        <w:t xml:space="preserve"> book of business under Option A and under Option B, with the margin between them stated as a percent (SEE APPENDIX A).     D3. A ranked breakdown of the 27 risk classes showing which specific Vehicle-Size × Risk combinations </w:t>
      </w:r>
      <w:r>
        <w:rPr>
          <w:i/>
          <w:iCs/>
        </w:rPr>
        <w:t xml:space="preserve">within</w:t>
      </w:r>
      <w:r>
        <w:t xml:space="preserve"> the Young and Senior age classes carry the greatest and least claims cost — and what share of each age class's total exposure falls into its Low-risk, Average-risk, and High-risk tiers (SEE APPENDIX B).     D4. At least one original chart comparing the Ĉ-per-vehicle claims trend for Young, Middle-aged, and Senior drivers across all 12 quarters, 2016–2018 (SEE APPENDIX A).</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Safetylife Claims Data by Driver-Age Class, 2016–2018 (Quarterly)</w:t>
      </w:r>
    </w:p>
    <w:p>
      <w:r>
        <w:t xml:space="preserve">All figures are car-years of exposure and Ĉ claims incurred, summed across all 5 required coverages and all 9 Vehicle-Size × Risk sub-classes within each driver-age class. Source: Safetylife's own bundled claims workbook (SEE APPENDIX B for the full 27-class detail this rolls up from). One car-year of exposure is one vehicle insured for a full year; a vehicle insured for one quarter is ¼ of a car-year.</w:t>
      </w:r>
    </w:p>
    <w:p>
      <w:r>
        <w:rPr>
          <w:b/>
          <w:bCs/>
        </w:rPr>
        <w:t xml:space="preserve">Quarterly car-years of exposure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DDDDDD" w:val="clear"/>
          </w:tcPr>
          <w:p>
            <w:r>
              <w:t xml:space="preserve">Quarter</w:t>
            </w:r>
          </w:p>
        </w:tc>
        <w:tc>
          <w:tcPr>
            <w:tcW w:type="dxa" w:w="2375"/>
            <w:shd w:fill="DDDDDD" w:val="clear"/>
          </w:tcPr>
          <w:p>
            <w:r>
              <w:t xml:space="preserve">Young</w:t>
            </w:r>
          </w:p>
        </w:tc>
        <w:tc>
          <w:tcPr>
            <w:tcW w:type="dxa" w:w="2375"/>
            <w:shd w:fill="DDDDDD" w:val="clear"/>
          </w:tcPr>
          <w:p>
            <w:r>
              <w:t xml:space="preserve">Middle-aged</w:t>
            </w:r>
          </w:p>
        </w:tc>
        <w:tc>
          <w:tcPr>
            <w:tcW w:type="dxa" w:w="2375"/>
            <w:shd w:fill="DDDDDD" w:val="clear"/>
          </w:tcPr>
          <w:p>
            <w:r>
              <w:t xml:space="preserve">Senior</w:t>
            </w:r>
          </w:p>
        </w:tc>
      </w:tr>
      <w:tr>
        <w:tc>
          <w:tcPr>
            <w:tcW w:type="dxa" w:w="2375"/>
          </w:tcPr>
          <w:p>
            <w:r>
              <w:t xml:space="preserve">2016 Q1</w:t>
            </w:r>
          </w:p>
        </w:tc>
        <w:tc>
          <w:tcPr>
            <w:tcW w:type="dxa" w:w="2375"/>
          </w:tcPr>
          <w:p>
            <w:r>
              <w:t xml:space="preserve">53,224</w:t>
            </w:r>
          </w:p>
        </w:tc>
        <w:tc>
          <w:tcPr>
            <w:tcW w:type="dxa" w:w="2375"/>
          </w:tcPr>
          <w:p>
            <w:r>
              <w:t xml:space="preserve">243,097</w:t>
            </w:r>
          </w:p>
        </w:tc>
        <w:tc>
          <w:tcPr>
            <w:tcW w:type="dxa" w:w="2375"/>
          </w:tcPr>
          <w:p>
            <w:r>
              <w:t xml:space="preserve">153,595</w:t>
            </w:r>
          </w:p>
        </w:tc>
      </w:tr>
      <w:tr>
        <w:tc>
          <w:tcPr>
            <w:tcW w:type="dxa" w:w="2375"/>
          </w:tcPr>
          <w:p>
            <w:r>
              <w:t xml:space="preserve">2016 Q2</w:t>
            </w:r>
          </w:p>
        </w:tc>
        <w:tc>
          <w:tcPr>
            <w:tcW w:type="dxa" w:w="2375"/>
          </w:tcPr>
          <w:p>
            <w:r>
              <w:t xml:space="preserve">53,964</w:t>
            </w:r>
          </w:p>
        </w:tc>
        <w:tc>
          <w:tcPr>
            <w:tcW w:type="dxa" w:w="2375"/>
          </w:tcPr>
          <w:p>
            <w:r>
              <w:t xml:space="preserve">246,563</w:t>
            </w:r>
          </w:p>
        </w:tc>
        <w:tc>
          <w:tcPr>
            <w:tcW w:type="dxa" w:w="2375"/>
          </w:tcPr>
          <w:p>
            <w:r>
              <w:t xml:space="preserve">155,917</w:t>
            </w:r>
          </w:p>
        </w:tc>
      </w:tr>
      <w:tr>
        <w:tc>
          <w:tcPr>
            <w:tcW w:type="dxa" w:w="2375"/>
          </w:tcPr>
          <w:p>
            <w:r>
              <w:t xml:space="preserve">2016 Q3</w:t>
            </w:r>
          </w:p>
        </w:tc>
        <w:tc>
          <w:tcPr>
            <w:tcW w:type="dxa" w:w="2375"/>
          </w:tcPr>
          <w:p>
            <w:r>
              <w:t xml:space="preserve">54,437</w:t>
            </w:r>
          </w:p>
        </w:tc>
        <w:tc>
          <w:tcPr>
            <w:tcW w:type="dxa" w:w="2375"/>
          </w:tcPr>
          <w:p>
            <w:r>
              <w:t xml:space="preserve">248,653</w:t>
            </w:r>
          </w:p>
        </w:tc>
        <w:tc>
          <w:tcPr>
            <w:tcW w:type="dxa" w:w="2375"/>
          </w:tcPr>
          <w:p>
            <w:r>
              <w:t xml:space="preserve">156,935</w:t>
            </w:r>
          </w:p>
        </w:tc>
      </w:tr>
      <w:tr>
        <w:tc>
          <w:tcPr>
            <w:tcW w:type="dxa" w:w="2375"/>
          </w:tcPr>
          <w:p>
            <w:r>
              <w:t xml:space="preserve">2016 Q4</w:t>
            </w:r>
          </w:p>
        </w:tc>
        <w:tc>
          <w:tcPr>
            <w:tcW w:type="dxa" w:w="2375"/>
          </w:tcPr>
          <w:p>
            <w:r>
              <w:t xml:space="preserve">54,579</w:t>
            </w:r>
          </w:p>
        </w:tc>
        <w:tc>
          <w:tcPr>
            <w:tcW w:type="dxa" w:w="2375"/>
          </w:tcPr>
          <w:p>
            <w:r>
              <w:t xml:space="preserve">248,837</w:t>
            </w:r>
          </w:p>
        </w:tc>
        <w:tc>
          <w:tcPr>
            <w:tcW w:type="dxa" w:w="2375"/>
          </w:tcPr>
          <w:p>
            <w:r>
              <w:t xml:space="preserve">156,630</w:t>
            </w:r>
          </w:p>
        </w:tc>
      </w:tr>
      <w:tr>
        <w:tc>
          <w:tcPr>
            <w:tcW w:type="dxa" w:w="2375"/>
          </w:tcPr>
          <w:p>
            <w:r>
              <w:t xml:space="preserve">2017 Q1</w:t>
            </w:r>
          </w:p>
        </w:tc>
        <w:tc>
          <w:tcPr>
            <w:tcW w:type="dxa" w:w="2375"/>
          </w:tcPr>
          <w:p>
            <w:r>
              <w:t xml:space="preserve">54,628</w:t>
            </w:r>
          </w:p>
        </w:tc>
        <w:tc>
          <w:tcPr>
            <w:tcW w:type="dxa" w:w="2375"/>
          </w:tcPr>
          <w:p>
            <w:r>
              <w:t xml:space="preserve">248,659</w:t>
            </w:r>
          </w:p>
        </w:tc>
        <w:tc>
          <w:tcPr>
            <w:tcW w:type="dxa" w:w="2375"/>
          </w:tcPr>
          <w:p>
            <w:r>
              <w:t xml:space="preserve">157,007</w:t>
            </w:r>
          </w:p>
        </w:tc>
      </w:tr>
      <w:tr>
        <w:tc>
          <w:tcPr>
            <w:tcW w:type="dxa" w:w="2375"/>
          </w:tcPr>
          <w:p>
            <w:r>
              <w:t xml:space="preserve">2017 Q2</w:t>
            </w:r>
          </w:p>
        </w:tc>
        <w:tc>
          <w:tcPr>
            <w:tcW w:type="dxa" w:w="2375"/>
          </w:tcPr>
          <w:p>
            <w:r>
              <w:t xml:space="preserve">55,068</w:t>
            </w:r>
          </w:p>
        </w:tc>
        <w:tc>
          <w:tcPr>
            <w:tcW w:type="dxa" w:w="2375"/>
          </w:tcPr>
          <w:p>
            <w:r>
              <w:t xml:space="preserve">251,021</w:t>
            </w:r>
          </w:p>
        </w:tc>
        <w:tc>
          <w:tcPr>
            <w:tcW w:type="dxa" w:w="2375"/>
          </w:tcPr>
          <w:p>
            <w:r>
              <w:t xml:space="preserve">158,745</w:t>
            </w:r>
          </w:p>
        </w:tc>
      </w:tr>
      <w:tr>
        <w:tc>
          <w:tcPr>
            <w:tcW w:type="dxa" w:w="2375"/>
          </w:tcPr>
          <w:p>
            <w:r>
              <w:t xml:space="preserve">2017 Q3</w:t>
            </w:r>
          </w:p>
        </w:tc>
        <w:tc>
          <w:tcPr>
            <w:tcW w:type="dxa" w:w="2375"/>
          </w:tcPr>
          <w:p>
            <w:r>
              <w:t xml:space="preserve">55,350</w:t>
            </w:r>
          </w:p>
        </w:tc>
        <w:tc>
          <w:tcPr>
            <w:tcW w:type="dxa" w:w="2375"/>
          </w:tcPr>
          <w:p>
            <w:r>
              <w:t xml:space="preserve">252,627</w:t>
            </w:r>
          </w:p>
        </w:tc>
        <w:tc>
          <w:tcPr>
            <w:tcW w:type="dxa" w:w="2375"/>
          </w:tcPr>
          <w:p>
            <w:r>
              <w:t xml:space="preserve">159,307</w:t>
            </w:r>
          </w:p>
        </w:tc>
      </w:tr>
      <w:tr>
        <w:tc>
          <w:tcPr>
            <w:tcW w:type="dxa" w:w="2375"/>
          </w:tcPr>
          <w:p>
            <w:r>
              <w:t xml:space="preserve">2017 Q4</w:t>
            </w:r>
          </w:p>
        </w:tc>
        <w:tc>
          <w:tcPr>
            <w:tcW w:type="dxa" w:w="2375"/>
          </w:tcPr>
          <w:p>
            <w:r>
              <w:t xml:space="preserve">55,434</w:t>
            </w:r>
          </w:p>
        </w:tc>
        <w:tc>
          <w:tcPr>
            <w:tcW w:type="dxa" w:w="2375"/>
          </w:tcPr>
          <w:p>
            <w:r>
              <w:t xml:space="preserve">252,603</w:t>
            </w:r>
          </w:p>
        </w:tc>
        <w:tc>
          <w:tcPr>
            <w:tcW w:type="dxa" w:w="2375"/>
          </w:tcPr>
          <w:p>
            <w:r>
              <w:t xml:space="preserve">158,747</w:t>
            </w:r>
          </w:p>
        </w:tc>
      </w:tr>
      <w:tr>
        <w:tc>
          <w:tcPr>
            <w:tcW w:type="dxa" w:w="2375"/>
          </w:tcPr>
          <w:p>
            <w:r>
              <w:t xml:space="preserve">2018 Q1</w:t>
            </w:r>
          </w:p>
        </w:tc>
        <w:tc>
          <w:tcPr>
            <w:tcW w:type="dxa" w:w="2375"/>
          </w:tcPr>
          <w:p>
            <w:r>
              <w:t xml:space="preserve">55,398</w:t>
            </w:r>
          </w:p>
        </w:tc>
        <w:tc>
          <w:tcPr>
            <w:tcW w:type="dxa" w:w="2375"/>
          </w:tcPr>
          <w:p>
            <w:r>
              <w:t xml:space="preserve">251,896</w:t>
            </w:r>
          </w:p>
        </w:tc>
        <w:tc>
          <w:tcPr>
            <w:tcW w:type="dxa" w:w="2375"/>
          </w:tcPr>
          <w:p>
            <w:r>
              <w:t xml:space="preserve">158,804</w:t>
            </w:r>
          </w:p>
        </w:tc>
      </w:tr>
      <w:tr>
        <w:tc>
          <w:tcPr>
            <w:tcW w:type="dxa" w:w="2375"/>
          </w:tcPr>
          <w:p>
            <w:r>
              <w:t xml:space="preserve">2018 Q2</w:t>
            </w:r>
          </w:p>
        </w:tc>
        <w:tc>
          <w:tcPr>
            <w:tcW w:type="dxa" w:w="2375"/>
          </w:tcPr>
          <w:p>
            <w:r>
              <w:t xml:space="preserve">55,845</w:t>
            </w:r>
          </w:p>
        </w:tc>
        <w:tc>
          <w:tcPr>
            <w:tcW w:type="dxa" w:w="2375"/>
          </w:tcPr>
          <w:p>
            <w:r>
              <w:t xml:space="preserve">254,642</w:t>
            </w:r>
          </w:p>
        </w:tc>
        <w:tc>
          <w:tcPr>
            <w:tcW w:type="dxa" w:w="2375"/>
          </w:tcPr>
          <w:p>
            <w:r>
              <w:t xml:space="preserve">160,483</w:t>
            </w:r>
          </w:p>
        </w:tc>
      </w:tr>
      <w:tr>
        <w:tc>
          <w:tcPr>
            <w:tcW w:type="dxa" w:w="2375"/>
          </w:tcPr>
          <w:p>
            <w:r>
              <w:t xml:space="preserve">2018 Q3</w:t>
            </w:r>
          </w:p>
        </w:tc>
        <w:tc>
          <w:tcPr>
            <w:tcW w:type="dxa" w:w="2375"/>
          </w:tcPr>
          <w:p>
            <w:r>
              <w:t xml:space="preserve">55,893</w:t>
            </w:r>
          </w:p>
        </w:tc>
        <w:tc>
          <w:tcPr>
            <w:tcW w:type="dxa" w:w="2375"/>
          </w:tcPr>
          <w:p>
            <w:r>
              <w:t xml:space="preserve">255,698</w:t>
            </w:r>
          </w:p>
        </w:tc>
        <w:tc>
          <w:tcPr>
            <w:tcW w:type="dxa" w:w="2375"/>
          </w:tcPr>
          <w:p>
            <w:r>
              <w:t xml:space="preserve">160,414</w:t>
            </w:r>
          </w:p>
        </w:tc>
      </w:tr>
      <w:tr>
        <w:tc>
          <w:tcPr>
            <w:tcW w:type="dxa" w:w="2375"/>
          </w:tcPr>
          <w:p>
            <w:r>
              <w:t xml:space="preserve">2018 Q4</w:t>
            </w:r>
          </w:p>
        </w:tc>
        <w:tc>
          <w:tcPr>
            <w:tcW w:type="dxa" w:w="2375"/>
          </w:tcPr>
          <w:p>
            <w:r>
              <w:t xml:space="preserve">55,663</w:t>
            </w:r>
          </w:p>
        </w:tc>
        <w:tc>
          <w:tcPr>
            <w:tcW w:type="dxa" w:w="2375"/>
          </w:tcPr>
          <w:p>
            <w:r>
              <w:t xml:space="preserve">254,725</w:t>
            </w:r>
          </w:p>
        </w:tc>
        <w:tc>
          <w:tcPr>
            <w:tcW w:type="dxa" w:w="2375"/>
          </w:tcPr>
          <w:p>
            <w:r>
              <w:t xml:space="preserve">159,012</w:t>
            </w:r>
          </w:p>
        </w:tc>
      </w:tr>
    </w:tbl>
    <w:p/>
    <w:p>
      <w:r>
        <w:rPr>
          <w:b/>
          <w:bCs/>
        </w:rPr>
        <w:t xml:space="preserve">Quarterly Ĉ claims incurred (all coverages)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DDDDDD" w:val="clear"/>
          </w:tcPr>
          <w:p>
            <w:r>
              <w:t xml:space="preserve">Quarter</w:t>
            </w:r>
          </w:p>
        </w:tc>
        <w:tc>
          <w:tcPr>
            <w:tcW w:type="dxa" w:w="2375"/>
            <w:shd w:fill="DDDDDD" w:val="clear"/>
          </w:tcPr>
          <w:p>
            <w:r>
              <w:t xml:space="preserve">Young</w:t>
            </w:r>
          </w:p>
        </w:tc>
        <w:tc>
          <w:tcPr>
            <w:tcW w:type="dxa" w:w="2375"/>
            <w:shd w:fill="DDDDDD" w:val="clear"/>
          </w:tcPr>
          <w:p>
            <w:r>
              <w:t xml:space="preserve">Middle-aged</w:t>
            </w:r>
          </w:p>
        </w:tc>
        <w:tc>
          <w:tcPr>
            <w:tcW w:type="dxa" w:w="2375"/>
            <w:shd w:fill="DDDDDD" w:val="clear"/>
          </w:tcPr>
          <w:p>
            <w:r>
              <w:t xml:space="preserve">Senior</w:t>
            </w:r>
          </w:p>
        </w:tc>
      </w:tr>
      <w:tr>
        <w:tc>
          <w:tcPr>
            <w:tcW w:type="dxa" w:w="2375"/>
          </w:tcPr>
          <w:p>
            <w:r>
              <w:t xml:space="preserve">2016 Q1</w:t>
            </w:r>
          </w:p>
        </w:tc>
        <w:tc>
          <w:tcPr>
            <w:tcW w:type="dxa" w:w="2375"/>
          </w:tcPr>
          <w:p>
            <w:r>
              <w:t xml:space="preserve">100,693,118</w:t>
            </w:r>
          </w:p>
        </w:tc>
        <w:tc>
          <w:tcPr>
            <w:tcW w:type="dxa" w:w="2375"/>
          </w:tcPr>
          <w:p>
            <w:r>
              <w:t xml:space="preserve">417,593,876</w:t>
            </w:r>
          </w:p>
        </w:tc>
        <w:tc>
          <w:tcPr>
            <w:tcW w:type="dxa" w:w="2375"/>
          </w:tcPr>
          <w:p>
            <w:r>
              <w:t xml:space="preserve">279,911,613</w:t>
            </w:r>
          </w:p>
        </w:tc>
      </w:tr>
      <w:tr>
        <w:tc>
          <w:tcPr>
            <w:tcW w:type="dxa" w:w="2375"/>
          </w:tcPr>
          <w:p>
            <w:r>
              <w:t xml:space="preserve">2016 Q2</w:t>
            </w:r>
          </w:p>
        </w:tc>
        <w:tc>
          <w:tcPr>
            <w:tcW w:type="dxa" w:w="2375"/>
          </w:tcPr>
          <w:p>
            <w:r>
              <w:t xml:space="preserve">113,976,755</w:t>
            </w:r>
          </w:p>
        </w:tc>
        <w:tc>
          <w:tcPr>
            <w:tcW w:type="dxa" w:w="2375"/>
          </w:tcPr>
          <w:p>
            <w:r>
              <w:t xml:space="preserve">381,249,897</w:t>
            </w:r>
          </w:p>
        </w:tc>
        <w:tc>
          <w:tcPr>
            <w:tcW w:type="dxa" w:w="2375"/>
          </w:tcPr>
          <w:p>
            <w:r>
              <w:t xml:space="preserve">295,039,075</w:t>
            </w:r>
          </w:p>
        </w:tc>
      </w:tr>
      <w:tr>
        <w:tc>
          <w:tcPr>
            <w:tcW w:type="dxa" w:w="2375"/>
          </w:tcPr>
          <w:p>
            <w:r>
              <w:t xml:space="preserve">2016 Q3</w:t>
            </w:r>
          </w:p>
        </w:tc>
        <w:tc>
          <w:tcPr>
            <w:tcW w:type="dxa" w:w="2375"/>
          </w:tcPr>
          <w:p>
            <w:r>
              <w:t xml:space="preserve">113,589,075</w:t>
            </w:r>
          </w:p>
        </w:tc>
        <w:tc>
          <w:tcPr>
            <w:tcW w:type="dxa" w:w="2375"/>
          </w:tcPr>
          <w:p>
            <w:r>
              <w:t xml:space="preserve">431,307,164</w:t>
            </w:r>
          </w:p>
        </w:tc>
        <w:tc>
          <w:tcPr>
            <w:tcW w:type="dxa" w:w="2375"/>
          </w:tcPr>
          <w:p>
            <w:r>
              <w:t xml:space="preserve">302,607,475</w:t>
            </w:r>
          </w:p>
        </w:tc>
      </w:tr>
      <w:tr>
        <w:tc>
          <w:tcPr>
            <w:tcW w:type="dxa" w:w="2375"/>
          </w:tcPr>
          <w:p>
            <w:r>
              <w:t xml:space="preserve">2016 Q4</w:t>
            </w:r>
          </w:p>
        </w:tc>
        <w:tc>
          <w:tcPr>
            <w:tcW w:type="dxa" w:w="2375"/>
          </w:tcPr>
          <w:p>
            <w:r>
              <w:t xml:space="preserve">114,712,887</w:t>
            </w:r>
          </w:p>
        </w:tc>
        <w:tc>
          <w:tcPr>
            <w:tcW w:type="dxa" w:w="2375"/>
          </w:tcPr>
          <w:p>
            <w:r>
              <w:t xml:space="preserve">421,605,301</w:t>
            </w:r>
          </w:p>
        </w:tc>
        <w:tc>
          <w:tcPr>
            <w:tcW w:type="dxa" w:w="2375"/>
          </w:tcPr>
          <w:p>
            <w:r>
              <w:t xml:space="preserve">320,671,193</w:t>
            </w:r>
          </w:p>
        </w:tc>
      </w:tr>
      <w:tr>
        <w:tc>
          <w:tcPr>
            <w:tcW w:type="dxa" w:w="2375"/>
          </w:tcPr>
          <w:p>
            <w:r>
              <w:t xml:space="preserve">2017 Q1</w:t>
            </w:r>
          </w:p>
        </w:tc>
        <w:tc>
          <w:tcPr>
            <w:tcW w:type="dxa" w:w="2375"/>
          </w:tcPr>
          <w:p>
            <w:r>
              <w:t xml:space="preserve">115,801,146</w:t>
            </w:r>
          </w:p>
        </w:tc>
        <w:tc>
          <w:tcPr>
            <w:tcW w:type="dxa" w:w="2375"/>
          </w:tcPr>
          <w:p>
            <w:r>
              <w:t xml:space="preserve">427,651,000</w:t>
            </w:r>
          </w:p>
        </w:tc>
        <w:tc>
          <w:tcPr>
            <w:tcW w:type="dxa" w:w="2375"/>
          </w:tcPr>
          <w:p>
            <w:r>
              <w:t xml:space="preserve">305,867,859</w:t>
            </w:r>
          </w:p>
        </w:tc>
      </w:tr>
      <w:tr>
        <w:tc>
          <w:tcPr>
            <w:tcW w:type="dxa" w:w="2375"/>
          </w:tcPr>
          <w:p>
            <w:r>
              <w:t xml:space="preserve">2017 Q2</w:t>
            </w:r>
          </w:p>
        </w:tc>
        <w:tc>
          <w:tcPr>
            <w:tcW w:type="dxa" w:w="2375"/>
          </w:tcPr>
          <w:p>
            <w:r>
              <w:t xml:space="preserve">108,722,060</w:t>
            </w:r>
          </w:p>
        </w:tc>
        <w:tc>
          <w:tcPr>
            <w:tcW w:type="dxa" w:w="2375"/>
          </w:tcPr>
          <w:p>
            <w:r>
              <w:t xml:space="preserve">416,800,035</w:t>
            </w:r>
          </w:p>
        </w:tc>
        <w:tc>
          <w:tcPr>
            <w:tcW w:type="dxa" w:w="2375"/>
          </w:tcPr>
          <w:p>
            <w:r>
              <w:t xml:space="preserve">324,291,581</w:t>
            </w:r>
          </w:p>
        </w:tc>
      </w:tr>
      <w:tr>
        <w:tc>
          <w:tcPr>
            <w:tcW w:type="dxa" w:w="2375"/>
          </w:tcPr>
          <w:p>
            <w:r>
              <w:t xml:space="preserve">2017 Q3</w:t>
            </w:r>
          </w:p>
        </w:tc>
        <w:tc>
          <w:tcPr>
            <w:tcW w:type="dxa" w:w="2375"/>
          </w:tcPr>
          <w:p>
            <w:r>
              <w:t xml:space="preserve">120,817,896</w:t>
            </w:r>
          </w:p>
        </w:tc>
        <w:tc>
          <w:tcPr>
            <w:tcW w:type="dxa" w:w="2375"/>
          </w:tcPr>
          <w:p>
            <w:r>
              <w:t xml:space="preserve">443,943,267</w:t>
            </w:r>
          </w:p>
        </w:tc>
        <w:tc>
          <w:tcPr>
            <w:tcW w:type="dxa" w:w="2375"/>
          </w:tcPr>
          <w:p>
            <w:r>
              <w:t xml:space="preserve">323,332,576</w:t>
            </w:r>
          </w:p>
        </w:tc>
      </w:tr>
      <w:tr>
        <w:tc>
          <w:tcPr>
            <w:tcW w:type="dxa" w:w="2375"/>
          </w:tcPr>
          <w:p>
            <w:r>
              <w:t xml:space="preserve">2017 Q4</w:t>
            </w:r>
          </w:p>
        </w:tc>
        <w:tc>
          <w:tcPr>
            <w:tcW w:type="dxa" w:w="2375"/>
          </w:tcPr>
          <w:p>
            <w:r>
              <w:t xml:space="preserve">114,173,843</w:t>
            </w:r>
          </w:p>
        </w:tc>
        <w:tc>
          <w:tcPr>
            <w:tcW w:type="dxa" w:w="2375"/>
          </w:tcPr>
          <w:p>
            <w:r>
              <w:t xml:space="preserve">454,576,808</w:t>
            </w:r>
          </w:p>
        </w:tc>
        <w:tc>
          <w:tcPr>
            <w:tcW w:type="dxa" w:w="2375"/>
          </w:tcPr>
          <w:p>
            <w:r>
              <w:t xml:space="preserve">313,956,811</w:t>
            </w:r>
          </w:p>
        </w:tc>
      </w:tr>
      <w:tr>
        <w:tc>
          <w:tcPr>
            <w:tcW w:type="dxa" w:w="2375"/>
          </w:tcPr>
          <w:p>
            <w:r>
              <w:t xml:space="preserve">2018 Q1</w:t>
            </w:r>
          </w:p>
        </w:tc>
        <w:tc>
          <w:tcPr>
            <w:tcW w:type="dxa" w:w="2375"/>
          </w:tcPr>
          <w:p>
            <w:r>
              <w:t xml:space="preserve">120,102,268</w:t>
            </w:r>
          </w:p>
        </w:tc>
        <w:tc>
          <w:tcPr>
            <w:tcW w:type="dxa" w:w="2375"/>
          </w:tcPr>
          <w:p>
            <w:r>
              <w:t xml:space="preserve">460,875,438</w:t>
            </w:r>
          </w:p>
        </w:tc>
        <w:tc>
          <w:tcPr>
            <w:tcW w:type="dxa" w:w="2375"/>
          </w:tcPr>
          <w:p>
            <w:r>
              <w:t xml:space="preserve">331,356,790</w:t>
            </w:r>
          </w:p>
        </w:tc>
      </w:tr>
      <w:tr>
        <w:tc>
          <w:tcPr>
            <w:tcW w:type="dxa" w:w="2375"/>
          </w:tcPr>
          <w:p>
            <w:r>
              <w:t xml:space="preserve">2018 Q2</w:t>
            </w:r>
          </w:p>
        </w:tc>
        <w:tc>
          <w:tcPr>
            <w:tcW w:type="dxa" w:w="2375"/>
          </w:tcPr>
          <w:p>
            <w:r>
              <w:t xml:space="preserve">106,321,090</w:t>
            </w:r>
          </w:p>
        </w:tc>
        <w:tc>
          <w:tcPr>
            <w:tcW w:type="dxa" w:w="2375"/>
          </w:tcPr>
          <w:p>
            <w:r>
              <w:t xml:space="preserve">442,558,679</w:t>
            </w:r>
          </w:p>
        </w:tc>
        <w:tc>
          <w:tcPr>
            <w:tcW w:type="dxa" w:w="2375"/>
          </w:tcPr>
          <w:p>
            <w:r>
              <w:t xml:space="preserve">321,135,663</w:t>
            </w:r>
          </w:p>
        </w:tc>
      </w:tr>
      <w:tr>
        <w:tc>
          <w:tcPr>
            <w:tcW w:type="dxa" w:w="2375"/>
          </w:tcPr>
          <w:p>
            <w:r>
              <w:t xml:space="preserve">2018 Q3</w:t>
            </w:r>
          </w:p>
        </w:tc>
        <w:tc>
          <w:tcPr>
            <w:tcW w:type="dxa" w:w="2375"/>
          </w:tcPr>
          <w:p>
            <w:r>
              <w:t xml:space="preserve">120,104,053</w:t>
            </w:r>
          </w:p>
        </w:tc>
        <w:tc>
          <w:tcPr>
            <w:tcW w:type="dxa" w:w="2375"/>
          </w:tcPr>
          <w:p>
            <w:r>
              <w:t xml:space="preserve">450,445,898</w:t>
            </w:r>
          </w:p>
        </w:tc>
        <w:tc>
          <w:tcPr>
            <w:tcW w:type="dxa" w:w="2375"/>
          </w:tcPr>
          <w:p>
            <w:r>
              <w:t xml:space="preserve">325,741,157</w:t>
            </w:r>
          </w:p>
        </w:tc>
      </w:tr>
      <w:tr>
        <w:tc>
          <w:tcPr>
            <w:tcW w:type="dxa" w:w="2375"/>
          </w:tcPr>
          <w:p>
            <w:r>
              <w:t xml:space="preserve">2018 Q4</w:t>
            </w:r>
          </w:p>
        </w:tc>
        <w:tc>
          <w:tcPr>
            <w:tcW w:type="dxa" w:w="2375"/>
          </w:tcPr>
          <w:p>
            <w:r>
              <w:t xml:space="preserve">116,356,882</w:t>
            </w:r>
          </w:p>
        </w:tc>
        <w:tc>
          <w:tcPr>
            <w:tcW w:type="dxa" w:w="2375"/>
          </w:tcPr>
          <w:p>
            <w:r>
              <w:t xml:space="preserve">478,618,020</w:t>
            </w:r>
          </w:p>
        </w:tc>
        <w:tc>
          <w:tcPr>
            <w:tcW w:type="dxa" w:w="2375"/>
          </w:tcPr>
          <w:p>
            <w:r>
              <w:t xml:space="preserve">316,956,571</w:t>
            </w:r>
          </w:p>
        </w:tc>
      </w:tr>
    </w:tbl>
    <w:p/>
    <w:p>
      <w:pPr>
        <w:pStyle w:val="Heading3"/>
        <w:spacing w:after="120" w:before="240"/>
      </w:pPr>
      <w:r>
        <w:t xml:space="preserve">How the 2019 figures are forecast</w:t>
      </w:r>
    </w:p>
    <w:p>
      <w:r>
        <w:t xml:space="preserve">Safetylife has no 2019 data yet — the Board is voting before the year starts. The only defensible way to answer "what would 2019 look like with no changes" is to project the 12 known quarters above forward. This case's method: fit a least-squares line to each age class's 12 quarters of exposure and 12 quarters of claims amount, then extend that line through 2019 Q1–Q4 and sum the four projected quarters into an annual 2019 figure.</w:t>
      </w:r>
    </w:p>
    <w:p>
      <w:pPr>
        <w:pStyle w:val="Heading2"/>
        <w:spacing w:after="120" w:before="240"/>
      </w:pPr>
      <w:r>
        <w:t xml:space="preserve">Modeling Assumptions</w:t>
      </w:r>
    </w:p>
    <w:p>
      <w:pPr>
        <w:ind w:left="480"/>
      </w:pPr>
      <w:r>
        <w:t xml:space="preserve">These figures are </w:t>
      </w:r>
      <w:r>
        <w:rPr>
          <w:b/>
          <w:bCs/>
        </w:rPr>
        <w:t xml:space="preserve">not sourced from real Carbosian data</w:t>
      </w:r>
      <w:r>
        <w:t xml:space="preserve"> — Carbosia and Safetylife are fictional. But the </w:t>
      </w:r>
      <w:r>
        <w:rPr>
          <w:i/>
          <w:iCs/>
        </w:rPr>
        <w:t xml:space="preserve">method</w:t>
      </w:r>
      <w:r>
        <w:t xml:space="preserve"> used to turn Safetylife's own 3 years of history into a 2019 forecast is a real modeling choice this case makes in the open, not a fact anyone can look up.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c>
          <w:tcPr>
            <w:tcW w:type="dxa" w:w="1900"/>
            <w:shd w:fill="DDDDDD" w:val="clear"/>
          </w:tcPr>
          <w:p>
            <w:r>
              <w:t xml:space="preserve">#</w:t>
            </w:r>
          </w:p>
        </w:tc>
        <w:tc>
          <w:tcPr>
            <w:tcW w:type="dxa" w:w="1900"/>
            <w:shd w:fill="DDDDDD" w:val="clear"/>
          </w:tcPr>
          <w:p>
            <w:r>
              <w:t xml:space="preserve">Assumption</w:t>
            </w:r>
          </w:p>
        </w:tc>
        <w:tc>
          <w:tcPr>
            <w:tcW w:type="dxa" w:w="1900"/>
            <w:shd w:fill="DDDDDD" w:val="clear"/>
          </w:tcPr>
          <w:p>
            <w:r>
              <w:t xml:space="preserve">Value used</w:t>
            </w:r>
          </w:p>
        </w:tc>
        <w:tc>
          <w:tcPr>
            <w:tcW w:type="dxa" w:w="1900"/>
            <w:shd w:fill="DDDDDD" w:val="clear"/>
          </w:tcPr>
          <w:p>
            <w:r>
              <w:t xml:space="preserve">Basis</w:t>
            </w:r>
          </w:p>
        </w:tc>
        <w:tc>
          <w:tcPr>
            <w:tcW w:type="dxa" w:w="1900"/>
            <w:shd w:fill="DDDDDD" w:val="clear"/>
          </w:tcPr>
          <w:p>
            <w:r>
              <w:t xml:space="preserve">Sensitivity</w:t>
            </w:r>
          </w:p>
        </w:tc>
      </w:tr>
      <w:tr>
        <w:tc>
          <w:tcPr>
            <w:tcW w:type="dxa" w:w="1900"/>
          </w:tcPr>
          <w:p>
            <w:r>
              <w:t xml:space="preserve">MA1</w:t>
            </w:r>
          </w:p>
        </w:tc>
        <w:tc>
          <w:tcPr>
            <w:tcW w:type="dxa" w:w="1900"/>
          </w:tcPr>
          <w:p>
            <w:r>
              <w:t xml:space="preserve">The 2016–2018 quarterly trend (fitted by least-squares regression) continues unchanged into 2019, for every driver-age class.</w:t>
            </w:r>
          </w:p>
        </w:tc>
        <w:tc>
          <w:tcPr>
            <w:tcW w:type="dxa" w:w="1900"/>
          </w:tcPr>
          <w:p>
            <w:r>
              <w:rPr>
                <w:rFonts w:ascii="Courier New" w:cs="Courier New" w:eastAsia="Courier New" w:hAnsi="Courier New"/>
              </w:rPr>
              <w:t xml:space="preserve">trend_continuation = 1.0</w:t>
            </w:r>
            <w:r>
              <w:t xml:space="preserve"> (full observed trend)</w:t>
            </w:r>
          </w:p>
        </w:tc>
        <w:tc>
          <w:tcPr>
            <w:tcW w:type="dxa" w:w="1900"/>
          </w:tcPr>
          <w:p>
            <w:r>
              <w:t xml:space="preserve">Standard actuarial trending practice absent any signal of a rate change, a new regulation, or a shift in underwriting standards for 2019 — none of which Safetylife has announced.</w:t>
            </w:r>
          </w:p>
        </w:tc>
        <w:tc>
          <w:tcPr>
            <w:tcW w:type="dxa" w:w="1900"/>
          </w:tcPr>
          <w:p>
            <w:r>
              <w:t xml:space="preserve">The answer is sensitive to how far this assumption is trusted; see </w:t>
            </w:r>
            <w:r>
              <w:rPr>
                <w:rFonts w:ascii="Courier New" w:cs="Courier New" w:eastAsia="Courier New" w:hAnsi="Courier New"/>
              </w:rPr>
              <w:t xml:space="preserve">cases/insurance-actuary/sensitivity_model.py</w:t>
            </w:r>
            <w:r>
              <w:t xml:space="preserve"> for the flexed range this case tested.</w:t>
            </w:r>
          </w:p>
        </w:tc>
      </w:tr>
    </w:tbl>
    <w:p/>
    <w:p>
      <w:pPr>
        <w:pStyle w:val="Heading2"/>
        <w:spacing w:after="120" w:before="240"/>
      </w:pPr>
      <w:r>
        <w:t xml:space="preserve">Appendix B — Full 27 Risk-Class Breakdown, 2016–2018 Combined</w:t>
      </w:r>
    </w:p>
    <w:p>
      <w:r>
        <w:t xml:space="preserve">Every Vehicle-Size × Driver-Age × Driver-Risk combination, summed across all 12 quarters and all 5 coverages. This is Safetylife's complete book — more detail than any single deliverable needs. Deciding which rows matter to your pitch, and which are noise once you've picked a side, is part of the 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57"/>
        <w:gridCol w:w="1357"/>
        <w:gridCol w:w="1357"/>
        <w:gridCol w:w="1357"/>
        <w:gridCol w:w="1357"/>
        <w:gridCol w:w="1357"/>
        <w:gridCol w:w="1357"/>
      </w:tblGrid>
      <w:tr>
        <w:tc>
          <w:tcPr>
            <w:tcW w:type="dxa" w:w="1357"/>
            <w:shd w:fill="DDDDDD" w:val="clear"/>
          </w:tcPr>
          <w:p>
            <w:r>
              <w:t xml:space="preserve">Risk Class</w:t>
            </w:r>
          </w:p>
        </w:tc>
        <w:tc>
          <w:tcPr>
            <w:tcW w:type="dxa" w:w="1357"/>
            <w:shd w:fill="DDDDDD" w:val="clear"/>
          </w:tcPr>
          <w:p>
            <w:r>
              <w:t xml:space="preserve">Vehicle Size</w:t>
            </w:r>
          </w:p>
        </w:tc>
        <w:tc>
          <w:tcPr>
            <w:tcW w:type="dxa" w:w="1357"/>
            <w:shd w:fill="DDDDDD" w:val="clear"/>
          </w:tcPr>
          <w:p>
            <w:r>
              <w:t xml:space="preserve">Driver Age</w:t>
            </w:r>
          </w:p>
        </w:tc>
        <w:tc>
          <w:tcPr>
            <w:tcW w:type="dxa" w:w="1357"/>
            <w:shd w:fill="DDDDDD" w:val="clear"/>
          </w:tcPr>
          <w:p>
            <w:r>
              <w:t xml:space="preserve">Driver Risk</w:t>
            </w:r>
          </w:p>
        </w:tc>
        <w:tc>
          <w:tcPr>
            <w:tcW w:type="dxa" w:w="1357"/>
            <w:shd w:fill="DDDDDD" w:val="clear"/>
          </w:tcPr>
          <w:p>
            <w:r>
              <w:t xml:space="preserve">Car-Years Exposure</w:t>
            </w:r>
          </w:p>
        </w:tc>
        <w:tc>
          <w:tcPr>
            <w:tcW w:type="dxa" w:w="1357"/>
            <w:shd w:fill="DDDDDD" w:val="clear"/>
          </w:tcPr>
          <w:p>
            <w:r>
              <w:t xml:space="preserve">Total Claims (Ĉ)</w:t>
            </w:r>
          </w:p>
        </w:tc>
        <w:tc>
          <w:tcPr>
            <w:tcW w:type="dxa" w:w="1357"/>
            <w:shd w:fill="DDDDDD" w:val="clear"/>
          </w:tcPr>
          <w:p>
            <w:r>
              <w:t xml:space="preserve">Rate (Ĉ/vehicle)</w:t>
            </w:r>
          </w:p>
        </w:tc>
      </w:tr>
      <w:tr>
        <w:tc>
          <w:tcPr>
            <w:tcW w:type="dxa" w:w="1357"/>
          </w:tcPr>
          <w:p>
            <w:r>
              <w:t xml:space="preserve">LSH</w:t>
            </w:r>
          </w:p>
        </w:tc>
        <w:tc>
          <w:tcPr>
            <w:tcW w:type="dxa" w:w="1357"/>
          </w:tcPr>
          <w:p>
            <w:r>
              <w:t xml:space="preserve">Large</w:t>
            </w:r>
          </w:p>
        </w:tc>
        <w:tc>
          <w:tcPr>
            <w:tcW w:type="dxa" w:w="1357"/>
          </w:tcPr>
          <w:p>
            <w:r>
              <w:t xml:space="preserve">Senior</w:t>
            </w:r>
          </w:p>
        </w:tc>
        <w:tc>
          <w:tcPr>
            <w:tcW w:type="dxa" w:w="1357"/>
          </w:tcPr>
          <w:p>
            <w:r>
              <w:t xml:space="preserve">High</w:t>
            </w:r>
          </w:p>
        </w:tc>
        <w:tc>
          <w:tcPr>
            <w:tcW w:type="dxa" w:w="1357"/>
          </w:tcPr>
          <w:p>
            <w:r>
              <w:t xml:space="preserve">180,569</w:t>
            </w:r>
          </w:p>
        </w:tc>
        <w:tc>
          <w:tcPr>
            <w:tcW w:type="dxa" w:w="1357"/>
          </w:tcPr>
          <w:p>
            <w:r>
              <w:t xml:space="preserve">526,552,918</w:t>
            </w:r>
          </w:p>
        </w:tc>
        <w:tc>
          <w:tcPr>
            <w:tcW w:type="dxa" w:w="1357"/>
          </w:tcPr>
          <w:p>
            <w:r>
              <w:t xml:space="preserve">2,916.08</w:t>
            </w:r>
          </w:p>
        </w:tc>
      </w:tr>
      <w:tr>
        <w:tc>
          <w:tcPr>
            <w:tcW w:type="dxa" w:w="1357"/>
          </w:tcPr>
          <w:p>
            <w:r>
              <w:t xml:space="preserve">SSH</w:t>
            </w:r>
          </w:p>
        </w:tc>
        <w:tc>
          <w:tcPr>
            <w:tcW w:type="dxa" w:w="1357"/>
          </w:tcPr>
          <w:p>
            <w:r>
              <w:t xml:space="preserve">Small</w:t>
            </w:r>
          </w:p>
        </w:tc>
        <w:tc>
          <w:tcPr>
            <w:tcW w:type="dxa" w:w="1357"/>
          </w:tcPr>
          <w:p>
            <w:r>
              <w:t xml:space="preserve">Senior</w:t>
            </w:r>
          </w:p>
        </w:tc>
        <w:tc>
          <w:tcPr>
            <w:tcW w:type="dxa" w:w="1357"/>
          </w:tcPr>
          <w:p>
            <w:r>
              <w:t xml:space="preserve">High</w:t>
            </w:r>
          </w:p>
        </w:tc>
        <w:tc>
          <w:tcPr>
            <w:tcW w:type="dxa" w:w="1357"/>
          </w:tcPr>
          <w:p>
            <w:r>
              <w:t xml:space="preserve">211,325</w:t>
            </w:r>
          </w:p>
        </w:tc>
        <w:tc>
          <w:tcPr>
            <w:tcW w:type="dxa" w:w="1357"/>
          </w:tcPr>
          <w:p>
            <w:r>
              <w:t xml:space="preserve">584,925,028</w:t>
            </w:r>
          </w:p>
        </w:tc>
        <w:tc>
          <w:tcPr>
            <w:tcW w:type="dxa" w:w="1357"/>
          </w:tcPr>
          <w:p>
            <w:r>
              <w:t xml:space="preserve">2,767.89</w:t>
            </w:r>
          </w:p>
        </w:tc>
      </w:tr>
      <w:tr>
        <w:tc>
          <w:tcPr>
            <w:tcW w:type="dxa" w:w="1357"/>
          </w:tcPr>
          <w:p>
            <w:r>
              <w:t xml:space="preserve">SMH</w:t>
            </w:r>
          </w:p>
        </w:tc>
        <w:tc>
          <w:tcPr>
            <w:tcW w:type="dxa" w:w="1357"/>
          </w:tcPr>
          <w:p>
            <w:r>
              <w:t xml:space="preserve">Small</w:t>
            </w:r>
          </w:p>
        </w:tc>
        <w:tc>
          <w:tcPr>
            <w:tcW w:type="dxa" w:w="1357"/>
          </w:tcPr>
          <w:p>
            <w:r>
              <w:t xml:space="preserve">Middle-aged</w:t>
            </w:r>
          </w:p>
        </w:tc>
        <w:tc>
          <w:tcPr>
            <w:tcW w:type="dxa" w:w="1357"/>
          </w:tcPr>
          <w:p>
            <w:r>
              <w:t xml:space="preserve">High</w:t>
            </w:r>
          </w:p>
        </w:tc>
        <w:tc>
          <w:tcPr>
            <w:tcW w:type="dxa" w:w="1357"/>
          </w:tcPr>
          <w:p>
            <w:r>
              <w:t xml:space="preserve">182,630</w:t>
            </w:r>
          </w:p>
        </w:tc>
        <w:tc>
          <w:tcPr>
            <w:tcW w:type="dxa" w:w="1357"/>
          </w:tcPr>
          <w:p>
            <w:r>
              <w:t xml:space="preserve">475,881,355</w:t>
            </w:r>
          </w:p>
        </w:tc>
        <w:tc>
          <w:tcPr>
            <w:tcW w:type="dxa" w:w="1357"/>
          </w:tcPr>
          <w:p>
            <w:r>
              <w:t xml:space="preserve">2,605.71</w:t>
            </w:r>
          </w:p>
        </w:tc>
      </w:tr>
      <w:tr>
        <w:tc>
          <w:tcPr>
            <w:tcW w:type="dxa" w:w="1357"/>
          </w:tcPr>
          <w:p>
            <w:r>
              <w:t xml:space="preserve">LMH</w:t>
            </w:r>
          </w:p>
        </w:tc>
        <w:tc>
          <w:tcPr>
            <w:tcW w:type="dxa" w:w="1357"/>
          </w:tcPr>
          <w:p>
            <w:r>
              <w:t xml:space="preserve">Large</w:t>
            </w:r>
          </w:p>
        </w:tc>
        <w:tc>
          <w:tcPr>
            <w:tcW w:type="dxa" w:w="1357"/>
          </w:tcPr>
          <w:p>
            <w:r>
              <w:t xml:space="preserve">Middle-aged</w:t>
            </w:r>
          </w:p>
        </w:tc>
        <w:tc>
          <w:tcPr>
            <w:tcW w:type="dxa" w:w="1357"/>
          </w:tcPr>
          <w:p>
            <w:r>
              <w:t xml:space="preserve">High</w:t>
            </w:r>
          </w:p>
        </w:tc>
        <w:tc>
          <w:tcPr>
            <w:tcW w:type="dxa" w:w="1357"/>
          </w:tcPr>
          <w:p>
            <w:r>
              <w:t xml:space="preserve">257,479</w:t>
            </w:r>
          </w:p>
        </w:tc>
        <w:tc>
          <w:tcPr>
            <w:tcW w:type="dxa" w:w="1357"/>
          </w:tcPr>
          <w:p>
            <w:r>
              <w:t xml:space="preserve">661,015,251</w:t>
            </w:r>
          </w:p>
        </w:tc>
        <w:tc>
          <w:tcPr>
            <w:tcW w:type="dxa" w:w="1357"/>
          </w:tcPr>
          <w:p>
            <w:r>
              <w:t xml:space="preserve">2,567.26</w:t>
            </w:r>
          </w:p>
        </w:tc>
      </w:tr>
      <w:tr>
        <w:tc>
          <w:tcPr>
            <w:tcW w:type="dxa" w:w="1357"/>
          </w:tcPr>
          <w:p>
            <w:r>
              <w:t xml:space="preserve">LYA</w:t>
            </w:r>
          </w:p>
        </w:tc>
        <w:tc>
          <w:tcPr>
            <w:tcW w:type="dxa" w:w="1357"/>
          </w:tcPr>
          <w:p>
            <w:r>
              <w:t xml:space="preserve">Large</w:t>
            </w:r>
          </w:p>
        </w:tc>
        <w:tc>
          <w:tcPr>
            <w:tcW w:type="dxa" w:w="1357"/>
          </w:tcPr>
          <w:p>
            <w:r>
              <w:t xml:space="preserve">Young</w:t>
            </w:r>
          </w:p>
        </w:tc>
        <w:tc>
          <w:tcPr>
            <w:tcW w:type="dxa" w:w="1357"/>
          </w:tcPr>
          <w:p>
            <w:r>
              <w:t xml:space="preserve">Average</w:t>
            </w:r>
          </w:p>
        </w:tc>
        <w:tc>
          <w:tcPr>
            <w:tcW w:type="dxa" w:w="1357"/>
          </w:tcPr>
          <w:p>
            <w:r>
              <w:t xml:space="preserve">82,987</w:t>
            </w:r>
          </w:p>
        </w:tc>
        <w:tc>
          <w:tcPr>
            <w:tcW w:type="dxa" w:w="1357"/>
          </w:tcPr>
          <w:p>
            <w:r>
              <w:t xml:space="preserve">195,946,935</w:t>
            </w:r>
          </w:p>
        </w:tc>
        <w:tc>
          <w:tcPr>
            <w:tcW w:type="dxa" w:w="1357"/>
          </w:tcPr>
          <w:p>
            <w:r>
              <w:t xml:space="preserve">2,361.18</w:t>
            </w:r>
          </w:p>
        </w:tc>
      </w:tr>
      <w:tr>
        <w:tc>
          <w:tcPr>
            <w:tcW w:type="dxa" w:w="1357"/>
          </w:tcPr>
          <w:p>
            <w:r>
              <w:t xml:space="preserve">SYH</w:t>
            </w:r>
          </w:p>
        </w:tc>
        <w:tc>
          <w:tcPr>
            <w:tcW w:type="dxa" w:w="1357"/>
          </w:tcPr>
          <w:p>
            <w:r>
              <w:t xml:space="preserve">Small</w:t>
            </w:r>
          </w:p>
        </w:tc>
        <w:tc>
          <w:tcPr>
            <w:tcW w:type="dxa" w:w="1357"/>
          </w:tcPr>
          <w:p>
            <w:r>
              <w:t xml:space="preserve">Young</w:t>
            </w:r>
          </w:p>
        </w:tc>
        <w:tc>
          <w:tcPr>
            <w:tcW w:type="dxa" w:w="1357"/>
          </w:tcPr>
          <w:p>
            <w:r>
              <w:t xml:space="preserve">High</w:t>
            </w:r>
          </w:p>
        </w:tc>
        <w:tc>
          <w:tcPr>
            <w:tcW w:type="dxa" w:w="1357"/>
          </w:tcPr>
          <w:p>
            <w:r>
              <w:t xml:space="preserve">94,277</w:t>
            </w:r>
          </w:p>
        </w:tc>
        <w:tc>
          <w:tcPr>
            <w:tcW w:type="dxa" w:w="1357"/>
          </w:tcPr>
          <w:p>
            <w:r>
              <w:t xml:space="preserve">220,757,346</w:t>
            </w:r>
          </w:p>
        </w:tc>
        <w:tc>
          <w:tcPr>
            <w:tcW w:type="dxa" w:w="1357"/>
          </w:tcPr>
          <w:p>
            <w:r>
              <w:t xml:space="preserve">2,341.58</w:t>
            </w:r>
          </w:p>
        </w:tc>
      </w:tr>
      <w:tr>
        <w:tc>
          <w:tcPr>
            <w:tcW w:type="dxa" w:w="1357"/>
          </w:tcPr>
          <w:p>
            <w:r>
              <w:t xml:space="preserve">SYA</w:t>
            </w:r>
          </w:p>
        </w:tc>
        <w:tc>
          <w:tcPr>
            <w:tcW w:type="dxa" w:w="1357"/>
          </w:tcPr>
          <w:p>
            <w:r>
              <w:t xml:space="preserve">Small</w:t>
            </w:r>
          </w:p>
        </w:tc>
        <w:tc>
          <w:tcPr>
            <w:tcW w:type="dxa" w:w="1357"/>
          </w:tcPr>
          <w:p>
            <w:r>
              <w:t xml:space="preserve">Young</w:t>
            </w:r>
          </w:p>
        </w:tc>
        <w:tc>
          <w:tcPr>
            <w:tcW w:type="dxa" w:w="1357"/>
          </w:tcPr>
          <w:p>
            <w:r>
              <w:t xml:space="preserve">Average</w:t>
            </w:r>
          </w:p>
        </w:tc>
        <w:tc>
          <w:tcPr>
            <w:tcW w:type="dxa" w:w="1357"/>
          </w:tcPr>
          <w:p>
            <w:r>
              <w:t xml:space="preserve">96,508</w:t>
            </w:r>
          </w:p>
        </w:tc>
        <w:tc>
          <w:tcPr>
            <w:tcW w:type="dxa" w:w="1357"/>
          </w:tcPr>
          <w:p>
            <w:r>
              <w:t xml:space="preserve">216,160,406</w:t>
            </w:r>
          </w:p>
        </w:tc>
        <w:tc>
          <w:tcPr>
            <w:tcW w:type="dxa" w:w="1357"/>
          </w:tcPr>
          <w:p>
            <w:r>
              <w:t xml:space="preserve">2,239.82</w:t>
            </w:r>
          </w:p>
        </w:tc>
      </w:tr>
      <w:tr>
        <w:tc>
          <w:tcPr>
            <w:tcW w:type="dxa" w:w="1357"/>
          </w:tcPr>
          <w:p>
            <w:r>
              <w:t xml:space="preserve">LYH</w:t>
            </w:r>
          </w:p>
        </w:tc>
        <w:tc>
          <w:tcPr>
            <w:tcW w:type="dxa" w:w="1357"/>
          </w:tcPr>
          <w:p>
            <w:r>
              <w:t xml:space="preserve">Large</w:t>
            </w:r>
          </w:p>
        </w:tc>
        <w:tc>
          <w:tcPr>
            <w:tcW w:type="dxa" w:w="1357"/>
          </w:tcPr>
          <w:p>
            <w:r>
              <w:t xml:space="preserve">Young</w:t>
            </w:r>
          </w:p>
        </w:tc>
        <w:tc>
          <w:tcPr>
            <w:tcW w:type="dxa" w:w="1357"/>
          </w:tcPr>
          <w:p>
            <w:r>
              <w:t xml:space="preserve">High</w:t>
            </w:r>
          </w:p>
        </w:tc>
        <w:tc>
          <w:tcPr>
            <w:tcW w:type="dxa" w:w="1357"/>
          </w:tcPr>
          <w:p>
            <w:r>
              <w:t xml:space="preserve">61,496</w:t>
            </w:r>
          </w:p>
        </w:tc>
        <w:tc>
          <w:tcPr>
            <w:tcW w:type="dxa" w:w="1357"/>
          </w:tcPr>
          <w:p>
            <w:r>
              <w:t xml:space="preserve">134,638,782</w:t>
            </w:r>
          </w:p>
        </w:tc>
        <w:tc>
          <w:tcPr>
            <w:tcW w:type="dxa" w:w="1357"/>
          </w:tcPr>
          <w:p>
            <w:r>
              <w:t xml:space="preserve">2,189.39</w:t>
            </w:r>
          </w:p>
        </w:tc>
      </w:tr>
      <w:tr>
        <w:tc>
          <w:tcPr>
            <w:tcW w:type="dxa" w:w="1357"/>
          </w:tcPr>
          <w:p>
            <w:r>
              <w:t xml:space="preserve">MMA</w:t>
            </w:r>
          </w:p>
        </w:tc>
        <w:tc>
          <w:tcPr>
            <w:tcW w:type="dxa" w:w="1357"/>
          </w:tcPr>
          <w:p>
            <w:r>
              <w:t xml:space="preserve">Medium</w:t>
            </w:r>
          </w:p>
        </w:tc>
        <w:tc>
          <w:tcPr>
            <w:tcW w:type="dxa" w:w="1357"/>
          </w:tcPr>
          <w:p>
            <w:r>
              <w:t xml:space="preserve">Middle-aged</w:t>
            </w:r>
          </w:p>
        </w:tc>
        <w:tc>
          <w:tcPr>
            <w:tcW w:type="dxa" w:w="1357"/>
          </w:tcPr>
          <w:p>
            <w:r>
              <w:t xml:space="preserve">Average</w:t>
            </w:r>
          </w:p>
        </w:tc>
        <w:tc>
          <w:tcPr>
            <w:tcW w:type="dxa" w:w="1357"/>
          </w:tcPr>
          <w:p>
            <w:r>
              <w:t xml:space="preserve">568,456</w:t>
            </w:r>
          </w:p>
        </w:tc>
        <w:tc>
          <w:tcPr>
            <w:tcW w:type="dxa" w:w="1357"/>
          </w:tcPr>
          <w:p>
            <w:r>
              <w:t xml:space="preserve">1,241,701,421</w:t>
            </w:r>
          </w:p>
        </w:tc>
        <w:tc>
          <w:tcPr>
            <w:tcW w:type="dxa" w:w="1357"/>
          </w:tcPr>
          <w:p>
            <w:r>
              <w:t xml:space="preserve">2,184.34</w:t>
            </w:r>
          </w:p>
        </w:tc>
      </w:tr>
      <w:tr>
        <w:tc>
          <w:tcPr>
            <w:tcW w:type="dxa" w:w="1357"/>
          </w:tcPr>
          <w:p>
            <w:r>
              <w:t xml:space="preserve">MMH</w:t>
            </w:r>
          </w:p>
        </w:tc>
        <w:tc>
          <w:tcPr>
            <w:tcW w:type="dxa" w:w="1357"/>
          </w:tcPr>
          <w:p>
            <w:r>
              <w:t xml:space="preserve">Medium</w:t>
            </w:r>
          </w:p>
        </w:tc>
        <w:tc>
          <w:tcPr>
            <w:tcW w:type="dxa" w:w="1357"/>
          </w:tcPr>
          <w:p>
            <w:r>
              <w:t xml:space="preserve">Middle-aged</w:t>
            </w:r>
          </w:p>
        </w:tc>
        <w:tc>
          <w:tcPr>
            <w:tcW w:type="dxa" w:w="1357"/>
          </w:tcPr>
          <w:p>
            <w:r>
              <w:t xml:space="preserve">High</w:t>
            </w:r>
          </w:p>
        </w:tc>
        <w:tc>
          <w:tcPr>
            <w:tcW w:type="dxa" w:w="1357"/>
          </w:tcPr>
          <w:p>
            <w:r>
              <w:t xml:space="preserve">328,867</w:t>
            </w:r>
          </w:p>
        </w:tc>
        <w:tc>
          <w:tcPr>
            <w:tcW w:type="dxa" w:w="1357"/>
          </w:tcPr>
          <w:p>
            <w:r>
              <w:t xml:space="preserve">716,955,201</w:t>
            </w:r>
          </w:p>
        </w:tc>
        <w:tc>
          <w:tcPr>
            <w:tcW w:type="dxa" w:w="1357"/>
          </w:tcPr>
          <w:p>
            <w:r>
              <w:t xml:space="preserve">2,180.08</w:t>
            </w:r>
          </w:p>
        </w:tc>
      </w:tr>
      <w:tr>
        <w:tc>
          <w:tcPr>
            <w:tcW w:type="dxa" w:w="1357"/>
          </w:tcPr>
          <w:p>
            <w:r>
              <w:t xml:space="preserve">MSH</w:t>
            </w:r>
          </w:p>
        </w:tc>
        <w:tc>
          <w:tcPr>
            <w:tcW w:type="dxa" w:w="1357"/>
          </w:tcPr>
          <w:p>
            <w:r>
              <w:t xml:space="preserve">Medium</w:t>
            </w:r>
          </w:p>
        </w:tc>
        <w:tc>
          <w:tcPr>
            <w:tcW w:type="dxa" w:w="1357"/>
          </w:tcPr>
          <w:p>
            <w:r>
              <w:t xml:space="preserve">Senior</w:t>
            </w:r>
          </w:p>
        </w:tc>
        <w:tc>
          <w:tcPr>
            <w:tcW w:type="dxa" w:w="1357"/>
          </w:tcPr>
          <w:p>
            <w:r>
              <w:t xml:space="preserve">High</w:t>
            </w:r>
          </w:p>
        </w:tc>
        <w:tc>
          <w:tcPr>
            <w:tcW w:type="dxa" w:w="1357"/>
          </w:tcPr>
          <w:p>
            <w:r>
              <w:t xml:space="preserve">240,345</w:t>
            </w:r>
          </w:p>
        </w:tc>
        <w:tc>
          <w:tcPr>
            <w:tcW w:type="dxa" w:w="1357"/>
          </w:tcPr>
          <w:p>
            <w:r>
              <w:t xml:space="preserve">513,672,047</w:t>
            </w:r>
          </w:p>
        </w:tc>
        <w:tc>
          <w:tcPr>
            <w:tcW w:type="dxa" w:w="1357"/>
          </w:tcPr>
          <w:p>
            <w:r>
              <w:t xml:space="preserve">2,137.23</w:t>
            </w:r>
          </w:p>
        </w:tc>
      </w:tr>
      <w:tr>
        <w:tc>
          <w:tcPr>
            <w:tcW w:type="dxa" w:w="1357"/>
          </w:tcPr>
          <w:p>
            <w:r>
              <w:t xml:space="preserve">SSA</w:t>
            </w:r>
          </w:p>
        </w:tc>
        <w:tc>
          <w:tcPr>
            <w:tcW w:type="dxa" w:w="1357"/>
          </w:tcPr>
          <w:p>
            <w:r>
              <w:t xml:space="preserve">Small</w:t>
            </w:r>
          </w:p>
        </w:tc>
        <w:tc>
          <w:tcPr>
            <w:tcW w:type="dxa" w:w="1357"/>
          </w:tcPr>
          <w:p>
            <w:r>
              <w:t xml:space="preserve">Senior</w:t>
            </w:r>
          </w:p>
        </w:tc>
        <w:tc>
          <w:tcPr>
            <w:tcW w:type="dxa" w:w="1357"/>
          </w:tcPr>
          <w:p>
            <w:r>
              <w:t xml:space="preserve">Average</w:t>
            </w:r>
          </w:p>
        </w:tc>
        <w:tc>
          <w:tcPr>
            <w:tcW w:type="dxa" w:w="1357"/>
          </w:tcPr>
          <w:p>
            <w:r>
              <w:t xml:space="preserve">120,332</w:t>
            </w:r>
          </w:p>
        </w:tc>
        <w:tc>
          <w:tcPr>
            <w:tcW w:type="dxa" w:w="1357"/>
          </w:tcPr>
          <w:p>
            <w:r>
              <w:t xml:space="preserve">250,698,345</w:t>
            </w:r>
          </w:p>
        </w:tc>
        <w:tc>
          <w:tcPr>
            <w:tcW w:type="dxa" w:w="1357"/>
          </w:tcPr>
          <w:p>
            <w:r>
              <w:t xml:space="preserve">2,083.39</w:t>
            </w:r>
          </w:p>
        </w:tc>
      </w:tr>
      <w:tr>
        <w:tc>
          <w:tcPr>
            <w:tcW w:type="dxa" w:w="1357"/>
          </w:tcPr>
          <w:p>
            <w:r>
              <w:t xml:space="preserve">MYH</w:t>
            </w:r>
          </w:p>
        </w:tc>
        <w:tc>
          <w:tcPr>
            <w:tcW w:type="dxa" w:w="1357"/>
          </w:tcPr>
          <w:p>
            <w:r>
              <w:t xml:space="preserve">Medium</w:t>
            </w:r>
          </w:p>
        </w:tc>
        <w:tc>
          <w:tcPr>
            <w:tcW w:type="dxa" w:w="1357"/>
          </w:tcPr>
          <w:p>
            <w:r>
              <w:t xml:space="preserve">Young</w:t>
            </w:r>
          </w:p>
        </w:tc>
        <w:tc>
          <w:tcPr>
            <w:tcW w:type="dxa" w:w="1357"/>
          </w:tcPr>
          <w:p>
            <w:r>
              <w:t xml:space="preserve">High</w:t>
            </w:r>
          </w:p>
        </w:tc>
        <w:tc>
          <w:tcPr>
            <w:tcW w:type="dxa" w:w="1357"/>
          </w:tcPr>
          <w:p>
            <w:r>
              <w:t xml:space="preserve">121,096</w:t>
            </w:r>
          </w:p>
        </w:tc>
        <w:tc>
          <w:tcPr>
            <w:tcW w:type="dxa" w:w="1357"/>
          </w:tcPr>
          <w:p>
            <w:r>
              <w:t xml:space="preserve">250,820,705</w:t>
            </w:r>
          </w:p>
        </w:tc>
        <w:tc>
          <w:tcPr>
            <w:tcW w:type="dxa" w:w="1357"/>
          </w:tcPr>
          <w:p>
            <w:r>
              <w:t xml:space="preserve">2,071.26</w:t>
            </w:r>
          </w:p>
        </w:tc>
      </w:tr>
      <w:tr>
        <w:tc>
          <w:tcPr>
            <w:tcW w:type="dxa" w:w="1357"/>
          </w:tcPr>
          <w:p>
            <w:r>
              <w:t xml:space="preserve">SSL</w:t>
            </w:r>
          </w:p>
        </w:tc>
        <w:tc>
          <w:tcPr>
            <w:tcW w:type="dxa" w:w="1357"/>
          </w:tcPr>
          <w:p>
            <w:r>
              <w:t xml:space="preserve">Small</w:t>
            </w:r>
          </w:p>
        </w:tc>
        <w:tc>
          <w:tcPr>
            <w:tcW w:type="dxa" w:w="1357"/>
          </w:tcPr>
          <w:p>
            <w:r>
              <w:t xml:space="preserve">Senior</w:t>
            </w:r>
          </w:p>
        </w:tc>
        <w:tc>
          <w:tcPr>
            <w:tcW w:type="dxa" w:w="1357"/>
          </w:tcPr>
          <w:p>
            <w:r>
              <w:t xml:space="preserve">Low</w:t>
            </w:r>
          </w:p>
        </w:tc>
        <w:tc>
          <w:tcPr>
            <w:tcW w:type="dxa" w:w="1357"/>
          </w:tcPr>
          <w:p>
            <w:r>
              <w:t xml:space="preserve">212,560</w:t>
            </w:r>
          </w:p>
        </w:tc>
        <w:tc>
          <w:tcPr>
            <w:tcW w:type="dxa" w:w="1357"/>
          </w:tcPr>
          <w:p>
            <w:r>
              <w:t xml:space="preserve">392,355,408</w:t>
            </w:r>
          </w:p>
        </w:tc>
        <w:tc>
          <w:tcPr>
            <w:tcW w:type="dxa" w:w="1357"/>
          </w:tcPr>
          <w:p>
            <w:r>
              <w:t xml:space="preserve">1,845.86</w:t>
            </w:r>
          </w:p>
        </w:tc>
      </w:tr>
      <w:tr>
        <w:tc>
          <w:tcPr>
            <w:tcW w:type="dxa" w:w="1357"/>
          </w:tcPr>
          <w:p>
            <w:r>
              <w:t xml:space="preserve">MYA</w:t>
            </w:r>
          </w:p>
        </w:tc>
        <w:tc>
          <w:tcPr>
            <w:tcW w:type="dxa" w:w="1357"/>
          </w:tcPr>
          <w:p>
            <w:r>
              <w:t xml:space="preserve">Medium</w:t>
            </w:r>
          </w:p>
        </w:tc>
        <w:tc>
          <w:tcPr>
            <w:tcW w:type="dxa" w:w="1357"/>
          </w:tcPr>
          <w:p>
            <w:r>
              <w:t xml:space="preserve">Young</w:t>
            </w:r>
          </w:p>
        </w:tc>
        <w:tc>
          <w:tcPr>
            <w:tcW w:type="dxa" w:w="1357"/>
          </w:tcPr>
          <w:p>
            <w:r>
              <w:t xml:space="preserve">Average</w:t>
            </w:r>
          </w:p>
        </w:tc>
        <w:tc>
          <w:tcPr>
            <w:tcW w:type="dxa" w:w="1357"/>
          </w:tcPr>
          <w:p>
            <w:r>
              <w:t xml:space="preserve">67,234</w:t>
            </w:r>
          </w:p>
        </w:tc>
        <w:tc>
          <w:tcPr>
            <w:tcW w:type="dxa" w:w="1357"/>
          </w:tcPr>
          <w:p>
            <w:r>
              <w:t xml:space="preserve">119,828,733</w:t>
            </w:r>
          </w:p>
        </w:tc>
        <w:tc>
          <w:tcPr>
            <w:tcW w:type="dxa" w:w="1357"/>
          </w:tcPr>
          <w:p>
            <w:r>
              <w:t xml:space="preserve">1,782.26</w:t>
            </w:r>
          </w:p>
        </w:tc>
      </w:tr>
      <w:tr>
        <w:tc>
          <w:tcPr>
            <w:tcW w:type="dxa" w:w="1357"/>
          </w:tcPr>
          <w:p>
            <w:r>
              <w:t xml:space="preserve">LYL</w:t>
            </w:r>
          </w:p>
        </w:tc>
        <w:tc>
          <w:tcPr>
            <w:tcW w:type="dxa" w:w="1357"/>
          </w:tcPr>
          <w:p>
            <w:r>
              <w:t xml:space="preserve">Large</w:t>
            </w:r>
          </w:p>
        </w:tc>
        <w:tc>
          <w:tcPr>
            <w:tcW w:type="dxa" w:w="1357"/>
          </w:tcPr>
          <w:p>
            <w:r>
              <w:t xml:space="preserve">Young</w:t>
            </w:r>
          </w:p>
        </w:tc>
        <w:tc>
          <w:tcPr>
            <w:tcW w:type="dxa" w:w="1357"/>
          </w:tcPr>
          <w:p>
            <w:r>
              <w:t xml:space="preserve">Low</w:t>
            </w:r>
          </w:p>
        </w:tc>
        <w:tc>
          <w:tcPr>
            <w:tcW w:type="dxa" w:w="1357"/>
          </w:tcPr>
          <w:p>
            <w:r>
              <w:t xml:space="preserve">53,255</w:t>
            </w:r>
          </w:p>
        </w:tc>
        <w:tc>
          <w:tcPr>
            <w:tcW w:type="dxa" w:w="1357"/>
          </w:tcPr>
          <w:p>
            <w:r>
              <w:t xml:space="preserve">92,200,648</w:t>
            </w:r>
          </w:p>
        </w:tc>
        <w:tc>
          <w:tcPr>
            <w:tcW w:type="dxa" w:w="1357"/>
          </w:tcPr>
          <w:p>
            <w:r>
              <w:t xml:space="preserve">1,731.31</w:t>
            </w:r>
          </w:p>
        </w:tc>
      </w:tr>
      <w:tr>
        <w:tc>
          <w:tcPr>
            <w:tcW w:type="dxa" w:w="1357"/>
          </w:tcPr>
          <w:p>
            <w:r>
              <w:t xml:space="preserve">MYL</w:t>
            </w:r>
          </w:p>
        </w:tc>
        <w:tc>
          <w:tcPr>
            <w:tcW w:type="dxa" w:w="1357"/>
          </w:tcPr>
          <w:p>
            <w:r>
              <w:t xml:space="preserve">Medium</w:t>
            </w:r>
          </w:p>
        </w:tc>
        <w:tc>
          <w:tcPr>
            <w:tcW w:type="dxa" w:w="1357"/>
          </w:tcPr>
          <w:p>
            <w:r>
              <w:t xml:space="preserve">Young</w:t>
            </w:r>
          </w:p>
        </w:tc>
        <w:tc>
          <w:tcPr>
            <w:tcW w:type="dxa" w:w="1357"/>
          </w:tcPr>
          <w:p>
            <w:r>
              <w:t xml:space="preserve">Low</w:t>
            </w:r>
          </w:p>
        </w:tc>
        <w:tc>
          <w:tcPr>
            <w:tcW w:type="dxa" w:w="1357"/>
          </w:tcPr>
          <w:p>
            <w:r>
              <w:t xml:space="preserve">42,526</w:t>
            </w:r>
          </w:p>
        </w:tc>
        <w:tc>
          <w:tcPr>
            <w:tcW w:type="dxa" w:w="1357"/>
          </w:tcPr>
          <w:p>
            <w:r>
              <w:t xml:space="preserve">72,503,921</w:t>
            </w:r>
          </w:p>
        </w:tc>
        <w:tc>
          <w:tcPr>
            <w:tcW w:type="dxa" w:w="1357"/>
          </w:tcPr>
          <w:p>
            <w:r>
              <w:t xml:space="preserve">1,704.93</w:t>
            </w:r>
          </w:p>
        </w:tc>
      </w:tr>
      <w:tr>
        <w:tc>
          <w:tcPr>
            <w:tcW w:type="dxa" w:w="1357"/>
          </w:tcPr>
          <w:p>
            <w:r>
              <w:t xml:space="preserve">MSA</w:t>
            </w:r>
          </w:p>
        </w:tc>
        <w:tc>
          <w:tcPr>
            <w:tcW w:type="dxa" w:w="1357"/>
          </w:tcPr>
          <w:p>
            <w:r>
              <w:t xml:space="preserve">Medium</w:t>
            </w:r>
          </w:p>
        </w:tc>
        <w:tc>
          <w:tcPr>
            <w:tcW w:type="dxa" w:w="1357"/>
          </w:tcPr>
          <w:p>
            <w:r>
              <w:t xml:space="preserve">Senior</w:t>
            </w:r>
          </w:p>
        </w:tc>
        <w:tc>
          <w:tcPr>
            <w:tcW w:type="dxa" w:w="1357"/>
          </w:tcPr>
          <w:p>
            <w:r>
              <w:t xml:space="preserve">Average</w:t>
            </w:r>
          </w:p>
        </w:tc>
        <w:tc>
          <w:tcPr>
            <w:tcW w:type="dxa" w:w="1357"/>
          </w:tcPr>
          <w:p>
            <w:r>
              <w:t xml:space="preserve">313,813</w:t>
            </w:r>
          </w:p>
        </w:tc>
        <w:tc>
          <w:tcPr>
            <w:tcW w:type="dxa" w:w="1357"/>
          </w:tcPr>
          <w:p>
            <w:r>
              <w:t xml:space="preserve">533,712,174</w:t>
            </w:r>
          </w:p>
        </w:tc>
        <w:tc>
          <w:tcPr>
            <w:tcW w:type="dxa" w:w="1357"/>
          </w:tcPr>
          <w:p>
            <w:r>
              <w:t xml:space="preserve">1,700.73</w:t>
            </w:r>
          </w:p>
        </w:tc>
      </w:tr>
      <w:tr>
        <w:tc>
          <w:tcPr>
            <w:tcW w:type="dxa" w:w="1357"/>
          </w:tcPr>
          <w:p>
            <w:r>
              <w:t xml:space="preserve">LSA</w:t>
            </w:r>
          </w:p>
        </w:tc>
        <w:tc>
          <w:tcPr>
            <w:tcW w:type="dxa" w:w="1357"/>
          </w:tcPr>
          <w:p>
            <w:r>
              <w:t xml:space="preserve">Large</w:t>
            </w:r>
          </w:p>
        </w:tc>
        <w:tc>
          <w:tcPr>
            <w:tcW w:type="dxa" w:w="1357"/>
          </w:tcPr>
          <w:p>
            <w:r>
              <w:t xml:space="preserve">Senior</w:t>
            </w:r>
          </w:p>
        </w:tc>
        <w:tc>
          <w:tcPr>
            <w:tcW w:type="dxa" w:w="1357"/>
          </w:tcPr>
          <w:p>
            <w:r>
              <w:t xml:space="preserve">Average</w:t>
            </w:r>
          </w:p>
        </w:tc>
        <w:tc>
          <w:tcPr>
            <w:tcW w:type="dxa" w:w="1357"/>
          </w:tcPr>
          <w:p>
            <w:r>
              <w:t xml:space="preserve">341,117</w:t>
            </w:r>
          </w:p>
        </w:tc>
        <w:tc>
          <w:tcPr>
            <w:tcW w:type="dxa" w:w="1357"/>
          </w:tcPr>
          <w:p>
            <w:r>
              <w:t xml:space="preserve">568,563,918</w:t>
            </w:r>
          </w:p>
        </w:tc>
        <w:tc>
          <w:tcPr>
            <w:tcW w:type="dxa" w:w="1357"/>
          </w:tcPr>
          <w:p>
            <w:r>
              <w:t xml:space="preserve">1,666.77</w:t>
            </w:r>
          </w:p>
        </w:tc>
      </w:tr>
      <w:tr>
        <w:tc>
          <w:tcPr>
            <w:tcW w:type="dxa" w:w="1357"/>
          </w:tcPr>
          <w:p>
            <w:r>
              <w:t xml:space="preserve">SYL</w:t>
            </w:r>
          </w:p>
        </w:tc>
        <w:tc>
          <w:tcPr>
            <w:tcW w:type="dxa" w:w="1357"/>
          </w:tcPr>
          <w:p>
            <w:r>
              <w:t xml:space="preserve">Small</w:t>
            </w:r>
          </w:p>
        </w:tc>
        <w:tc>
          <w:tcPr>
            <w:tcW w:type="dxa" w:w="1357"/>
          </w:tcPr>
          <w:p>
            <w:r>
              <w:t xml:space="preserve">Young</w:t>
            </w:r>
          </w:p>
        </w:tc>
        <w:tc>
          <w:tcPr>
            <w:tcW w:type="dxa" w:w="1357"/>
          </w:tcPr>
          <w:p>
            <w:r>
              <w:t xml:space="preserve">Low</w:t>
            </w:r>
          </w:p>
        </w:tc>
        <w:tc>
          <w:tcPr>
            <w:tcW w:type="dxa" w:w="1357"/>
          </w:tcPr>
          <w:p>
            <w:r>
              <w:t xml:space="preserve">40,104</w:t>
            </w:r>
          </w:p>
        </w:tc>
        <w:tc>
          <w:tcPr>
            <w:tcW w:type="dxa" w:w="1357"/>
          </w:tcPr>
          <w:p>
            <w:r>
              <w:t xml:space="preserve">62,513,597</w:t>
            </w:r>
          </w:p>
        </w:tc>
        <w:tc>
          <w:tcPr>
            <w:tcW w:type="dxa" w:w="1357"/>
          </w:tcPr>
          <w:p>
            <w:r>
              <w:t xml:space="preserve">1,558.79</w:t>
            </w:r>
          </w:p>
        </w:tc>
      </w:tr>
      <w:tr>
        <w:tc>
          <w:tcPr>
            <w:tcW w:type="dxa" w:w="1357"/>
          </w:tcPr>
          <w:p>
            <w:r>
              <w:t xml:space="preserve">MML</w:t>
            </w:r>
          </w:p>
        </w:tc>
        <w:tc>
          <w:tcPr>
            <w:tcW w:type="dxa" w:w="1357"/>
          </w:tcPr>
          <w:p>
            <w:r>
              <w:t xml:space="preserve">Medium</w:t>
            </w:r>
          </w:p>
        </w:tc>
        <w:tc>
          <w:tcPr>
            <w:tcW w:type="dxa" w:w="1357"/>
          </w:tcPr>
          <w:p>
            <w:r>
              <w:t xml:space="preserve">Middle-aged</w:t>
            </w:r>
          </w:p>
        </w:tc>
        <w:tc>
          <w:tcPr>
            <w:tcW w:type="dxa" w:w="1357"/>
          </w:tcPr>
          <w:p>
            <w:r>
              <w:t xml:space="preserve">Low</w:t>
            </w:r>
          </w:p>
        </w:tc>
        <w:tc>
          <w:tcPr>
            <w:tcW w:type="dxa" w:w="1357"/>
          </w:tcPr>
          <w:p>
            <w:r>
              <w:t xml:space="preserve">381,188</w:t>
            </w:r>
          </w:p>
        </w:tc>
        <w:tc>
          <w:tcPr>
            <w:tcW w:type="dxa" w:w="1357"/>
          </w:tcPr>
          <w:p>
            <w:r>
              <w:t xml:space="preserve">571,143,449</w:t>
            </w:r>
          </w:p>
        </w:tc>
        <w:tc>
          <w:tcPr>
            <w:tcW w:type="dxa" w:w="1357"/>
          </w:tcPr>
          <w:p>
            <w:r>
              <w:t xml:space="preserve">1,498.32</w:t>
            </w:r>
          </w:p>
        </w:tc>
      </w:tr>
      <w:tr>
        <w:tc>
          <w:tcPr>
            <w:tcW w:type="dxa" w:w="1357"/>
          </w:tcPr>
          <w:p>
            <w:r>
              <w:t xml:space="preserve">MSL</w:t>
            </w:r>
          </w:p>
        </w:tc>
        <w:tc>
          <w:tcPr>
            <w:tcW w:type="dxa" w:w="1357"/>
          </w:tcPr>
          <w:p>
            <w:r>
              <w:t xml:space="preserve">Medium</w:t>
            </w:r>
          </w:p>
        </w:tc>
        <w:tc>
          <w:tcPr>
            <w:tcW w:type="dxa" w:w="1357"/>
          </w:tcPr>
          <w:p>
            <w:r>
              <w:t xml:space="preserve">Senior</w:t>
            </w:r>
          </w:p>
        </w:tc>
        <w:tc>
          <w:tcPr>
            <w:tcW w:type="dxa" w:w="1357"/>
          </w:tcPr>
          <w:p>
            <w:r>
              <w:t xml:space="preserve">Low</w:t>
            </w:r>
          </w:p>
        </w:tc>
        <w:tc>
          <w:tcPr>
            <w:tcW w:type="dxa" w:w="1357"/>
          </w:tcPr>
          <w:p>
            <w:r>
              <w:t xml:space="preserve">208,303</w:t>
            </w:r>
          </w:p>
        </w:tc>
        <w:tc>
          <w:tcPr>
            <w:tcW w:type="dxa" w:w="1357"/>
          </w:tcPr>
          <w:p>
            <w:r>
              <w:t xml:space="preserve">304,124,343</w:t>
            </w:r>
          </w:p>
        </w:tc>
        <w:tc>
          <w:tcPr>
            <w:tcW w:type="dxa" w:w="1357"/>
          </w:tcPr>
          <w:p>
            <w:r>
              <w:t xml:space="preserve">1,460.01</w:t>
            </w:r>
          </w:p>
        </w:tc>
      </w:tr>
      <w:tr>
        <w:tc>
          <w:tcPr>
            <w:tcW w:type="dxa" w:w="1357"/>
          </w:tcPr>
          <w:p>
            <w:r>
              <w:t xml:space="preserve">LMA</w:t>
            </w:r>
          </w:p>
        </w:tc>
        <w:tc>
          <w:tcPr>
            <w:tcW w:type="dxa" w:w="1357"/>
          </w:tcPr>
          <w:p>
            <w:r>
              <w:t xml:space="preserve">Large</w:t>
            </w:r>
          </w:p>
        </w:tc>
        <w:tc>
          <w:tcPr>
            <w:tcW w:type="dxa" w:w="1357"/>
          </w:tcPr>
          <w:p>
            <w:r>
              <w:t xml:space="preserve">Middle-aged</w:t>
            </w:r>
          </w:p>
        </w:tc>
        <w:tc>
          <w:tcPr>
            <w:tcW w:type="dxa" w:w="1357"/>
          </w:tcPr>
          <w:p>
            <w:r>
              <w:t xml:space="preserve">Average</w:t>
            </w:r>
          </w:p>
        </w:tc>
        <w:tc>
          <w:tcPr>
            <w:tcW w:type="dxa" w:w="1357"/>
          </w:tcPr>
          <w:p>
            <w:r>
              <w:t xml:space="preserve">419,389</w:t>
            </w:r>
          </w:p>
        </w:tc>
        <w:tc>
          <w:tcPr>
            <w:tcW w:type="dxa" w:w="1357"/>
          </w:tcPr>
          <w:p>
            <w:r>
              <w:t xml:space="preserve">611,862,257</w:t>
            </w:r>
          </w:p>
        </w:tc>
        <w:tc>
          <w:tcPr>
            <w:tcW w:type="dxa" w:w="1357"/>
          </w:tcPr>
          <w:p>
            <w:r>
              <w:t xml:space="preserve">1,458.94</w:t>
            </w:r>
          </w:p>
        </w:tc>
      </w:tr>
      <w:tr>
        <w:tc>
          <w:tcPr>
            <w:tcW w:type="dxa" w:w="1357"/>
          </w:tcPr>
          <w:p>
            <w:r>
              <w:t xml:space="preserve">SMA</w:t>
            </w:r>
          </w:p>
        </w:tc>
        <w:tc>
          <w:tcPr>
            <w:tcW w:type="dxa" w:w="1357"/>
          </w:tcPr>
          <w:p>
            <w:r>
              <w:t xml:space="preserve">Small</w:t>
            </w:r>
          </w:p>
        </w:tc>
        <w:tc>
          <w:tcPr>
            <w:tcW w:type="dxa" w:w="1357"/>
          </w:tcPr>
          <w:p>
            <w:r>
              <w:t xml:space="preserve">Middle-aged</w:t>
            </w:r>
          </w:p>
        </w:tc>
        <w:tc>
          <w:tcPr>
            <w:tcW w:type="dxa" w:w="1357"/>
          </w:tcPr>
          <w:p>
            <w:r>
              <w:t xml:space="preserve">Average</w:t>
            </w:r>
          </w:p>
        </w:tc>
        <w:tc>
          <w:tcPr>
            <w:tcW w:type="dxa" w:w="1357"/>
          </w:tcPr>
          <w:p>
            <w:r>
              <w:t xml:space="preserve">271,109</w:t>
            </w:r>
          </w:p>
        </w:tc>
        <w:tc>
          <w:tcPr>
            <w:tcW w:type="dxa" w:w="1357"/>
          </w:tcPr>
          <w:p>
            <w:r>
              <w:t xml:space="preserve">375,580,009</w:t>
            </w:r>
          </w:p>
        </w:tc>
        <w:tc>
          <w:tcPr>
            <w:tcW w:type="dxa" w:w="1357"/>
          </w:tcPr>
          <w:p>
            <w:r>
              <w:t xml:space="preserve">1,385.35</w:t>
            </w:r>
          </w:p>
        </w:tc>
      </w:tr>
      <w:tr>
        <w:tc>
          <w:tcPr>
            <w:tcW w:type="dxa" w:w="1357"/>
          </w:tcPr>
          <w:p>
            <w:r>
              <w:t xml:space="preserve">LSL</w:t>
            </w:r>
          </w:p>
        </w:tc>
        <w:tc>
          <w:tcPr>
            <w:tcW w:type="dxa" w:w="1357"/>
          </w:tcPr>
          <w:p>
            <w:r>
              <w:t xml:space="preserve">Large</w:t>
            </w:r>
          </w:p>
        </w:tc>
        <w:tc>
          <w:tcPr>
            <w:tcW w:type="dxa" w:w="1357"/>
          </w:tcPr>
          <w:p>
            <w:r>
              <w:t xml:space="preserve">Senior</w:t>
            </w:r>
          </w:p>
        </w:tc>
        <w:tc>
          <w:tcPr>
            <w:tcW w:type="dxa" w:w="1357"/>
          </w:tcPr>
          <w:p>
            <w:r>
              <w:t xml:space="preserve">Low</w:t>
            </w:r>
          </w:p>
        </w:tc>
        <w:tc>
          <w:tcPr>
            <w:tcW w:type="dxa" w:w="1357"/>
          </w:tcPr>
          <w:p>
            <w:r>
              <w:t xml:space="preserve">67,232</w:t>
            </w:r>
          </w:p>
        </w:tc>
        <w:tc>
          <w:tcPr>
            <w:tcW w:type="dxa" w:w="1357"/>
          </w:tcPr>
          <w:p>
            <w:r>
              <w:t xml:space="preserve">86,264,183</w:t>
            </w:r>
          </w:p>
        </w:tc>
        <w:tc>
          <w:tcPr>
            <w:tcW w:type="dxa" w:w="1357"/>
          </w:tcPr>
          <w:p>
            <w:r>
              <w:t xml:space="preserve">1,283.08</w:t>
            </w:r>
          </w:p>
        </w:tc>
      </w:tr>
      <w:tr>
        <w:tc>
          <w:tcPr>
            <w:tcW w:type="dxa" w:w="1357"/>
          </w:tcPr>
          <w:p>
            <w:r>
              <w:t xml:space="preserve">LML</w:t>
            </w:r>
          </w:p>
        </w:tc>
        <w:tc>
          <w:tcPr>
            <w:tcW w:type="dxa" w:w="1357"/>
          </w:tcPr>
          <w:p>
            <w:r>
              <w:t xml:space="preserve">Large</w:t>
            </w:r>
          </w:p>
        </w:tc>
        <w:tc>
          <w:tcPr>
            <w:tcW w:type="dxa" w:w="1357"/>
          </w:tcPr>
          <w:p>
            <w:r>
              <w:t xml:space="preserve">Middle-aged</w:t>
            </w:r>
          </w:p>
        </w:tc>
        <w:tc>
          <w:tcPr>
            <w:tcW w:type="dxa" w:w="1357"/>
          </w:tcPr>
          <w:p>
            <w:r>
              <w:t xml:space="preserve">Low</w:t>
            </w:r>
          </w:p>
        </w:tc>
        <w:tc>
          <w:tcPr>
            <w:tcW w:type="dxa" w:w="1357"/>
          </w:tcPr>
          <w:p>
            <w:r>
              <w:t xml:space="preserve">324,435</w:t>
            </w:r>
          </w:p>
        </w:tc>
        <w:tc>
          <w:tcPr>
            <w:tcW w:type="dxa" w:w="1357"/>
          </w:tcPr>
          <w:p>
            <w:r>
              <w:t xml:space="preserve">333,758,835</w:t>
            </w:r>
          </w:p>
        </w:tc>
        <w:tc>
          <w:tcPr>
            <w:tcW w:type="dxa" w:w="1357"/>
          </w:tcPr>
          <w:p>
            <w:r>
              <w:t xml:space="preserve">1,028.74</w:t>
            </w:r>
          </w:p>
        </w:tc>
      </w:tr>
      <w:tr>
        <w:tc>
          <w:tcPr>
            <w:tcW w:type="dxa" w:w="1357"/>
          </w:tcPr>
          <w:p>
            <w:r>
              <w:t xml:space="preserve">SML</w:t>
            </w:r>
          </w:p>
        </w:tc>
        <w:tc>
          <w:tcPr>
            <w:tcW w:type="dxa" w:w="1357"/>
          </w:tcPr>
          <w:p>
            <w:r>
              <w:t xml:space="preserve">Small</w:t>
            </w:r>
          </w:p>
        </w:tc>
        <w:tc>
          <w:tcPr>
            <w:tcW w:type="dxa" w:w="1357"/>
          </w:tcPr>
          <w:p>
            <w:r>
              <w:t xml:space="preserve">Middle-aged</w:t>
            </w:r>
          </w:p>
        </w:tc>
        <w:tc>
          <w:tcPr>
            <w:tcW w:type="dxa" w:w="1357"/>
          </w:tcPr>
          <w:p>
            <w:r>
              <w:t xml:space="preserve">Low</w:t>
            </w:r>
          </w:p>
        </w:tc>
        <w:tc>
          <w:tcPr>
            <w:tcW w:type="dxa" w:w="1357"/>
          </w:tcPr>
          <w:p>
            <w:r>
              <w:t xml:space="preserve">275,468</w:t>
            </w:r>
          </w:p>
        </w:tc>
        <w:tc>
          <w:tcPr>
            <w:tcW w:type="dxa" w:w="1357"/>
          </w:tcPr>
          <w:p>
            <w:r>
              <w:t xml:space="preserve">239,327,605</w:t>
            </w:r>
          </w:p>
        </w:tc>
        <w:tc>
          <w:tcPr>
            <w:tcW w:type="dxa" w:w="1357"/>
          </w:tcPr>
          <w:p>
            <w:r>
              <w:t xml:space="preserve">868.80</w:t>
            </w:r>
          </w:p>
        </w:tc>
      </w:tr>
    </w:tbl>
    <w:p/>
    <w:p>
      <w:r>
        <w:rPr>
          <w:b/>
          <w:bCs/>
        </w:rPr>
        <w:t xml:space="preserve">Risk-tier composition by driver-age class</w:t>
      </w:r>
      <w:r>
        <w:t xml:space="preserve"> (share of each age class's total 2016–2018 car-years of exposure that falls in each Driver Risk tier):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DDDDDD" w:val="clear"/>
          </w:tcPr>
          <w:p>
            <w:r>
              <w:t xml:space="preserve">Driver Age</w:t>
            </w:r>
          </w:p>
        </w:tc>
        <w:tc>
          <w:tcPr>
            <w:tcW w:type="dxa" w:w="2375"/>
            <w:shd w:fill="DDDDDD" w:val="clear"/>
          </w:tcPr>
          <w:p>
            <w:r>
              <w:t xml:space="preserve">Low</w:t>
            </w:r>
          </w:p>
        </w:tc>
        <w:tc>
          <w:tcPr>
            <w:tcW w:type="dxa" w:w="2375"/>
            <w:shd w:fill="DDDDDD" w:val="clear"/>
          </w:tcPr>
          <w:p>
            <w:r>
              <w:t xml:space="preserve">Average</w:t>
            </w:r>
          </w:p>
        </w:tc>
        <w:tc>
          <w:tcPr>
            <w:tcW w:type="dxa" w:w="2375"/>
            <w:shd w:fill="DDDDDD" w:val="clear"/>
          </w:tcPr>
          <w:p>
            <w:r>
              <w:t xml:space="preserve">High</w:t>
            </w:r>
          </w:p>
        </w:tc>
      </w:tr>
      <w:tr>
        <w:tc>
          <w:tcPr>
            <w:tcW w:type="dxa" w:w="2375"/>
          </w:tcPr>
          <w:p>
            <w:r>
              <w:t xml:space="preserve">Young</w:t>
            </w:r>
          </w:p>
        </w:tc>
        <w:tc>
          <w:tcPr>
            <w:tcW w:type="dxa" w:w="2375"/>
          </w:tcPr>
          <w:p>
            <w:r>
              <w:t xml:space="preserve">20.6%</w:t>
            </w:r>
          </w:p>
        </w:tc>
        <w:tc>
          <w:tcPr>
            <w:tcW w:type="dxa" w:w="2375"/>
          </w:tcPr>
          <w:p>
            <w:r>
              <w:t xml:space="preserve">37.4%</w:t>
            </w:r>
          </w:p>
        </w:tc>
        <w:tc>
          <w:tcPr>
            <w:tcW w:type="dxa" w:w="2375"/>
          </w:tcPr>
          <w:p>
            <w:r>
              <w:t xml:space="preserve">42.0%</w:t>
            </w:r>
          </w:p>
        </w:tc>
      </w:tr>
      <w:tr>
        <w:tc>
          <w:tcPr>
            <w:tcW w:type="dxa" w:w="2375"/>
          </w:tcPr>
          <w:p>
            <w:r>
              <w:t xml:space="preserve">Middle-aged</w:t>
            </w:r>
          </w:p>
        </w:tc>
        <w:tc>
          <w:tcPr>
            <w:tcW w:type="dxa" w:w="2375"/>
          </w:tcPr>
          <w:p>
            <w:r>
              <w:t xml:space="preserve">32.6%</w:t>
            </w:r>
          </w:p>
        </w:tc>
        <w:tc>
          <w:tcPr>
            <w:tcW w:type="dxa" w:w="2375"/>
          </w:tcPr>
          <w:p>
            <w:r>
              <w:t xml:space="preserve">41.8%</w:t>
            </w:r>
          </w:p>
        </w:tc>
        <w:tc>
          <w:tcPr>
            <w:tcW w:type="dxa" w:w="2375"/>
          </w:tcPr>
          <w:p>
            <w:r>
              <w:t xml:space="preserve">25.6%</w:t>
            </w:r>
          </w:p>
        </w:tc>
      </w:tr>
      <w:tr>
        <w:tc>
          <w:tcPr>
            <w:tcW w:type="dxa" w:w="2375"/>
          </w:tcPr>
          <w:p>
            <w:r>
              <w:t xml:space="preserve">Senior</w:t>
            </w:r>
          </w:p>
        </w:tc>
        <w:tc>
          <w:tcPr>
            <w:tcW w:type="dxa" w:w="2375"/>
          </w:tcPr>
          <w:p>
            <w:r>
              <w:t xml:space="preserve">25.7%</w:t>
            </w:r>
          </w:p>
        </w:tc>
        <w:tc>
          <w:tcPr>
            <w:tcW w:type="dxa" w:w="2375"/>
          </w:tcPr>
          <w:p>
            <w:r>
              <w:t xml:space="preserve">40.9%</w:t>
            </w:r>
          </w:p>
        </w:tc>
        <w:tc>
          <w:tcPr>
            <w:tcW w:type="dxa" w:w="2375"/>
          </w:tcPr>
          <w:p>
            <w:r>
              <w:t xml:space="preserve">33.4%</w:t>
            </w:r>
          </w:p>
        </w:tc>
      </w:tr>
    </w:tbl>
    <w:p/>
    <w:p>
      <w:pPr>
        <w:pStyle w:val="Heading2"/>
        <w:spacing w:after="120" w:before="240"/>
      </w:pPr>
      <w:r>
        <w:t xml:space="preserve">Appendix C — Risk Classification Key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DDDDDD" w:val="clear"/>
          </w:tcPr>
          <w:p>
            <w:r>
              <w:t xml:space="preserve"/>
            </w:r>
          </w:p>
        </w:tc>
        <w:tc>
          <w:tcPr>
            <w:tcW w:type="dxa" w:w="2375"/>
            <w:shd w:fill="DDDDDD" w:val="clear"/>
          </w:tcPr>
          <w:p>
            <w:r>
              <w:t xml:space="preserve">Vehicle Size</w:t>
            </w:r>
          </w:p>
        </w:tc>
        <w:tc>
          <w:tcPr>
            <w:tcW w:type="dxa" w:w="2375"/>
            <w:shd w:fill="DDDDDD" w:val="clear"/>
          </w:tcPr>
          <w:p>
            <w:r>
              <w:t xml:space="preserve">Driver Age</w:t>
            </w:r>
          </w:p>
        </w:tc>
        <w:tc>
          <w:tcPr>
            <w:tcW w:type="dxa" w:w="2375"/>
            <w:shd w:fill="DDDDDD" w:val="clear"/>
          </w:tcPr>
          <w:p>
            <w:r>
              <w:t xml:space="preserve">Driver Risk</w:t>
            </w:r>
          </w:p>
        </w:tc>
      </w:tr>
      <w:tr>
        <w:tc>
          <w:tcPr>
            <w:tcW w:type="dxa" w:w="2375"/>
          </w:tcPr>
          <w:p>
            <w:r>
              <w:t xml:space="preserve">Code letter</w:t>
            </w:r>
          </w:p>
        </w:tc>
        <w:tc>
          <w:tcPr>
            <w:tcW w:type="dxa" w:w="2375"/>
          </w:tcPr>
          <w:p>
            <w:r>
              <w:t xml:space="preserve">S / M / L</w:t>
            </w:r>
          </w:p>
        </w:tc>
        <w:tc>
          <w:tcPr>
            <w:tcW w:type="dxa" w:w="2375"/>
          </w:tcPr>
          <w:p>
            <w:r>
              <w:t xml:space="preserve">Y / M / S</w:t>
            </w:r>
          </w:p>
        </w:tc>
        <w:tc>
          <w:tcPr>
            <w:tcW w:type="dxa" w:w="2375"/>
          </w:tcPr>
          <w:p>
            <w:r>
              <w:t xml:space="preserve">L / A / H</w:t>
            </w:r>
          </w:p>
        </w:tc>
      </w:tr>
      <w:tr>
        <w:tc>
          <w:tcPr>
            <w:tcW w:type="dxa" w:w="2375"/>
          </w:tcPr>
          <w:p>
            <w:r>
              <w:t xml:space="preserve">Small</w:t>
            </w:r>
          </w:p>
        </w:tc>
        <w:tc>
          <w:tcPr>
            <w:tcW w:type="dxa" w:w="2375"/>
          </w:tcPr>
          <w:p>
            <w:r>
              <w:t xml:space="preserve">Small</w:t>
            </w:r>
          </w:p>
        </w:tc>
        <w:tc>
          <w:tcPr>
            <w:tcW w:type="dxa" w:w="2375"/>
          </w:tcPr>
          <w:p>
            <w:r>
              <w:t xml:space="preserve">Young (14–24)</w:t>
            </w:r>
          </w:p>
        </w:tc>
        <w:tc>
          <w:tcPr>
            <w:tcW w:type="dxa" w:w="2375"/>
          </w:tcPr>
          <w:p>
            <w:r>
              <w:t xml:space="preserve">Low</w:t>
            </w:r>
          </w:p>
        </w:tc>
      </w:tr>
      <w:tr>
        <w:tc>
          <w:tcPr>
            <w:tcW w:type="dxa" w:w="2375"/>
          </w:tcPr>
          <w:p>
            <w:r>
              <w:t xml:space="preserve">Medium</w:t>
            </w:r>
          </w:p>
        </w:tc>
        <w:tc>
          <w:tcPr>
            <w:tcW w:type="dxa" w:w="2375"/>
          </w:tcPr>
          <w:p>
            <w:r>
              <w:t xml:space="preserve">Medium</w:t>
            </w:r>
          </w:p>
        </w:tc>
        <w:tc>
          <w:tcPr>
            <w:tcW w:type="dxa" w:w="2375"/>
          </w:tcPr>
          <w:p>
            <w:r>
              <w:t xml:space="preserve">Middle-aged (25–64)</w:t>
            </w:r>
          </w:p>
        </w:tc>
        <w:tc>
          <w:tcPr>
            <w:tcW w:type="dxa" w:w="2375"/>
          </w:tcPr>
          <w:p>
            <w:r>
              <w:t xml:space="preserve">Average</w:t>
            </w:r>
          </w:p>
        </w:tc>
      </w:tr>
      <w:tr>
        <w:tc>
          <w:tcPr>
            <w:tcW w:type="dxa" w:w="2375"/>
          </w:tcPr>
          <w:p>
            <w:r>
              <w:t xml:space="preserve">Large</w:t>
            </w:r>
          </w:p>
        </w:tc>
        <w:tc>
          <w:tcPr>
            <w:tcW w:type="dxa" w:w="2375"/>
          </w:tcPr>
          <w:p>
            <w:r>
              <w:t xml:space="preserve">Large</w:t>
            </w:r>
          </w:p>
        </w:tc>
        <w:tc>
          <w:tcPr>
            <w:tcW w:type="dxa" w:w="2375"/>
          </w:tcPr>
          <w:p>
            <w:r>
              <w:t xml:space="preserve">Senior (65+)</w:t>
            </w:r>
          </w:p>
        </w:tc>
        <w:tc>
          <w:tcPr>
            <w:tcW w:type="dxa" w:w="2375"/>
          </w:tcPr>
          <w:p>
            <w:r>
              <w:t xml:space="preserve">High</w:t>
            </w:r>
          </w:p>
        </w:tc>
      </w:tr>
    </w:tbl>
    <w:p/>
    <w:p>
      <w:r>
        <w:t xml:space="preserve">A policy on a large car with a middle-aged primary driver and a driving record indicating a higher likelihood of future claims-causing incidents is coded </w:t>
      </w:r>
      <w:r>
        <w:rPr>
          <w:b/>
          <w:bCs/>
        </w:rPr>
        <w:t xml:space="preserve">LMH</w:t>
      </w:r>
      <w:r>
        <w:t xml:space="preserve">. Codes are read Vehicle Size, then Driver Age, then Driver Risk, always in that order.</w:t>
      </w:r>
    </w:p>
    <w:p>
      <w:r>
        <w:t xml:space="preserve">Every policy carries five required coverages under Carbosian law: </w:t>
      </w:r>
      <w:r>
        <w:rPr>
          <w:b/>
          <w:bCs/>
        </w:rPr>
        <w:t xml:space="preserve">Bodily Injury Liability</w:t>
      </w:r>
      <w:r>
        <w:t xml:space="preserve"> (max Ĉ150,000/person, Ĉ300,000/accident), </w:t>
      </w:r>
      <w:r>
        <w:rPr>
          <w:b/>
          <w:bCs/>
        </w:rPr>
        <w:t xml:space="preserve">Personal Injury</w:t>
      </w:r>
      <w:r>
        <w:t xml:space="preserve"> (max Ĉ30,000/claimant), </w:t>
      </w:r>
      <w:r>
        <w:rPr>
          <w:b/>
          <w:bCs/>
        </w:rPr>
        <w:t xml:space="preserve">Property Damage</w:t>
      </w:r>
      <w:r>
        <w:t xml:space="preserve"> (max Ĉ150,000/claimant), </w:t>
      </w:r>
      <w:r>
        <w:rPr>
          <w:b/>
          <w:bCs/>
        </w:rPr>
        <w:t xml:space="preserve">Collision</w:t>
      </w:r>
      <w:r>
        <w:t xml:space="preserve"> (Ĉ3,000 deductible, pays repair or cash value above that), and </w:t>
      </w:r>
      <w:r>
        <w:rPr>
          <w:b/>
          <w:bCs/>
        </w:rPr>
        <w:t xml:space="preserve">Comprehensive</w:t>
      </w:r>
      <w:r>
        <w:t xml:space="preserve"> (Ĉ3,000 deductible, non-collision incidents: fire, theft, weather, animal strikes). Appendix A and Appendix B's claims amounts are net of these deductibles and limits already applied.</w:t>
      </w:r>
    </w:p>
    <w:p>
      <w:pPr>
        <w:pStyle w:val="Heading2"/>
        <w:spacing w:after="120" w:before="240"/>
      </w:pPr>
      <w:r>
        <w:t xml:space="preserve">Appendix D — Real-World Context: Age and Auto-Insurance Risk</w:t>
      </w:r>
    </w:p>
    <w:p>
      <w:r>
        <w:t xml:space="preserve">Safetylife and Carbosia are fictional, but the reason actuaries look at driver age at all is not. Two real, cited findings on why age-based risk classification is standard actuarial practice — not just a Safetylife policy:</w:t>
      </w:r>
    </w:p>
    <w:p>
      <w:pPr>
        <w:ind w:left="360"/>
      </w:pPr>
      <w:r>
        <w:t xml:space="preserve">- </w:t>
      </w:r>
      <w:r>
        <w:rPr>
          <w:b/>
          <w:bCs/>
        </w:rPr>
        <w:t xml:space="preserve">Young drivers.</w:t>
      </w:r>
      <w:r>
        <w:t xml:space="preserve"> The fatal crash rate per mile driven for drivers age 16–19 is just over </w:t>
      </w:r>
      <w:r>
        <w:rPr>
          <w:b/>
          <w:bCs/>
        </w:rPr>
        <w:t xml:space="preserve">3 times</w:t>
      </w:r>
      <w:r>
        <w:t xml:space="preserve"> the rate for drivers age 20 and older, based on National Household Travel Survey data (Insurance Institute for Highway Safety, "Fatality Facts: Teenagers"). Inexperience, not recklessness alone, is the standard actuarial explanation cited for this gap. [S1]</w:t>
      </w:r>
    </w:p>
    <w:p>
      <w:pPr>
        <w:ind w:left="360"/>
      </w:pPr>
      <w:r>
        <w:t xml:space="preserve">- </w:t>
      </w:r>
      <w:r>
        <w:rPr>
          <w:b/>
          <w:bCs/>
        </w:rPr>
        <w:t xml:space="preserve">Senior drivers.</w:t>
      </w:r>
      <w:r>
        <w:t xml:space="preserve"> Passenger-vehicle drivers age 85+ have a fatal crash involvement rate of </w:t>
      </w:r>
      <w:r>
        <w:rPr>
          <w:b/>
          <w:bCs/>
        </w:rPr>
        <w:t xml:space="preserve">7.9 per 100 million miles traveled</w:t>
      </w:r>
      <w:r>
        <w:t xml:space="preserve">, compared with </w:t>
      </w:r>
      <w:r>
        <w:rPr>
          <w:b/>
          <w:bCs/>
        </w:rPr>
        <w:t xml:space="preserve">1.6</w:t>
      </w:r>
      <w:r>
        <w:t xml:space="preserve"> for drivers age 60–64; the rate begins climbing measurably around age 70–74 (</w:t>
      </w:r>
      <w:r>
        <w:rPr>
          <w:b/>
          <w:bCs/>
        </w:rPr>
        <w:t xml:space="preserve">2.1</w:t>
      </w:r>
      <w:r>
        <w:t xml:space="preserve"> per 100 million miles). Critically, the Insurance Institute for Highway Safety attributes this rise "largely to increased susceptibility to injuries, particularly to the chest, and medical complications, rather than an increased tendency to get into crashes" — i.e., older drivers are not shown to crash more often, but crashes involving them are costlier and more often fatal (Insurance Institute for Highway Safety, "Fatality Facts: Older People," citing Cicchino, 2015). [S2]</w:t>
      </w:r>
    </w:p>
    <w:p>
      <w:r>
        <w:t xml:space="preserve">Both patterns are exactly what actuaries mean when they say a risk class is "flagged": Young drivers by claim </w:t>
      </w:r>
      <w:r>
        <w:rPr>
          <w:i/>
          <w:iCs/>
        </w:rPr>
        <w:t xml:space="preserve">frequency and inexperience</w:t>
      </w:r>
      <w:r>
        <w:t xml:space="preserve">, Senior drivers by claim </w:t>
      </w:r>
      <w:r>
        <w:rPr>
          <w:i/>
          <w:iCs/>
        </w:rPr>
        <w:t xml:space="preserve">severity and injury risk</w:t>
      </w:r>
      <w:r>
        <w:t xml:space="preserve"> — two different real-world reasons an insurer's own data (SEE APPENDIX A AND APPENDIX B) can show two different age classes both running above the company average.</w:t>
      </w:r>
    </w:p>
    <w:p>
      <w:pPr>
        <w:pStyle w:val="Heading2"/>
        <w:spacing w:after="120" w:before="240"/>
      </w:pPr>
      <w:r>
        <w:t xml:space="preserve">Appendix E — Additional Resources</w:t>
      </w:r>
    </w:p>
    <w:p>
      <w:pPr>
        <w:ind w:left="360"/>
      </w:pPr>
      <w:r>
        <w:t xml:space="preserve">- </w:t>
      </w:r>
      <w:r>
        <w:rPr>
          <w:b/>
          <w:bCs/>
        </w:rPr>
        <w:t xml:space="preserve">Article:</w:t>
      </w:r>
      <w:r>
        <w:t xml:space="preserve"> </w:t>
      </w:r>
      <w:hyperlink w:history="1" r:id="rIdflrmaf6v6ybigyowiavys">
        <w:r>
          <w:rPr>
            <w:rStyle w:val="Hyperlink"/>
          </w:rPr>
          <w:t xml:space="preserve">"A Day in the Life of an Actuary"</w:t>
        </w:r>
      </w:hyperlink>
      <w:r>
        <w:t xml:space="preserve"> — Be An Actuary (a joint program of the Society of Actuaries and the Casualty Actuarial Society), on what actuaries actually do day to day.</w:t>
      </w:r>
    </w:p>
    <w:p>
      <w:pPr>
        <w:ind w:left="360"/>
      </w:pPr>
      <w:r>
        <w:t xml:space="preserve">- </w:t>
      </w:r>
      <w:r>
        <w:rPr>
          <w:b/>
          <w:bCs/>
        </w:rPr>
        <w:t xml:space="preserve">Video:</w:t>
      </w:r>
      <w:r>
        <w:t xml:space="preserve"> </w:t>
      </w:r>
      <w:hyperlink w:history="1" r:id="rIdgnghtxdcsuftnuypsv4ky">
        <w:r>
          <w:rPr>
            <w:rStyle w:val="Hyperlink"/>
          </w:rPr>
          <w:t xml:space="preserve">"What Do Actuaries Do?"</w:t>
        </w:r>
      </w:hyperlink>
      <w:r>
        <w:t xml:space="preserve"> — a short explainer on the actuarial profession, including how actuaries price risk by class.</w:t>
      </w:r>
    </w:p>
    <w:p>
      <w:pPr>
        <w:pStyle w:val="Heading2"/>
        <w:spacing w:after="120" w:before="240"/>
      </w:pPr>
      <w:r>
        <w:t xml:space="preserve">Appendix Z — "How To…" Math Questions To Research</w:t>
      </w:r>
    </w:p>
    <w:p>
      <w:r>
        <w:rPr>
          <w:b/>
          <w:bCs/>
        </w:rPr>
        <w:t xml:space="preserve">Vocabulary terms</w:t>
      </w:r>
    </w:p>
    <w:p>
      <w:pPr>
        <w:ind w:left="360"/>
      </w:pPr>
      <w:r>
        <w:t xml:space="preserve">- Mean</w:t>
      </w:r>
    </w:p>
    <w:p>
      <w:pPr>
        <w:ind w:left="360"/>
      </w:pPr>
      <w:r>
        <w:t xml:space="preserve">- Linear</w:t>
      </w:r>
    </w:p>
    <w:p>
      <w:pPr>
        <w:ind w:left="360"/>
      </w:pPr>
      <w:r>
        <w:t xml:space="preserve">- Ratio</w:t>
      </w:r>
    </w:p>
    <w:p>
      <w:pPr>
        <w:ind w:left="360"/>
      </w:pPr>
      <w:r>
        <w:t xml:space="preserve">- Percent</w:t>
      </w:r>
    </w:p>
    <w:p>
      <w:r>
        <w:rPr>
          <w:b/>
          <w:bCs/>
        </w:rPr>
        <w:t xml:space="preserve">"How to…" questions</w:t>
      </w:r>
    </w:p>
    <w:p>
      <w:pPr>
        <w:ind w:left="360"/>
      </w:pPr>
      <w:r>
        <w:t xml:space="preserve">- How to find the mean of a set of data</w:t>
      </w:r>
    </w:p>
    <w:p>
      <w:pPr>
        <w:ind w:left="360"/>
      </w:pPr>
      <w:r>
        <w:t xml:space="preserve">- How to write a linear equation given a set of data</w:t>
      </w:r>
    </w:p>
    <w:p>
      <w:pPr>
        <w:ind w:left="360"/>
      </w:pPr>
      <w:r>
        <w:t xml:space="preserve">- How to find the percent of a number</w:t>
      </w:r>
    </w:p>
    <w:p>
      <w:pPr>
        <w:ind w:left="360"/>
      </w:pPr>
      <w:r>
        <w:t xml:space="preserve">- How to convert numbers to percents</w:t>
      </w:r>
    </w:p>
    <w:p>
      <w:pPr>
        <w:pStyle w:val="Heading2"/>
        <w:spacing w:after="120" w:before="240"/>
      </w:pPr>
      <w:r>
        <w:t xml:space="preserve">Sources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83"/>
        <w:gridCol w:w="1583"/>
        <w:gridCol w:w="1583"/>
        <w:gridCol w:w="1583"/>
        <w:gridCol w:w="1583"/>
        <w:gridCol w:w="1583"/>
      </w:tblGrid>
      <w:tr>
        <w:tc>
          <w:tcPr>
            <w:tcW w:type="dxa" w:w="1583"/>
            <w:shd w:fill="DDDDDD" w:val="clear"/>
          </w:tcPr>
          <w:p>
            <w:r>
              <w:t xml:space="preserve">#</w:t>
            </w:r>
          </w:p>
        </w:tc>
        <w:tc>
          <w:tcPr>
            <w:tcW w:type="dxa" w:w="1583"/>
            <w:shd w:fill="DDDDDD" w:val="clear"/>
          </w:tcPr>
          <w:p>
            <w:r>
              <w:t xml:space="preserve">Claim</w:t>
            </w:r>
          </w:p>
        </w:tc>
        <w:tc>
          <w:tcPr>
            <w:tcW w:type="dxa" w:w="1583"/>
            <w:shd w:fill="DDDDDD" w:val="clear"/>
          </w:tcPr>
          <w:p>
            <w:r>
              <w:t xml:space="preserve">Value</w:t>
            </w:r>
          </w:p>
        </w:tc>
        <w:tc>
          <w:tcPr>
            <w:tcW w:type="dxa" w:w="1583"/>
            <w:shd w:fill="DDDDDD" w:val="clear"/>
          </w:tcPr>
          <w:p>
            <w:r>
              <w:t xml:space="preserve">Source</w:t>
            </w:r>
          </w:p>
        </w:tc>
        <w:tc>
          <w:tcPr>
            <w:tcW w:type="dxa" w:w="1583"/>
            <w:shd w:fill="DDDDDD" w:val="clear"/>
          </w:tcPr>
          <w:p>
            <w:r>
              <w:t xml:space="preserve">Date</w:t>
            </w:r>
          </w:p>
        </w:tc>
        <w:tc>
          <w:tcPr>
            <w:tcW w:type="dxa" w:w="1583"/>
            <w:shd w:fill="DDDDDD" w:val="clear"/>
          </w:tcPr>
          <w:p>
            <w:r>
              <w:t xml:space="preserve">Confidence</w:t>
            </w:r>
          </w:p>
        </w:tc>
      </w:tr>
      <w:tr>
        <w:tc>
          <w:tcPr>
            <w:tcW w:type="dxa" w:w="1583"/>
          </w:tcPr>
          <w:p>
            <w:r>
              <w:t xml:space="preserve">S1</w:t>
            </w:r>
          </w:p>
        </w:tc>
        <w:tc>
          <w:tcPr>
            <w:tcW w:type="dxa" w:w="1583"/>
          </w:tcPr>
          <w:p>
            <w:r>
              <w:t xml:space="preserve">Fatal crash rate per mile driven, ages 16–19 vs. 20+</w:t>
            </w:r>
          </w:p>
        </w:tc>
        <w:tc>
          <w:tcPr>
            <w:tcW w:type="dxa" w:w="1583"/>
          </w:tcPr>
          <w:p>
            <w:r>
              <w:t xml:space="preserve">"just over 3 times"</w:t>
            </w:r>
          </w:p>
        </w:tc>
        <w:tc>
          <w:tcPr>
            <w:tcW w:type="dxa" w:w="1583"/>
          </w:tcPr>
          <w:p>
            <w:r>
              <w:t xml:space="preserve">Insurance Institute for Highway Safety — Fatality Facts: Teenagers (</w:t>
            </w:r>
            <w:hyperlink w:history="1" r:id="rIdtozeb3wosrruilsqamau5">
              <w:r>
                <w:rPr>
                  <w:rStyle w:val="Hyperlink"/>
                </w:rPr>
                <w:t xml:space="preserve">iihs.org</w:t>
              </w:r>
            </w:hyperlink>
            <w:r>
              <w:t xml:space="preserve">)</w:t>
            </w:r>
          </w:p>
        </w:tc>
        <w:tc>
          <w:tcPr>
            <w:tcW w:type="dxa" w:w="1583"/>
          </w:tcPr>
          <w:p>
            <w:r>
              <w:t xml:space="preserve">accessed 2026-08-20</w:t>
            </w:r>
          </w:p>
        </w:tc>
        <w:tc>
          <w:tcPr>
            <w:tcW w:type="dxa" w:w="1583"/>
          </w:tcPr>
          <w:p>
            <w:r>
              <w:t xml:space="preserve">HIGH</w:t>
            </w:r>
          </w:p>
        </w:tc>
      </w:tr>
      <w:tr>
        <w:tc>
          <w:tcPr>
            <w:tcW w:type="dxa" w:w="1583"/>
          </w:tcPr>
          <w:p>
            <w:r>
              <w:t xml:space="preserve">S2</w:t>
            </w:r>
          </w:p>
        </w:tc>
        <w:tc>
          <w:tcPr>
            <w:tcW w:type="dxa" w:w="1583"/>
          </w:tcPr>
          <w:p>
            <w:r>
              <w:t xml:space="preserve">Fatal crash involvement rate per 100 million miles by driver age; older-driver risk attributed to injury susceptibility, not crash frequency</w:t>
            </w:r>
          </w:p>
        </w:tc>
        <w:tc>
          <w:tcPr>
            <w:tcW w:type="dxa" w:w="1583"/>
          </w:tcPr>
          <w:p>
            <w:r>
              <w:t xml:space="preserve">85+: 7.9; 60–64: 1.6; 70–74: 2.1</w:t>
            </w:r>
          </w:p>
        </w:tc>
        <w:tc>
          <w:tcPr>
            <w:tcW w:type="dxa" w:w="1583"/>
          </w:tcPr>
          <w:p>
            <w:r>
              <w:t xml:space="preserve">Insurance Institute for Highway Safety — Fatality Facts: Older People, citing Cicchino (2015) (</w:t>
            </w:r>
            <w:hyperlink w:history="1" r:id="rIdjqakdqas4mhi2q1zvbjtp">
              <w:r>
                <w:rPr>
                  <w:rStyle w:val="Hyperlink"/>
                </w:rPr>
                <w:t xml:space="preserve">iihs.org</w:t>
              </w:r>
            </w:hyperlink>
            <w:r>
              <w:t xml:space="preserve">)</w:t>
            </w:r>
          </w:p>
        </w:tc>
        <w:tc>
          <w:tcPr>
            <w:tcW w:type="dxa" w:w="1583"/>
          </w:tcPr>
          <w:p>
            <w:r>
              <w:t xml:space="preserve">accessed 2026-08-20</w:t>
            </w:r>
          </w:p>
        </w:tc>
        <w:tc>
          <w:tcPr>
            <w:tcW w:type="dxa" w:w="1583"/>
          </w:tcPr>
          <w:p>
            <w:r>
              <w:t xml:space="preserve">HIGH</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lrmaf6v6ybigyowiavys" Type="http://schemas.openxmlformats.org/officeDocument/2006/relationships/hyperlink" Target="https://www.beanactuary.org/what/day-in-the-life/" TargetMode="External"/><Relationship Id="rIdgnghtxdcsuftnuypsv4ky" Type="http://schemas.openxmlformats.org/officeDocument/2006/relationships/hyperlink" Target="https://www.youtube.com/watch?v=qjXgpJpSlCc" TargetMode="External"/><Relationship Id="rIdtozeb3wosrruilsqamau5" Type="http://schemas.openxmlformats.org/officeDocument/2006/relationships/hyperlink" Target="https://www.iihs.org/research-areas/fatality-statistics/detail/teenagers" TargetMode="External"/><Relationship Id="rIdjqakdqas4mhi2q1zvbjtp" Type="http://schemas.openxmlformats.org/officeDocument/2006/relationships/hyperlink" Target="https://www.iihs.org/research-areas/fatality-statistics/detail/older-peopl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2026-08-20T22:59:02.398Z</dcterms:created>
  <dcterms:modified xsi:type="dcterms:W3CDTF">2026-08-20T22:59:02.399Z</dcterms:modified>
</cp:coreProperties>
</file>

<file path=docProps/custom.xml><?xml version="1.0" encoding="utf-8"?>
<Properties xmlns="http://schemas.openxmlformats.org/officeDocument/2006/custom-properties" xmlns:vt="http://schemas.openxmlformats.org/officeDocument/2006/docPropsVTypes"/>
</file>