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Case Study: Insurance</w:t>
      </w:r>
    </w:p>
    <w:p>
      <w:pPr>
        <w:spacing w:after="360"/>
        <w:jc w:val="center"/>
      </w:pPr>
      <w:r>
        <w:rPr>
          <w:i/>
          <w:iCs/>
          <w:sz w:val="22"/>
          <w:szCs w:val="22"/>
        </w:rPr>
        <w:t xml:space="preserve">MS | Math | Case Study | 2021 | Adventure</w:t>
      </w:r>
    </w:p>
    <w:p>
      <w:pPr>
        <w:pStyle w:val="Heading2"/>
        <w:spacing w:after="160" w:before="320"/>
      </w:pPr>
      <w:r>
        <w:rPr>
          <w:b/>
          <w:bCs/>
          <w:sz w:val="28"/>
          <w:szCs w:val="28"/>
        </w:rPr>
        <w:t xml:space="preserve">Overview</w:t>
      </w:r>
    </w:p>
    <w:p>
      <w:pPr>
        <w:spacing w:after="160"/>
      </w:pPr>
      <w:r>
        <w:t xml:space="preserve">The mailbox is cold enough to sting. Tiffany Sanderson pulls her coat tighter — still in the fuzzy slippers Ava picked out for her at Christmas — and jogs the gravel path back toward the house, the freezing Eagle, Idaho air biting at her ears. Junk mail, a seed catalog, and one envelope with a logo she still half-recognizes from three years of paycheck stubs.</w:t>
      </w:r>
    </w:p>
    <w:p>
      <w:pPr>
        <w:spacing w:after="160"/>
      </w:pPr>
      <w:r>
        <w:t xml:space="preserve">Inside, warm again, she reads it twice standing up.</w:t>
      </w:r>
    </w:p>
    <w:p>
      <w:pPr>
        <w:spacing w:after="160"/>
      </w:pPr>
      <w:r>
        <w:rPr>
          <w:i/>
          <w:iCs/>
        </w:rPr>
        <w:t xml:space="preserve">"We are writing to inform you that your current policy will not be renewed at your next renewal date... because of your ending employment with Micron Technology, Inc."</w:t>
      </w:r>
    </w:p>
    <w:p>
      <w:pPr>
        <w:spacing w:after="160"/>
      </w:pPr>
      <w:r>
        <w:t xml:space="preserve">She already knew this was coming — she's the one who quit, a month ago, to finally build the consulting practice she's been sketching on napkins for two years. Greg knew too. But a letter makes it real in a way that a calendar reminder doesn't.</w:t>
      </w:r>
    </w:p>
    <w:p>
      <w:pPr>
        <w:spacing w:after="160"/>
      </w:pPr>
      <w:r>
        <w:t xml:space="preserve">From the next room, she can hear Neri negotiating with Briggs over a puzzle piece, and Ava's tablet playing something with a laugh track. Three kids. A urologist who has to sign off on Neri every few months. A chiropractor Greg swears by. A phone somewhere on the counter, still open to a tax-credit calculator from last night.</w:t>
      </w:r>
    </w:p>
    <w:p>
      <w:pPr>
        <w:spacing w:after="160"/>
      </w:pPr>
      <w:r>
        <w:t xml:space="preserve">Greg leans in the doorway, coffee in hand. "So which one is it?"</w:t>
      </w:r>
    </w:p>
    <w:p>
      <w:pPr>
        <w:spacing w:after="160"/>
      </w:pPr>
      <w:r>
        <w:t xml:space="preserve">Tiffany doesn't answer yet. She sets the letter down next to two folders — one thick with three printed marketplace plans, one thin, just a single text thread from a friend about something called an HSA.</w:t>
      </w:r>
    </w:p>
    <w:p>
      <w:pPr>
        <w:spacing w:after="160"/>
      </w:pPr>
      <w:r>
        <w:t xml:space="preserve">Someone has to open one of them first.</w:t>
      </w:r>
    </w:p>
    <w:p>
      <w:pPr>
        <w:pStyle w:val="Heading2"/>
        <w:spacing w:after="160" w:before="320"/>
      </w:pPr>
      <w:r>
        <w:rPr>
          <w:b/>
          <w:bCs/>
          <w:sz w:val="28"/>
          <w:szCs w:val="28"/>
        </w:rPr>
        <w:t xml:space="preserve">Background</w:t>
      </w:r>
    </w:p>
    <w:p>
      <w:pPr>
        <w:spacing w:after="160"/>
      </w:pPr>
      <w:r>
        <w:t xml:space="preserve">Tiffany (b. 1984) and Greg (b. 1987) Sanderson live in Eagle, Idaho, with their three children: Ava (11), Briggs (8), and Neri (3). Greg has been a stay-at-home dad for years; Tiffany spent three years as a production strategist at Micron before leaving in January 2021 to start her own consulting company. Leaving Micron also meant losing the family’s employer health coverage, effective March 12, 2021.</w:t>
      </w:r>
    </w:p>
    <w:p>
      <w:pPr>
        <w:spacing w:after="160"/>
      </w:pPr>
      <w:r>
        <w:t xml:space="preserve">Now self-employed, Tiffany and Greg applied through Idaho’s health insurance marketplace, yourhealthidaho.org, and were approved. Their household qualifies for a real </w:t>
      </w:r>
      <w:r>
        <w:rPr>
          <w:b/>
          <w:bCs/>
        </w:rPr>
        <w:t xml:space="preserve">Advance Premium Tax Credit (APTC) of $1,394.00 per month</w:t>
      </w:r>
      <w:r>
        <w:t xml:space="preserve"> — a subsidy that lowers whatever plan premium they owe (SEE APPENDIX A). After comparing every Gold-tier plan on the exchange, Tiffany and Greg narrowed the field to one marketplace plan their current family practice doctor, Neri’s urologist, and Tiffany’s women’s clinic all accept: </w:t>
      </w:r>
      <w:r>
        <w:rPr>
          <w:b/>
          <w:bCs/>
        </w:rPr>
        <w:t xml:space="preserve">PacificSource Navigator Gold 2000</w:t>
      </w:r>
      <w:r>
        <w:t xml:space="preserve"> (SEE APPENDIX A and APPENDIX C). Then, the night before this case opens, Greg’s friend sent over a different idea entirely: skip the marketplace Gold plan, and instead buy a </w:t>
      </w:r>
      <w:r>
        <w:rPr>
          <w:b/>
          <w:bCs/>
        </w:rPr>
        <w:t xml:space="preserve">High-Deductible Health Plan (HDHP)</w:t>
      </w:r>
      <w:r>
        <w:t xml:space="preserve"> paired with a </w:t>
      </w:r>
      <w:r>
        <w:rPr>
          <w:b/>
          <w:bCs/>
        </w:rPr>
        <w:t xml:space="preserve">Health Savings Account (HSA)</w:t>
      </w:r>
      <w:r>
        <w:t xml:space="preserve"> — a different insurer, with a much lower monthly bill but a much bigger bill if something goes wrong (SEE APPENDIX A). Nothing in what the friend sent says whether this HDHP’s own provider network includes any of the Sandersons’ current doctors. The friend’s plan is checked against the real, federal 2021 legal rules for an HSA-qualified HDHP in APPENDIX F.</w:t>
      </w:r>
    </w:p>
    <w:p>
      <w:pPr>
        <w:spacing w:after="160"/>
      </w:pPr>
      <w:r>
        <w:t xml:space="preserve">The family is all non-tobacco users, and are not currently pregnant, though they’ve talked about trying for a fourth child this year. Neri has a diagnosed pre-existing condition — a duplicated kidney — that means quarterly visits to both the family practice doctor and a pediatric urologist, a biannual imaging test called a VCUG, and a daily generic antibiotic refilled monthly (SEE APPENDIX D). Greg sees a chiropractor every month. In 2020, the family’s real medical record included three primary-care visits each for Tiffany and Greg, one urgent care visit (Greg cut his hand on a fence), one urgent care visit for Briggs (a fractured hand from the trampoline), and one emergency-room visit for Ava (24 stitches after a slip-n-slide accident) (SEE APPENDIX D) — real data this case uses to estimate what an ordinary year of unplanned care costs.</w:t>
      </w:r>
    </w:p>
    <w:p>
      <w:pPr>
        <w:spacing w:after="160"/>
      </w:pPr>
      <w:r>
        <w:t xml:space="preserve">Tiffany and Greg have $74,500 in savings, and are committed to living within a budget until the new consulting business has predictable income. Every dollar figure in this case that isn’t a direct citation is a disclosed, stated Modeling Assumption (SEE APPENDIX G) — none is invented quietly; every citation this case relies on is listed in full (SEE APPENDIX H). Whichever plan they pick has to survive both an ordinary year and a bad one — the vocabulary and "how to…" skills this case will ask you to research are listed in Appendix I, and two optional real-world articles on choosing a plan are listed in Appendix B.</w:t>
      </w:r>
    </w:p>
    <w:p>
      <w:pPr>
        <w:pStyle w:val="Heading2"/>
        <w:spacing w:after="160" w:before="320"/>
      </w:pPr>
      <w:r>
        <w:rPr>
          <w:b/>
          <w:bCs/>
          <w:sz w:val="28"/>
          <w:szCs w:val="28"/>
        </w:rPr>
        <w:t xml:space="preserve">Dilemma</w:t>
      </w:r>
    </w:p>
    <w:p>
      <w:pPr>
        <w:spacing w:after="160"/>
      </w:pPr>
      <w:r>
        <w:rPr>
          <w:b/>
          <w:bCs/>
        </w:rPr>
        <w:t xml:space="preserve">You are Greg and Tiffany Sanderson.</w:t>
      </w:r>
    </w:p>
    <w:p>
      <w:pPr>
        <w:spacing w:after="160"/>
      </w:pPr>
      <w:r>
        <w:t xml:space="preserve">Do you:</w:t>
      </w:r>
    </w:p>
    <w:p>
      <w:pPr>
        <w:spacing w:after="160"/>
      </w:pPr>
      <w:r>
        <w:rPr>
          <w:b/>
          <w:bCs/>
        </w:rPr>
        <w:t xml:space="preserve">A.) </w:t>
      </w:r>
      <w:r>
        <w:t xml:space="preserve">Buy the HDHP and open an HSA, per Greg’s friend’s plan </w:t>
      </w:r>
      <w:r>
        <w:rPr>
          <w:b/>
          <w:bCs/>
        </w:rPr>
        <w:t xml:space="preserve">OR</w:t>
      </w:r>
    </w:p>
    <w:p>
      <w:pPr>
        <w:spacing w:after="160"/>
      </w:pPr>
      <w:r>
        <w:rPr>
          <w:b/>
          <w:bCs/>
        </w:rPr>
        <w:t xml:space="preserve">B.) </w:t>
      </w:r>
      <w:r>
        <w:t xml:space="preserve">Purchase the PacificSource Navigator Gold 2000 plan</w:t>
      </w:r>
    </w:p>
    <w:p>
      <w:pPr>
        <w:pStyle w:val="Heading2"/>
        <w:spacing w:after="160" w:before="320"/>
      </w:pPr>
      <w:r>
        <w:rPr>
          <w:b/>
          <w:bCs/>
          <w:sz w:val="28"/>
          <w:szCs w:val="28"/>
        </w:rPr>
        <w:t xml:space="preserve">Challenges</w:t>
      </w:r>
    </w:p>
    <w:p>
      <w:pPr>
        <w:spacing w:after="160"/>
      </w:pPr>
      <w:r>
        <w:t xml:space="preserve">1.) Research and find an online resource that answers one of the "how to…" questions from the case study launch. Post a link to the resource as your submission.</w:t>
      </w:r>
    </w:p>
    <w:p>
      <w:pPr>
        <w:spacing w:after="160"/>
      </w:pPr>
      <w:r>
        <w:t xml:space="preserve">2.) Post 250 or more "excellent" words pitching a firm stance to your audience on which you would choose and why. Your pitch must include:</w:t>
      </w:r>
    </w:p>
    <w:p>
      <w:pPr>
        <w:spacing w:after="160"/>
        <w:ind w:left="360"/>
      </w:pPr>
      <w:r>
        <w:t xml:space="preserve">a.) Use of the "how to…" resource you researched in Challenge 1.</w:t>
      </w:r>
    </w:p>
    <w:p>
      <w:pPr>
        <w:spacing w:after="160"/>
        <w:ind w:left="360"/>
      </w:pPr>
      <w:r>
        <w:t xml:space="preserve">b.) At least one original visual display of the data.</w:t>
      </w:r>
    </w:p>
    <w:p>
      <w:pPr>
        <w:spacing w:after="160"/>
      </w:pPr>
      <w:r>
        <w:t xml:space="preserve">3.) Your pitch must include:</w:t>
      </w:r>
    </w:p>
    <w:p>
      <w:pPr>
        <w:spacing w:after="160"/>
        <w:ind w:left="360"/>
      </w:pPr>
      <w:r>
        <w:rPr>
          <w:b/>
          <w:bCs/>
        </w:rPr>
        <w:t xml:space="preserve">D1. </w:t>
      </w:r>
      <w:r>
        <w:rPr>
          <w:b/>
          <w:bCs/>
        </w:rPr>
        <w:t xml:space="preserve">The total amount the Sandersons should budget for health insurance premiums in 2021</w:t>
      </w:r>
      <w:r>
        <w:t xml:space="preserve">, for each option — a single labeled annual dollar figure per option, built from the real monthly premium (SEE APPENDIX A).</w:t>
      </w:r>
    </w:p>
    <w:p>
      <w:pPr>
        <w:spacing w:after="160"/>
        <w:ind w:left="360"/>
      </w:pPr>
      <w:r>
        <w:rPr>
          <w:b/>
          <w:bCs/>
        </w:rPr>
        <w:t xml:space="preserve">D2. </w:t>
      </w:r>
      <w:r>
        <w:rPr>
          <w:b/>
          <w:bCs/>
        </w:rPr>
        <w:t xml:space="preserve">The total amount the Sandersons should budget for out-of-pocket medical costs in 2021</w:t>
      </w:r>
      <w:r>
        <w:t xml:space="preserve">, for each option — built from the family’s own real 2021 care pattern (SEE APPENDIX D) run through each plan’s real deductible, copay, and coinsurance rules (SEE APPENDIX C), pricing anything not covered by a flat copay using APPENDIX E’s real-world reference costs. Alongside your expected-year number, report each plan’s own stated out-of-pocket maximum (SEE APPENDIX A) — the most the family could owe in a genuinely bad year — labeled separately from your expected-year estimate.</w:t>
      </w:r>
    </w:p>
    <w:p>
      <w:pPr>
        <w:spacing w:after="160"/>
        <w:ind w:left="360"/>
      </w:pPr>
      <w:r>
        <w:rPr>
          <w:b/>
          <w:bCs/>
        </w:rPr>
        <w:t xml:space="preserve">D3. </w:t>
      </w:r>
      <w:r>
        <w:rPr>
          <w:b/>
          <w:bCs/>
        </w:rPr>
        <w:t xml:space="preserve">A probability-and-mean justification</w:t>
      </w:r>
      <w:r>
        <w:t xml:space="preserve"> for how many unplanned urgent-care or ER visits your D2 estimate assumes for 2021, built from the family’s own real 2020 visit record (SEE APPENDIX D) — not a guess.</w:t>
      </w:r>
    </w:p>
    <w:p>
      <w:pPr>
        <w:spacing w:after="160"/>
        <w:ind w:left="360"/>
      </w:pPr>
      <w:r>
        <w:rPr>
          <w:b/>
          <w:bCs/>
        </w:rPr>
        <w:t xml:space="preserve">D4. </w:t>
      </w:r>
      <w:r>
        <w:rPr>
          <w:b/>
          <w:bCs/>
        </w:rPr>
        <w:t xml:space="preserve">An original algorithm</w:t>
      </w:r>
      <w:r>
        <w:t xml:space="preserve">, using named algebraic variables, constants, and coefficients, that computes a plan’s total annual out-of-pocket cost from six inputs: number of primary-care visits, number of specialist visits, number of urgent-care visits, number of ER visits, number of medication refills, and whether a pregnancy/delivery occurs this year. Show your algorithm evaluated for both plans, using the numbers from D2 and D3.</w:t>
      </w:r>
    </w:p>
    <w:p>
      <w:pPr>
        <w:spacing w:after="160"/>
        <w:ind w:left="360"/>
      </w:pPr>
      <w:r>
        <w:rPr>
          <w:b/>
          <w:bCs/>
        </w:rPr>
        <w:t xml:space="preserve">D5. </w:t>
      </w:r>
      <w:r>
        <w:rPr>
          <w:b/>
          <w:bCs/>
        </w:rPr>
        <w:t xml:space="preserve">Two original visual displays of the data</w:t>
      </w:r>
      <w:r>
        <w:t xml:space="preserve">: one comparing both options’ total 2021 cost (premium + expected out-of-pocket), and one comparing both options’ out-of-pocket maximum.</w:t>
      </w:r>
    </w:p>
    <w:p>
      <w:pPr>
        <w:spacing w:after="16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t xml:space="preserve">5.) Participate twice or more in the Case Study discussion. </w:t>
      </w:r>
      <w:r>
        <w:rPr>
          <w:i/>
          <w:iCs/>
        </w:rPr>
        <w:t xml:space="preserve">*If you are absent the day of a discussion post 500 "excellent" words on the questions above.</w:t>
      </w:r>
    </w:p>
    <w:p>
      <w:pPr>
        <w:pStyle w:val="Heading3"/>
        <w:spacing w:after="140" w:before="280"/>
      </w:pPr>
      <w:r>
        <w:rPr>
          <w:b/>
          <w:bCs/>
          <w:sz w:val="24"/>
          <w:szCs w:val="24"/>
        </w:rPr>
        <w:t xml:space="preserve">Appendix A — The Two Options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DDE6F0" w:color="auto" w:val="clear"/>
            <w:tcMar>
              <w:top w:type="dxa" w:w="80"/>
              <w:left w:type="dxa" w:w="100"/>
              <w:bottom w:type="dxa" w:w="80"/>
              <w:right w:type="dxa" w:w="100"/>
            </w:tcMar>
            <w:vAlign w:val="center"/>
          </w:tcPr>
          <w:p>
            <w:r>
              <w:rPr>
                <w:b/>
                <w:bCs/>
                <w:sz w:val="19"/>
                <w:szCs w:val="19"/>
              </w:rPr>
              <w:t xml:space="preserve"/>
            </w:r>
          </w:p>
        </w:tc>
        <w:tc>
          <w:tcPr>
            <w:tcW w:type="dxa" w:w="3480"/>
            <w:shd w:fill="DDE6F0" w:color="auto" w:val="clear"/>
            <w:tcMar>
              <w:top w:type="dxa" w:w="80"/>
              <w:left w:type="dxa" w:w="100"/>
              <w:bottom w:type="dxa" w:w="80"/>
              <w:right w:type="dxa" w:w="100"/>
            </w:tcMar>
            <w:vAlign w:val="center"/>
          </w:tcPr>
          <w:p>
            <w:r>
              <w:rPr>
                <w:b/>
                <w:bCs/>
                <w:sz w:val="19"/>
                <w:szCs w:val="19"/>
              </w:rPr>
              <w:t xml:space="preserve">A. HDHP + HSA (Greg’s friend’s plan)</w:t>
            </w:r>
          </w:p>
        </w:tc>
        <w:tc>
          <w:tcPr>
            <w:tcW w:type="dxa" w:w="3480"/>
            <w:shd w:fill="DDE6F0" w:color="auto" w:val="clear"/>
            <w:tcMar>
              <w:top w:type="dxa" w:w="80"/>
              <w:left w:type="dxa" w:w="100"/>
              <w:bottom w:type="dxa" w:w="80"/>
              <w:right w:type="dxa" w:w="100"/>
            </w:tcMar>
            <w:vAlign w:val="center"/>
          </w:tcPr>
          <w:p>
            <w:r>
              <w:rPr>
                <w:b/>
                <w:bCs/>
                <w:sz w:val="19"/>
                <w:szCs w:val="19"/>
              </w:rPr>
              <w:t xml:space="preserve">B. PacificSource Navigator Gold 2000</w:t>
            </w:r>
          </w:p>
        </w:tc>
      </w:tr>
      <w:tr>
        <w:tc>
          <w:tcPr>
            <w:tcW w:type="dxa" w:w="2400"/>
            <w:tcMar>
              <w:top w:type="dxa" w:w="80"/>
              <w:left w:type="dxa" w:w="100"/>
              <w:bottom w:type="dxa" w:w="80"/>
              <w:right w:type="dxa" w:w="100"/>
            </w:tcMar>
            <w:vAlign w:val="center"/>
          </w:tcPr>
          <w:p>
            <w:r>
              <w:rPr>
                <w:sz w:val="19"/>
                <w:szCs w:val="19"/>
              </w:rPr>
              <w:t xml:space="preserve">Monthly premium</w:t>
            </w:r>
          </w:p>
        </w:tc>
        <w:tc>
          <w:tcPr>
            <w:tcW w:type="dxa" w:w="3480"/>
            <w:tcMar>
              <w:top w:type="dxa" w:w="80"/>
              <w:left w:type="dxa" w:w="100"/>
              <w:bottom w:type="dxa" w:w="80"/>
              <w:right w:type="dxa" w:w="100"/>
            </w:tcMar>
            <w:vAlign w:val="center"/>
          </w:tcPr>
          <w:p>
            <w:r>
              <w:rPr>
                <w:b/>
                <w:bCs/>
              </w:rPr>
              <w:t xml:space="preserve">$125.00</w:t>
            </w:r>
            <w:r>
              <w:t xml:space="preserve"> [S1]</w:t>
            </w:r>
          </w:p>
        </w:tc>
        <w:tc>
          <w:tcPr>
            <w:tcW w:type="dxa" w:w="3480"/>
            <w:tcMar>
              <w:top w:type="dxa" w:w="80"/>
              <w:left w:type="dxa" w:w="100"/>
              <w:bottom w:type="dxa" w:w="80"/>
              <w:right w:type="dxa" w:w="100"/>
            </w:tcMar>
            <w:vAlign w:val="center"/>
          </w:tcPr>
          <w:p>
            <w:r>
              <w:rPr>
                <w:b/>
                <w:bCs/>
              </w:rPr>
              <w:t xml:space="preserve">$694.00</w:t>
            </w:r>
            <w:r>
              <w:t xml:space="preserve">, after the family’s real $1,394.00/mo Advance Premium Tax Credit (gross premium $2,088.00/mo) [S2]</w:t>
            </w:r>
          </w:p>
        </w:tc>
      </w:tr>
      <w:tr>
        <w:tc>
          <w:tcPr>
            <w:tcW w:type="dxa" w:w="2400"/>
            <w:tcMar>
              <w:top w:type="dxa" w:w="80"/>
              <w:left w:type="dxa" w:w="100"/>
              <w:bottom w:type="dxa" w:w="80"/>
              <w:right w:type="dxa" w:w="100"/>
            </w:tcMar>
            <w:vAlign w:val="center"/>
          </w:tcPr>
          <w:p>
            <w:r>
              <w:rPr>
                <w:sz w:val="19"/>
                <w:szCs w:val="19"/>
              </w:rPr>
              <w:t xml:space="preserve">Annual premium (×12)</w:t>
            </w:r>
          </w:p>
        </w:tc>
        <w:tc>
          <w:tcPr>
            <w:tcW w:type="dxa" w:w="3480"/>
            <w:tcMar>
              <w:top w:type="dxa" w:w="80"/>
              <w:left w:type="dxa" w:w="100"/>
              <w:bottom w:type="dxa" w:w="80"/>
              <w:right w:type="dxa" w:w="100"/>
            </w:tcMar>
            <w:vAlign w:val="center"/>
          </w:tcPr>
          <w:p>
            <w:r>
              <w:rPr>
                <w:sz w:val="19"/>
                <w:szCs w:val="19"/>
              </w:rPr>
              <w:t xml:space="preserve">$1,500.00</w:t>
            </w:r>
          </w:p>
        </w:tc>
        <w:tc>
          <w:tcPr>
            <w:tcW w:type="dxa" w:w="3480"/>
            <w:tcMar>
              <w:top w:type="dxa" w:w="80"/>
              <w:left w:type="dxa" w:w="100"/>
              <w:bottom w:type="dxa" w:w="80"/>
              <w:right w:type="dxa" w:w="100"/>
            </w:tcMar>
            <w:vAlign w:val="center"/>
          </w:tcPr>
          <w:p>
            <w:r>
              <w:rPr>
                <w:sz w:val="19"/>
                <w:szCs w:val="19"/>
              </w:rPr>
              <w:t xml:space="preserve">$8,328.00</w:t>
            </w:r>
          </w:p>
        </w:tc>
      </w:tr>
      <w:tr>
        <w:tc>
          <w:tcPr>
            <w:tcW w:type="dxa" w:w="2400"/>
            <w:tcMar>
              <w:top w:type="dxa" w:w="80"/>
              <w:left w:type="dxa" w:w="100"/>
              <w:bottom w:type="dxa" w:w="80"/>
              <w:right w:type="dxa" w:w="100"/>
            </w:tcMar>
            <w:vAlign w:val="center"/>
          </w:tcPr>
          <w:p>
            <w:r>
              <w:rPr>
                <w:sz w:val="19"/>
                <w:szCs w:val="19"/>
              </w:rPr>
              <w:t xml:space="preserve">Family deductible (in-network)</w:t>
            </w:r>
          </w:p>
        </w:tc>
        <w:tc>
          <w:tcPr>
            <w:tcW w:type="dxa" w:w="3480"/>
            <w:tcMar>
              <w:top w:type="dxa" w:w="80"/>
              <w:left w:type="dxa" w:w="100"/>
              <w:bottom w:type="dxa" w:w="80"/>
              <w:right w:type="dxa" w:w="100"/>
            </w:tcMar>
            <w:vAlign w:val="center"/>
          </w:tcPr>
          <w:p>
            <w:r>
              <w:rPr>
                <w:sz w:val="19"/>
                <w:szCs w:val="19"/>
              </w:rPr>
              <w:t xml:space="preserve">$6,300 [S1]</w:t>
            </w:r>
          </w:p>
        </w:tc>
        <w:tc>
          <w:tcPr>
            <w:tcW w:type="dxa" w:w="3480"/>
            <w:tcMar>
              <w:top w:type="dxa" w:w="80"/>
              <w:left w:type="dxa" w:w="100"/>
              <w:bottom w:type="dxa" w:w="80"/>
              <w:right w:type="dxa" w:w="100"/>
            </w:tcMar>
            <w:vAlign w:val="center"/>
          </w:tcPr>
          <w:p>
            <w:r>
              <w:rPr>
                <w:sz w:val="19"/>
                <w:szCs w:val="19"/>
              </w:rPr>
              <w:t xml:space="preserve">$4,000 (individual $2,000) [S3]</w:t>
            </w:r>
          </w:p>
        </w:tc>
      </w:tr>
      <w:tr>
        <w:tc>
          <w:tcPr>
            <w:tcW w:type="dxa" w:w="2400"/>
            <w:tcMar>
              <w:top w:type="dxa" w:w="80"/>
              <w:left w:type="dxa" w:w="100"/>
              <w:bottom w:type="dxa" w:w="80"/>
              <w:right w:type="dxa" w:w="100"/>
            </w:tcMar>
            <w:vAlign w:val="center"/>
          </w:tcPr>
          <w:p>
            <w:r>
              <w:rPr>
                <w:sz w:val="19"/>
                <w:szCs w:val="19"/>
              </w:rPr>
              <w:t xml:space="preserve">Family out-of-pocket maximum (in-network)</w:t>
            </w:r>
          </w:p>
        </w:tc>
        <w:tc>
          <w:tcPr>
            <w:tcW w:type="dxa" w:w="3480"/>
            <w:tcMar>
              <w:top w:type="dxa" w:w="80"/>
              <w:left w:type="dxa" w:w="100"/>
              <w:bottom w:type="dxa" w:w="80"/>
              <w:right w:type="dxa" w:w="100"/>
            </w:tcMar>
            <w:vAlign w:val="center"/>
          </w:tcPr>
          <w:p>
            <w:r>
              <w:t xml:space="preserve">$6,500 individual / </w:t>
            </w:r>
            <w:r>
              <w:rPr>
                <w:b/>
                <w:bCs/>
              </w:rPr>
              <w:t xml:space="preserve">$12,800 family</w:t>
            </w:r>
            <w:r>
              <w:t xml:space="preserve"> [S1]</w:t>
            </w:r>
          </w:p>
        </w:tc>
        <w:tc>
          <w:tcPr>
            <w:tcW w:type="dxa" w:w="3480"/>
            <w:tcMar>
              <w:top w:type="dxa" w:w="80"/>
              <w:left w:type="dxa" w:w="100"/>
              <w:bottom w:type="dxa" w:w="80"/>
              <w:right w:type="dxa" w:w="100"/>
            </w:tcMar>
            <w:vAlign w:val="center"/>
          </w:tcPr>
          <w:p>
            <w:r>
              <w:t xml:space="preserve">$6,000 individual / </w:t>
            </w:r>
            <w:r>
              <w:rPr>
                <w:b/>
                <w:bCs/>
              </w:rPr>
              <w:t xml:space="preserve">$12,000 family</w:t>
            </w:r>
            <w:r>
              <w:t xml:space="preserve"> [S3]</w:t>
            </w:r>
          </w:p>
        </w:tc>
      </w:tr>
      <w:tr>
        <w:tc>
          <w:tcPr>
            <w:tcW w:type="dxa" w:w="2400"/>
            <w:tcMar>
              <w:top w:type="dxa" w:w="80"/>
              <w:left w:type="dxa" w:w="100"/>
              <w:bottom w:type="dxa" w:w="80"/>
              <w:right w:type="dxa" w:w="100"/>
            </w:tcMar>
            <w:vAlign w:val="center"/>
          </w:tcPr>
          <w:p>
            <w:r>
              <w:rPr>
                <w:sz w:val="19"/>
                <w:szCs w:val="19"/>
              </w:rPr>
              <w:t xml:space="preserve">Plan type</w:t>
            </w:r>
          </w:p>
        </w:tc>
        <w:tc>
          <w:tcPr>
            <w:tcW w:type="dxa" w:w="3480"/>
            <w:tcMar>
              <w:top w:type="dxa" w:w="80"/>
              <w:left w:type="dxa" w:w="100"/>
              <w:bottom w:type="dxa" w:w="80"/>
              <w:right w:type="dxa" w:w="100"/>
            </w:tcMar>
            <w:vAlign w:val="center"/>
          </w:tcPr>
          <w:p>
            <w:r>
              <w:rPr>
                <w:sz w:val="19"/>
                <w:szCs w:val="19"/>
              </w:rPr>
              <w:t xml:space="preserve">High-deductible, HSA-qualified — a different insurer than the family’s three marketplace finalists</w:t>
            </w:r>
          </w:p>
        </w:tc>
        <w:tc>
          <w:tcPr>
            <w:tcW w:type="dxa" w:w="3480"/>
            <w:tcMar>
              <w:top w:type="dxa" w:w="80"/>
              <w:left w:type="dxa" w:w="100"/>
              <w:bottom w:type="dxa" w:w="80"/>
              <w:right w:type="dxa" w:w="100"/>
            </w:tcMar>
            <w:vAlign w:val="center"/>
          </w:tcPr>
          <w:p>
            <w:r>
              <w:rPr>
                <w:sz w:val="19"/>
                <w:szCs w:val="19"/>
              </w:rPr>
              <w:t xml:space="preserve">HMO — the marketplace plan the family’s current doctors already accept</w:t>
            </w:r>
          </w:p>
        </w:tc>
      </w:tr>
    </w:tbl>
    <w:p>
      <w:pPr>
        <w:spacing w:after="80"/>
      </w:pPr>
    </w:p>
    <w:p>
      <w:pPr>
        <w:spacing w:after="160"/>
      </w:pPr>
      <w:r>
        <w:t xml:space="preserve">The friend’s plan comes from a private text-message conversation, not the family’s own marketplace application — no document in this case confirms whether the family’s current family-practice doctor, Neri’s urologist, or Tiffany’s women’s clinic take it (SEE Background). Nothing in this case invents an answer to that; it is simply unknown, and it is real leverage for whichever side of the discussion wants to use it.</w:t>
      </w:r>
    </w:p>
    <w:p>
      <w:pPr>
        <w:pStyle w:val="Heading3"/>
        <w:spacing w:after="140" w:before="280"/>
      </w:pPr>
      <w:r>
        <w:rPr>
          <w:b/>
          <w:bCs/>
          <w:sz w:val="24"/>
          <w:szCs w:val="24"/>
        </w:rPr>
        <w:t xml:space="preserve">Appendix B — Optional Research Resources</w:t>
      </w:r>
    </w:p>
    <w:p>
      <w:pPr>
        <w:spacing w:after="160"/>
      </w:pPr>
      <w:r>
        <w:t xml:space="preserve">Two real, dated articles on how to compare marketplace health plans (bundled with this case; either works as your Challenge 1 "how to…" resource, or find your own):</w:t>
      </w:r>
    </w:p>
    <w:p>
      <w:pPr>
        <w:pStyle w:val="ListParagraph"/>
        <w:numPr>
          <w:ilvl w:val="0"/>
          <w:numId w:val="2"/>
        </w:numPr>
        <w:spacing w:after="60"/>
      </w:pPr>
      <w:r>
        <w:t xml:space="preserve">HealthCare.gov, "Things to know before picking a health insurance plan," accessed 2021-04-10.</w:t>
      </w:r>
    </w:p>
    <w:p>
      <w:pPr>
        <w:pStyle w:val="ListParagraph"/>
        <w:numPr>
          <w:ilvl w:val="0"/>
          <w:numId w:val="2"/>
        </w:numPr>
        <w:spacing w:after="60"/>
      </w:pPr>
      <w:r>
        <w:t xml:space="preserve">NerdWallet, "Your Step-by-Step Guide to Choosing a Health Insurance Plan," by Lacie Glover, April 2, 2021.</w:t>
      </w:r>
    </w:p>
    <w:p>
      <w:pPr>
        <w:spacing w:after="160"/>
      </w:pPr>
      <w:r>
        <w:t xml:space="preserve">Both make the same point this case is built around: </w:t>
      </w:r>
      <w:r>
        <w:rPr>
          <w:i/>
          <w:iCs/>
        </w:rPr>
        <w:t xml:space="preserve">"You pay a monthly bill to your insurance company (a premium)... You pay out-of-pocket costs, including a deductible, when you get care. It’s important to think about both kinds of costs when shopping for a plan."</w:t>
      </w:r>
    </w:p>
    <w:p>
      <w:pPr>
        <w:pStyle w:val="Heading3"/>
        <w:spacing w:after="140" w:before="280"/>
      </w:pPr>
      <w:r>
        <w:rPr>
          <w:b/>
          <w:bCs/>
          <w:sz w:val="24"/>
          <w:szCs w:val="24"/>
        </w:rPr>
        <w:t xml:space="preserve">Appendix C — PacificSource Navigator Gold 2000: Cost-Sharing Detail</w:t>
      </w:r>
    </w:p>
    <w:p>
      <w:pPr>
        <w:spacing w:after="160"/>
      </w:pPr>
      <w:r>
        <w:t xml:space="preserve">All figures below are in-network, from the plan’s own official Summary of Benefits and Coverage (SBC), coverage period 01/01/2021–12/31/2021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DDE6F0" w:color="auto" w:val="clear"/>
            <w:tcMar>
              <w:top w:type="dxa" w:w="80"/>
              <w:left w:type="dxa" w:w="100"/>
              <w:bottom w:type="dxa" w:w="80"/>
              <w:right w:type="dxa" w:w="100"/>
            </w:tcMar>
            <w:vAlign w:val="center"/>
          </w:tcPr>
          <w:p>
            <w:r>
              <w:rPr>
                <w:b/>
                <w:bCs/>
                <w:sz w:val="19"/>
                <w:szCs w:val="19"/>
              </w:rPr>
              <w:t xml:space="preserve">Service</w:t>
            </w:r>
          </w:p>
        </w:tc>
        <w:tc>
          <w:tcPr>
            <w:tcW w:type="dxa" w:w="2400"/>
            <w:shd w:fill="DDE6F0" w:color="auto" w:val="clear"/>
            <w:tcMar>
              <w:top w:type="dxa" w:w="80"/>
              <w:left w:type="dxa" w:w="100"/>
              <w:bottom w:type="dxa" w:w="80"/>
              <w:right w:type="dxa" w:w="100"/>
            </w:tcMar>
            <w:vAlign w:val="center"/>
          </w:tcPr>
          <w:p>
            <w:r>
              <w:rPr>
                <w:b/>
                <w:bCs/>
                <w:sz w:val="19"/>
                <w:szCs w:val="19"/>
              </w:rPr>
              <w:t xml:space="preserve">You pay</w:t>
            </w:r>
          </w:p>
        </w:tc>
        <w:tc>
          <w:tcPr>
            <w:tcW w:type="dxa" w:w="2760"/>
            <w:shd w:fill="DDE6F0" w:color="auto" w:val="clear"/>
            <w:tcMar>
              <w:top w:type="dxa" w:w="80"/>
              <w:left w:type="dxa" w:w="100"/>
              <w:bottom w:type="dxa" w:w="80"/>
              <w:right w:type="dxa" w:w="100"/>
            </w:tcMar>
            <w:vAlign w:val="center"/>
          </w:tcPr>
          <w:p>
            <w:r>
              <w:rPr>
                <w:b/>
                <w:bCs/>
                <w:sz w:val="19"/>
                <w:szCs w:val="19"/>
              </w:rPr>
              <w:t xml:space="preserve">Counts toward the $4,000 family deductible?</w:t>
            </w:r>
          </w:p>
        </w:tc>
      </w:tr>
      <w:tr>
        <w:tc>
          <w:tcPr>
            <w:tcW w:type="dxa" w:w="4200"/>
            <w:tcMar>
              <w:top w:type="dxa" w:w="80"/>
              <w:left w:type="dxa" w:w="100"/>
              <w:bottom w:type="dxa" w:w="80"/>
              <w:right w:type="dxa" w:w="100"/>
            </w:tcMar>
            <w:vAlign w:val="center"/>
          </w:tcPr>
          <w:p>
            <w:r>
              <w:rPr>
                <w:sz w:val="19"/>
                <w:szCs w:val="19"/>
              </w:rPr>
              <w:t xml:space="preserve">Primary care visit</w:t>
            </w:r>
          </w:p>
        </w:tc>
        <w:tc>
          <w:tcPr>
            <w:tcW w:type="dxa" w:w="2400"/>
            <w:tcMar>
              <w:top w:type="dxa" w:w="80"/>
              <w:left w:type="dxa" w:w="100"/>
              <w:bottom w:type="dxa" w:w="80"/>
              <w:right w:type="dxa" w:w="100"/>
            </w:tcMar>
            <w:vAlign w:val="center"/>
          </w:tcPr>
          <w:p>
            <w:r>
              <w:rPr>
                <w:sz w:val="19"/>
                <w:szCs w:val="19"/>
              </w:rPr>
              <w:t xml:space="preserve">$20 copay</w:t>
            </w:r>
          </w:p>
        </w:tc>
        <w:tc>
          <w:tcPr>
            <w:tcW w:type="dxa" w:w="2760"/>
            <w:tcMar>
              <w:top w:type="dxa" w:w="80"/>
              <w:left w:type="dxa" w:w="100"/>
              <w:bottom w:type="dxa" w:w="80"/>
              <w:right w:type="dxa" w:w="100"/>
            </w:tcMar>
            <w:vAlign w:val="center"/>
          </w:tcPr>
          <w:p>
            <w:r>
              <w:rPr>
                <w:sz w:val="19"/>
                <w:szCs w:val="19"/>
              </w:rPr>
              <w:t xml:space="preserve">No</w:t>
            </w:r>
          </w:p>
        </w:tc>
      </w:tr>
      <w:tr>
        <w:tc>
          <w:tcPr>
            <w:tcW w:type="dxa" w:w="4200"/>
            <w:tcMar>
              <w:top w:type="dxa" w:w="80"/>
              <w:left w:type="dxa" w:w="100"/>
              <w:bottom w:type="dxa" w:w="80"/>
              <w:right w:type="dxa" w:w="100"/>
            </w:tcMar>
            <w:vAlign w:val="center"/>
          </w:tcPr>
          <w:p>
            <w:r>
              <w:rPr>
                <w:sz w:val="19"/>
                <w:szCs w:val="19"/>
              </w:rPr>
              <w:t xml:space="preserve">Specialist visit</w:t>
            </w:r>
          </w:p>
        </w:tc>
        <w:tc>
          <w:tcPr>
            <w:tcW w:type="dxa" w:w="2400"/>
            <w:tcMar>
              <w:top w:type="dxa" w:w="80"/>
              <w:left w:type="dxa" w:w="100"/>
              <w:bottom w:type="dxa" w:w="80"/>
              <w:right w:type="dxa" w:w="100"/>
            </w:tcMar>
            <w:vAlign w:val="center"/>
          </w:tcPr>
          <w:p>
            <w:r>
              <w:rPr>
                <w:sz w:val="19"/>
                <w:szCs w:val="19"/>
              </w:rPr>
              <w:t xml:space="preserve">$40 copay</w:t>
            </w:r>
          </w:p>
        </w:tc>
        <w:tc>
          <w:tcPr>
            <w:tcW w:type="dxa" w:w="2760"/>
            <w:tcMar>
              <w:top w:type="dxa" w:w="80"/>
              <w:left w:type="dxa" w:w="100"/>
              <w:bottom w:type="dxa" w:w="80"/>
              <w:right w:type="dxa" w:w="100"/>
            </w:tcMar>
            <w:vAlign w:val="center"/>
          </w:tcPr>
          <w:p>
            <w:r>
              <w:rPr>
                <w:sz w:val="19"/>
                <w:szCs w:val="19"/>
              </w:rPr>
              <w:t xml:space="preserve">No</w:t>
            </w:r>
          </w:p>
        </w:tc>
      </w:tr>
      <w:tr>
        <w:tc>
          <w:tcPr>
            <w:tcW w:type="dxa" w:w="4200"/>
            <w:tcMar>
              <w:top w:type="dxa" w:w="80"/>
              <w:left w:type="dxa" w:w="100"/>
              <w:bottom w:type="dxa" w:w="80"/>
              <w:right w:type="dxa" w:w="100"/>
            </w:tcMar>
            <w:vAlign w:val="center"/>
          </w:tcPr>
          <w:p>
            <w:r>
              <w:rPr>
                <w:sz w:val="19"/>
                <w:szCs w:val="19"/>
              </w:rPr>
              <w:t xml:space="preserve">Urgent care</w:t>
            </w:r>
          </w:p>
        </w:tc>
        <w:tc>
          <w:tcPr>
            <w:tcW w:type="dxa" w:w="2400"/>
            <w:tcMar>
              <w:top w:type="dxa" w:w="80"/>
              <w:left w:type="dxa" w:w="100"/>
              <w:bottom w:type="dxa" w:w="80"/>
              <w:right w:type="dxa" w:w="100"/>
            </w:tcMar>
            <w:vAlign w:val="center"/>
          </w:tcPr>
          <w:p>
            <w:r>
              <w:rPr>
                <w:sz w:val="19"/>
                <w:szCs w:val="19"/>
              </w:rPr>
              <w:t xml:space="preserve">$20 copay</w:t>
            </w:r>
          </w:p>
        </w:tc>
        <w:tc>
          <w:tcPr>
            <w:tcW w:type="dxa" w:w="2760"/>
            <w:tcMar>
              <w:top w:type="dxa" w:w="80"/>
              <w:left w:type="dxa" w:w="100"/>
              <w:bottom w:type="dxa" w:w="80"/>
              <w:right w:type="dxa" w:w="100"/>
            </w:tcMar>
            <w:vAlign w:val="center"/>
          </w:tcPr>
          <w:p>
            <w:r>
              <w:rPr>
                <w:sz w:val="19"/>
                <w:szCs w:val="19"/>
              </w:rPr>
              <w:t xml:space="preserve">No</w:t>
            </w:r>
          </w:p>
        </w:tc>
      </w:tr>
      <w:tr>
        <w:tc>
          <w:tcPr>
            <w:tcW w:type="dxa" w:w="4200"/>
            <w:tcMar>
              <w:top w:type="dxa" w:w="80"/>
              <w:left w:type="dxa" w:w="100"/>
              <w:bottom w:type="dxa" w:w="80"/>
              <w:right w:type="dxa" w:w="100"/>
            </w:tcMar>
            <w:vAlign w:val="center"/>
          </w:tcPr>
          <w:p>
            <w:r>
              <w:rPr>
                <w:sz w:val="19"/>
                <w:szCs w:val="19"/>
              </w:rPr>
              <w:t xml:space="preserve">Chiropractic care (up to 18 visits/yr combined with acupuncture)</w:t>
            </w:r>
          </w:p>
        </w:tc>
        <w:tc>
          <w:tcPr>
            <w:tcW w:type="dxa" w:w="2400"/>
            <w:tcMar>
              <w:top w:type="dxa" w:w="80"/>
              <w:left w:type="dxa" w:w="100"/>
              <w:bottom w:type="dxa" w:w="80"/>
              <w:right w:type="dxa" w:w="100"/>
            </w:tcMar>
            <w:vAlign w:val="center"/>
          </w:tcPr>
          <w:p>
            <w:r>
              <w:rPr>
                <w:sz w:val="19"/>
                <w:szCs w:val="19"/>
              </w:rPr>
              <w:t xml:space="preserve">$20 copay</w:t>
            </w:r>
          </w:p>
        </w:tc>
        <w:tc>
          <w:tcPr>
            <w:tcW w:type="dxa" w:w="2760"/>
            <w:tcMar>
              <w:top w:type="dxa" w:w="80"/>
              <w:left w:type="dxa" w:w="100"/>
              <w:bottom w:type="dxa" w:w="80"/>
              <w:right w:type="dxa" w:w="100"/>
            </w:tcMar>
            <w:vAlign w:val="center"/>
          </w:tcPr>
          <w:p>
            <w:r>
              <w:rPr>
                <w:sz w:val="19"/>
                <w:szCs w:val="19"/>
              </w:rPr>
              <w:t xml:space="preserve">No</w:t>
            </w:r>
          </w:p>
        </w:tc>
      </w:tr>
      <w:tr>
        <w:tc>
          <w:tcPr>
            <w:tcW w:type="dxa" w:w="4200"/>
            <w:tcMar>
              <w:top w:type="dxa" w:w="80"/>
              <w:left w:type="dxa" w:w="100"/>
              <w:bottom w:type="dxa" w:w="80"/>
              <w:right w:type="dxa" w:w="100"/>
            </w:tcMar>
            <w:vAlign w:val="center"/>
          </w:tcPr>
          <w:p>
            <w:r>
              <w:rPr>
                <w:sz w:val="19"/>
                <w:szCs w:val="19"/>
              </w:rPr>
              <w:t xml:space="preserve">Tier 1 (generic) prescription drug, retail</w:t>
            </w:r>
          </w:p>
        </w:tc>
        <w:tc>
          <w:tcPr>
            <w:tcW w:type="dxa" w:w="2400"/>
            <w:tcMar>
              <w:top w:type="dxa" w:w="80"/>
              <w:left w:type="dxa" w:w="100"/>
              <w:bottom w:type="dxa" w:w="80"/>
              <w:right w:type="dxa" w:w="100"/>
            </w:tcMar>
            <w:vAlign w:val="center"/>
          </w:tcPr>
          <w:p>
            <w:r>
              <w:rPr>
                <w:sz w:val="19"/>
                <w:szCs w:val="19"/>
              </w:rPr>
              <w:t xml:space="preserve">$15 copay</w:t>
            </w:r>
          </w:p>
        </w:tc>
        <w:tc>
          <w:tcPr>
            <w:tcW w:type="dxa" w:w="2760"/>
            <w:tcMar>
              <w:top w:type="dxa" w:w="80"/>
              <w:left w:type="dxa" w:w="100"/>
              <w:bottom w:type="dxa" w:w="80"/>
              <w:right w:type="dxa" w:w="100"/>
            </w:tcMar>
            <w:vAlign w:val="center"/>
          </w:tcPr>
          <w:p>
            <w:r>
              <w:rPr>
                <w:sz w:val="19"/>
                <w:szCs w:val="19"/>
              </w:rPr>
              <w:t xml:space="preserve">No</w:t>
            </w:r>
          </w:p>
        </w:tc>
      </w:tr>
      <w:tr>
        <w:tc>
          <w:tcPr>
            <w:tcW w:type="dxa" w:w="4200"/>
            <w:tcMar>
              <w:top w:type="dxa" w:w="80"/>
              <w:left w:type="dxa" w:w="100"/>
              <w:bottom w:type="dxa" w:w="80"/>
              <w:right w:type="dxa" w:w="100"/>
            </w:tcMar>
            <w:vAlign w:val="center"/>
          </w:tcPr>
          <w:p>
            <w:r>
              <w:rPr>
                <w:sz w:val="19"/>
                <w:szCs w:val="19"/>
              </w:rPr>
              <w:t xml:space="preserve">Diagnostic test / imaging (e.g., x-ray, VCUG-type study)</w:t>
            </w:r>
          </w:p>
        </w:tc>
        <w:tc>
          <w:tcPr>
            <w:tcW w:type="dxa" w:w="2400"/>
            <w:tcMar>
              <w:top w:type="dxa" w:w="80"/>
              <w:left w:type="dxa" w:w="100"/>
              <w:bottom w:type="dxa" w:w="80"/>
              <w:right w:type="dxa" w:w="100"/>
            </w:tcMar>
            <w:vAlign w:val="center"/>
          </w:tcPr>
          <w:p>
            <w:r>
              <w:rPr>
                <w:sz w:val="19"/>
                <w:szCs w:val="19"/>
              </w:rPr>
              <w:t xml:space="preserve">20% coinsurance</w:t>
            </w:r>
          </w:p>
        </w:tc>
        <w:tc>
          <w:tcPr>
            <w:tcW w:type="dxa" w:w="2760"/>
            <w:tcMar>
              <w:top w:type="dxa" w:w="80"/>
              <w:left w:type="dxa" w:w="100"/>
              <w:bottom w:type="dxa" w:w="80"/>
              <w:right w:type="dxa" w:w="100"/>
            </w:tcMar>
            <w:vAlign w:val="center"/>
          </w:tcPr>
          <w:p>
            <w:r>
              <w:rPr>
                <w:sz w:val="19"/>
                <w:szCs w:val="19"/>
              </w:rPr>
              <w:t xml:space="preserve">Yes, until deductible met</w:t>
            </w:r>
          </w:p>
        </w:tc>
      </w:tr>
      <w:tr>
        <w:tc>
          <w:tcPr>
            <w:tcW w:type="dxa" w:w="4200"/>
            <w:tcMar>
              <w:top w:type="dxa" w:w="80"/>
              <w:left w:type="dxa" w:w="100"/>
              <w:bottom w:type="dxa" w:w="80"/>
              <w:right w:type="dxa" w:w="100"/>
            </w:tcMar>
            <w:vAlign w:val="center"/>
          </w:tcPr>
          <w:p>
            <w:r>
              <w:rPr>
                <w:sz w:val="19"/>
                <w:szCs w:val="19"/>
              </w:rPr>
              <w:t xml:space="preserve">Emergency room, medical emergency</w:t>
            </w:r>
          </w:p>
        </w:tc>
        <w:tc>
          <w:tcPr>
            <w:tcW w:type="dxa" w:w="2400"/>
            <w:tcMar>
              <w:top w:type="dxa" w:w="80"/>
              <w:left w:type="dxa" w:w="100"/>
              <w:bottom w:type="dxa" w:w="80"/>
              <w:right w:type="dxa" w:w="100"/>
            </w:tcMar>
            <w:vAlign w:val="center"/>
          </w:tcPr>
          <w:p>
            <w:r>
              <w:rPr>
                <w:sz w:val="19"/>
                <w:szCs w:val="19"/>
              </w:rPr>
              <w:t xml:space="preserve">20% coinsurance</w:t>
            </w:r>
          </w:p>
        </w:tc>
        <w:tc>
          <w:tcPr>
            <w:tcW w:type="dxa" w:w="2760"/>
            <w:tcMar>
              <w:top w:type="dxa" w:w="80"/>
              <w:left w:type="dxa" w:w="100"/>
              <w:bottom w:type="dxa" w:w="80"/>
              <w:right w:type="dxa" w:w="100"/>
            </w:tcMar>
            <w:vAlign w:val="center"/>
          </w:tcPr>
          <w:p>
            <w:r>
              <w:rPr>
                <w:sz w:val="19"/>
                <w:szCs w:val="19"/>
              </w:rPr>
              <w:t xml:space="preserve">Yes, until deductible met</w:t>
            </w:r>
          </w:p>
        </w:tc>
      </w:tr>
    </w:tbl>
    <w:p>
      <w:pPr>
        <w:spacing w:after="80"/>
      </w:pPr>
    </w:p>
    <w:p>
      <w:pPr>
        <w:spacing w:after="160"/>
      </w:pPr>
      <w:r>
        <w:rPr>
          <w:b/>
          <w:bCs/>
        </w:rPr>
        <w:t xml:space="preserve">Pregnancy/delivery, the plan’s own worked example [S3]: </w:t>
      </w:r>
      <w:r>
        <w:t xml:space="preserve">total example cost $12,700 (9 months of prenatal care plus a hospital delivery); the plan’s own SBC shows the patient paying </w:t>
      </w:r>
      <w:r>
        <w:rPr>
          <w:b/>
          <w:bCs/>
        </w:rPr>
        <w:t xml:space="preserve">$4,170</w:t>
      </w:r>
      <w:r>
        <w:t xml:space="preserve"> of that ($2,000 deductible + $10 copay + $2,100 coinsurance + $60 in limits/exclusions).</w:t>
      </w:r>
    </w:p>
    <w:p>
      <w:pPr>
        <w:spacing w:after="160"/>
      </w:pPr>
      <w:r>
        <w:t xml:space="preserve">The family qualifies for the $1,394.00/month APTC regardless of which Gold-tier marketplace plan they pick, since that credit is set by household income, not plan choice [S2].</w:t>
      </w:r>
    </w:p>
    <w:p>
      <w:pPr>
        <w:pStyle w:val="Heading3"/>
        <w:spacing w:after="140" w:before="280"/>
      </w:pPr>
      <w:r>
        <w:rPr>
          <w:b/>
          <w:bCs/>
          <w:sz w:val="24"/>
          <w:szCs w:val="24"/>
        </w:rPr>
        <w:t xml:space="preserve">Appendix D — The Sanderson Family’s Real 2021 Medical Care</w:t>
      </w:r>
    </w:p>
    <w:p>
      <w:pPr>
        <w:spacing w:after="160"/>
      </w:pPr>
      <w:r>
        <w:rPr>
          <w:b/>
          <w:bCs/>
        </w:rPr>
        <w:t xml:space="preserve">Neri (age 3), pre-existing duplicated kidney:</w:t>
      </w:r>
    </w:p>
    <w:p>
      <w:pPr>
        <w:pStyle w:val="ListParagraph"/>
        <w:numPr>
          <w:ilvl w:val="0"/>
          <w:numId w:val="2"/>
        </w:numPr>
        <w:spacing w:after="60"/>
      </w:pPr>
      <w:r>
        <w:t xml:space="preserve">Quarterly (4×/yr) family-practice doctor visits, and quarterly (4×/yr) urologist visits.</w:t>
      </w:r>
    </w:p>
    <w:p>
      <w:pPr>
        <w:pStyle w:val="ListParagraph"/>
        <w:numPr>
          <w:ilvl w:val="0"/>
          <w:numId w:val="2"/>
        </w:numPr>
        <w:spacing w:after="60"/>
      </w:pPr>
      <w:r>
        <w:t xml:space="preserve">Biannual (2×/yr) VCUG imaging test.</w:t>
      </w:r>
    </w:p>
    <w:p>
      <w:pPr>
        <w:pStyle w:val="ListParagraph"/>
        <w:numPr>
          <w:ilvl w:val="0"/>
          <w:numId w:val="2"/>
        </w:numPr>
        <w:spacing w:after="60"/>
      </w:pPr>
      <w:r>
        <w:t xml:space="preserve">Monthly (12×/yr) refill of a generic antibiotic, Sulfamethoxazole-Trimethoprim 212 mg, priced at </w:t>
      </w:r>
      <w:r>
        <w:rPr>
          <w:b/>
          <w:bCs/>
        </w:rPr>
        <w:t xml:space="preserve">$23.42 per bottle without insurance</w:t>
      </w:r>
      <w:r>
        <w:t xml:space="preserve"> — the family’s own real, stated cash price.</w:t>
      </w:r>
    </w:p>
    <w:p>
      <w:pPr>
        <w:spacing w:after="160"/>
      </w:pPr>
      <w:r>
        <w:rPr>
          <w:b/>
          <w:bCs/>
        </w:rPr>
        <w:t xml:space="preserve">Greg: </w:t>
      </w:r>
      <w:r>
        <w:t xml:space="preserve">monthly (12×/yr) chiropractor visit, </w:t>
      </w:r>
      <w:r>
        <w:rPr>
          <w:b/>
          <w:bCs/>
        </w:rPr>
        <w:t xml:space="preserve">$134.00 per visit without insurance</w:t>
      </w:r>
      <w:r>
        <w:t xml:space="preserve"> — the family’s own real, stated cash price.</w:t>
      </w:r>
    </w:p>
    <w:p>
      <w:pPr>
        <w:spacing w:after="160"/>
      </w:pPr>
      <w:r>
        <w:rPr>
          <w:b/>
          <w:bCs/>
        </w:rPr>
        <w:t xml:space="preserve">Tiffany and Greg’s real 2020 record</w:t>
      </w:r>
      <w:r>
        <w:t xml:space="preserve"> (the most recent full year on file): 3 routine primary-care visits each (6 total) — real, ordinary care this case expects to recur again in 2021, the same as Neri’s and Greg’s other recurring appointments above — plus one urgent-care visit when Greg cut his hand on a fence (7 stitches), which is not expected to recur on its own and is instead one data point folded into the family-wide unplanned-incident count below.</w:t>
      </w:r>
    </w:p>
    <w:p>
      <w:pPr>
        <w:spacing w:after="160"/>
      </w:pPr>
      <w:r>
        <w:rPr>
          <w:b/>
          <w:bCs/>
        </w:rPr>
        <w:t xml:space="preserve">Ava and Briggs’s real 2020 record: </w:t>
      </w:r>
      <w:r>
        <w:t xml:space="preserve">Briggs fractured his hand jumping off the trampoline (1 urgent-care visit); Ava ran into a sprinkler on a wet slip-n-slide and needed 24 stitches (1 emergency-room visit).</w:t>
      </w:r>
    </w:p>
    <w:p>
      <w:pPr>
        <w:spacing w:after="160"/>
      </w:pPr>
      <w:r>
        <w:t xml:space="preserve">Across the whole family in 2020, that is </w:t>
      </w:r>
      <w:r>
        <w:rPr>
          <w:b/>
          <w:bCs/>
        </w:rPr>
        <w:t xml:space="preserve">3 unplanned urgent-care/ER incidents among 5 people in one year</w:t>
      </w:r>
      <w:r>
        <w:t xml:space="preserve"> — real data, not invented, and the basis for D3’s probability-and-mean estimate of 2021’s unplanned visits.</w:t>
      </w:r>
    </w:p>
    <w:p>
      <w:pPr>
        <w:pStyle w:val="Heading3"/>
        <w:spacing w:after="140" w:before="280"/>
      </w:pPr>
      <w:r>
        <w:rPr>
          <w:b/>
          <w:bCs/>
          <w:sz w:val="24"/>
          <w:szCs w:val="24"/>
        </w:rPr>
        <w:t xml:space="preserve">Appendix E — Real-World Reference Costs for Services Not Priced by Copay</w:t>
      </w:r>
    </w:p>
    <w:p>
      <w:pPr>
        <w:spacing w:after="160"/>
      </w:pPr>
      <w:r>
        <w:t xml:space="preserve">For any service where the family’s insurance cost-sharing is known (Appendix C) but the underlying dollar amount the provider actually bills is not given anywhere in this case, this case uses the most real, dated figures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60"/>
        <w:gridCol w:w="3100"/>
      </w:tblGrid>
      <w:tr>
        <w:trPr>
          <w:tblHeader/>
        </w:trPr>
        <w:tc>
          <w:tcPr>
            <w:tcW w:type="dxa" w:w="3400"/>
            <w:shd w:fill="DDE6F0" w:color="auto" w:val="clear"/>
            <w:tcMar>
              <w:top w:type="dxa" w:w="80"/>
              <w:left w:type="dxa" w:w="100"/>
              <w:bottom w:type="dxa" w:w="80"/>
              <w:right w:type="dxa" w:w="100"/>
            </w:tcMar>
            <w:vAlign w:val="center"/>
          </w:tcPr>
          <w:p>
            <w:r>
              <w:rPr>
                <w:b/>
                <w:bCs/>
                <w:sz w:val="19"/>
                <w:szCs w:val="19"/>
              </w:rPr>
              <w:t xml:space="preserve">Service</w:t>
            </w:r>
          </w:p>
        </w:tc>
        <w:tc>
          <w:tcPr>
            <w:tcW w:type="dxa" w:w="2860"/>
            <w:shd w:fill="DDE6F0" w:color="auto" w:val="clear"/>
            <w:tcMar>
              <w:top w:type="dxa" w:w="80"/>
              <w:left w:type="dxa" w:w="100"/>
              <w:bottom w:type="dxa" w:w="80"/>
              <w:right w:type="dxa" w:w="100"/>
            </w:tcMar>
            <w:vAlign w:val="center"/>
          </w:tcPr>
          <w:p>
            <w:r>
              <w:rPr>
                <w:b/>
                <w:bCs/>
                <w:sz w:val="19"/>
                <w:szCs w:val="19"/>
              </w:rPr>
              <w:t xml:space="preserve">Reference cost</w:t>
            </w:r>
          </w:p>
        </w:tc>
        <w:tc>
          <w:tcPr>
            <w:tcW w:type="dxa" w:w="3100"/>
            <w:shd w:fill="DDE6F0" w:color="auto" w:val="clear"/>
            <w:tcMar>
              <w:top w:type="dxa" w:w="80"/>
              <w:left w:type="dxa" w:w="100"/>
              <w:bottom w:type="dxa" w:w="80"/>
              <w:right w:type="dxa" w:w="100"/>
            </w:tcMar>
            <w:vAlign w:val="center"/>
          </w:tcPr>
          <w:p>
            <w:r>
              <w:rPr>
                <w:b/>
                <w:bCs/>
                <w:sz w:val="19"/>
                <w:szCs w:val="19"/>
              </w:rPr>
              <w:t xml:space="preserve">Source</w:t>
            </w:r>
          </w:p>
        </w:tc>
      </w:tr>
      <w:tr>
        <w:tc>
          <w:tcPr>
            <w:tcW w:type="dxa" w:w="3400"/>
            <w:tcMar>
              <w:top w:type="dxa" w:w="80"/>
              <w:left w:type="dxa" w:w="100"/>
              <w:bottom w:type="dxa" w:w="80"/>
              <w:right w:type="dxa" w:w="100"/>
            </w:tcMar>
            <w:vAlign w:val="center"/>
          </w:tcPr>
          <w:p>
            <w:r>
              <w:rPr>
                <w:sz w:val="19"/>
                <w:szCs w:val="19"/>
              </w:rPr>
              <w:t xml:space="preserve">Established-patient primary-care office visit, moderate complexity</w:t>
            </w:r>
          </w:p>
        </w:tc>
        <w:tc>
          <w:tcPr>
            <w:tcW w:type="dxa" w:w="2860"/>
            <w:tcMar>
              <w:top w:type="dxa" w:w="80"/>
              <w:left w:type="dxa" w:w="100"/>
              <w:bottom w:type="dxa" w:w="80"/>
              <w:right w:type="dxa" w:w="100"/>
            </w:tcMar>
            <w:vAlign w:val="center"/>
          </w:tcPr>
          <w:p>
            <w:r>
              <w:rPr>
                <w:sz w:val="19"/>
                <w:szCs w:val="19"/>
              </w:rPr>
              <w:t xml:space="preserve">$150</w:t>
            </w:r>
          </w:p>
        </w:tc>
        <w:tc>
          <w:tcPr>
            <w:tcW w:type="dxa" w:w="3100"/>
            <w:tcMar>
              <w:top w:type="dxa" w:w="80"/>
              <w:left w:type="dxa" w:w="100"/>
              <w:bottom w:type="dxa" w:w="80"/>
              <w:right w:type="dxa" w:w="100"/>
            </w:tcMar>
            <w:vAlign w:val="center"/>
          </w:tcPr>
          <w:p>
            <w:r>
              <w:rPr>
                <w:sz w:val="19"/>
                <w:szCs w:val="19"/>
              </w:rPr>
              <w:t xml:space="preserve">Kaiser Permanente Northern California 2021 Sample Fee List [S4]</w:t>
            </w:r>
          </w:p>
        </w:tc>
      </w:tr>
      <w:tr>
        <w:tc>
          <w:tcPr>
            <w:tcW w:type="dxa" w:w="3400"/>
            <w:tcMar>
              <w:top w:type="dxa" w:w="80"/>
              <w:left w:type="dxa" w:w="100"/>
              <w:bottom w:type="dxa" w:w="80"/>
              <w:right w:type="dxa" w:w="100"/>
            </w:tcMar>
            <w:vAlign w:val="center"/>
          </w:tcPr>
          <w:p>
            <w:r>
              <w:rPr>
                <w:sz w:val="19"/>
                <w:szCs w:val="19"/>
              </w:rPr>
              <w:t xml:space="preserve">Established-patient specialist office visit, moderate-high complexity</w:t>
            </w:r>
          </w:p>
        </w:tc>
        <w:tc>
          <w:tcPr>
            <w:tcW w:type="dxa" w:w="2860"/>
            <w:tcMar>
              <w:top w:type="dxa" w:w="80"/>
              <w:left w:type="dxa" w:w="100"/>
              <w:bottom w:type="dxa" w:w="80"/>
              <w:right w:type="dxa" w:w="100"/>
            </w:tcMar>
            <w:vAlign w:val="center"/>
          </w:tcPr>
          <w:p>
            <w:r>
              <w:rPr>
                <w:sz w:val="19"/>
                <w:szCs w:val="19"/>
              </w:rPr>
              <w:t xml:space="preserve">$215</w:t>
            </w:r>
          </w:p>
        </w:tc>
        <w:tc>
          <w:tcPr>
            <w:tcW w:type="dxa" w:w="3100"/>
            <w:tcMar>
              <w:top w:type="dxa" w:w="80"/>
              <w:left w:type="dxa" w:w="100"/>
              <w:bottom w:type="dxa" w:w="80"/>
              <w:right w:type="dxa" w:w="100"/>
            </w:tcMar>
            <w:vAlign w:val="center"/>
          </w:tcPr>
          <w:p>
            <w:r>
              <w:rPr>
                <w:sz w:val="19"/>
                <w:szCs w:val="19"/>
              </w:rPr>
              <w:t xml:space="preserve">Kaiser Permanente Northern California 2021 Sample Fee List [S4]</w:t>
            </w:r>
          </w:p>
        </w:tc>
      </w:tr>
      <w:tr>
        <w:tc>
          <w:tcPr>
            <w:tcW w:type="dxa" w:w="3400"/>
            <w:tcMar>
              <w:top w:type="dxa" w:w="80"/>
              <w:left w:type="dxa" w:w="100"/>
              <w:bottom w:type="dxa" w:w="80"/>
              <w:right w:type="dxa" w:w="100"/>
            </w:tcMar>
            <w:vAlign w:val="center"/>
          </w:tcPr>
          <w:p>
            <w:r>
              <w:rPr>
                <w:sz w:val="19"/>
                <w:szCs w:val="19"/>
              </w:rPr>
              <w:t xml:space="preserve">VCUG-type imaging procedure</w:t>
            </w:r>
          </w:p>
        </w:tc>
        <w:tc>
          <w:tcPr>
            <w:tcW w:type="dxa" w:w="2860"/>
            <w:tcMar>
              <w:top w:type="dxa" w:w="80"/>
              <w:left w:type="dxa" w:w="100"/>
              <w:bottom w:type="dxa" w:w="80"/>
              <w:right w:type="dxa" w:w="100"/>
            </w:tcMar>
            <w:vAlign w:val="center"/>
          </w:tcPr>
          <w:p>
            <w:r>
              <w:rPr>
                <w:sz w:val="19"/>
                <w:szCs w:val="19"/>
              </w:rPr>
              <w:t xml:space="preserve">$500 (midpoint of a real $304–$845 range)</w:t>
            </w:r>
          </w:p>
        </w:tc>
        <w:tc>
          <w:tcPr>
            <w:tcW w:type="dxa" w:w="3100"/>
            <w:tcMar>
              <w:top w:type="dxa" w:w="80"/>
              <w:left w:type="dxa" w:w="100"/>
              <w:bottom w:type="dxa" w:w="80"/>
              <w:right w:type="dxa" w:w="100"/>
            </w:tcMar>
            <w:vAlign w:val="center"/>
          </w:tcPr>
          <w:p>
            <w:r>
              <w:rPr>
                <w:sz w:val="19"/>
                <w:szCs w:val="19"/>
              </w:rPr>
              <w:t xml:space="preserve">MDsave cost-transparency platform [S5]</w:t>
            </w:r>
          </w:p>
        </w:tc>
      </w:tr>
      <w:tr>
        <w:tc>
          <w:tcPr>
            <w:tcW w:type="dxa" w:w="3400"/>
            <w:tcMar>
              <w:top w:type="dxa" w:w="80"/>
              <w:left w:type="dxa" w:w="100"/>
              <w:bottom w:type="dxa" w:w="80"/>
              <w:right w:type="dxa" w:w="100"/>
            </w:tcMar>
            <w:vAlign w:val="center"/>
          </w:tcPr>
          <w:p>
            <w:r>
              <w:rPr>
                <w:sz w:val="19"/>
                <w:szCs w:val="19"/>
              </w:rPr>
              <w:t xml:space="preserve">Urgent care visit, self-pay</w:t>
            </w:r>
          </w:p>
        </w:tc>
        <w:tc>
          <w:tcPr>
            <w:tcW w:type="dxa" w:w="2860"/>
            <w:tcMar>
              <w:top w:type="dxa" w:w="80"/>
              <w:left w:type="dxa" w:w="100"/>
              <w:bottom w:type="dxa" w:w="80"/>
              <w:right w:type="dxa" w:w="100"/>
            </w:tcMar>
            <w:vAlign w:val="center"/>
          </w:tcPr>
          <w:p>
            <w:r>
              <w:rPr>
                <w:sz w:val="19"/>
                <w:szCs w:val="19"/>
              </w:rPr>
              <w:t xml:space="preserve">$180</w:t>
            </w:r>
          </w:p>
        </w:tc>
        <w:tc>
          <w:tcPr>
            <w:tcW w:type="dxa" w:w="3100"/>
            <w:tcMar>
              <w:top w:type="dxa" w:w="80"/>
              <w:left w:type="dxa" w:w="100"/>
              <w:bottom w:type="dxa" w:w="80"/>
              <w:right w:type="dxa" w:w="100"/>
            </w:tcMar>
            <w:vAlign w:val="center"/>
          </w:tcPr>
          <w:p>
            <w:r>
              <w:rPr>
                <w:sz w:val="19"/>
                <w:szCs w:val="19"/>
              </w:rPr>
              <w:t xml:space="preserve">Current published self-pay averages [S6]</w:t>
            </w:r>
          </w:p>
        </w:tc>
      </w:tr>
      <w:tr>
        <w:tc>
          <w:tcPr>
            <w:tcW w:type="dxa" w:w="3400"/>
            <w:tcMar>
              <w:top w:type="dxa" w:w="80"/>
              <w:left w:type="dxa" w:w="100"/>
              <w:bottom w:type="dxa" w:w="80"/>
              <w:right w:type="dxa" w:w="100"/>
            </w:tcMar>
            <w:vAlign w:val="center"/>
          </w:tcPr>
          <w:p>
            <w:r>
              <w:rPr>
                <w:sz w:val="19"/>
                <w:szCs w:val="19"/>
              </w:rPr>
              <w:t xml:space="preserve">Emergency department visit, treat-and-release, U.S. average</w:t>
            </w:r>
          </w:p>
        </w:tc>
        <w:tc>
          <w:tcPr>
            <w:tcW w:type="dxa" w:w="2860"/>
            <w:tcMar>
              <w:top w:type="dxa" w:w="80"/>
              <w:left w:type="dxa" w:w="100"/>
              <w:bottom w:type="dxa" w:w="80"/>
              <w:right w:type="dxa" w:w="100"/>
            </w:tcMar>
            <w:vAlign w:val="center"/>
          </w:tcPr>
          <w:p>
            <w:r>
              <w:rPr>
                <w:sz w:val="19"/>
                <w:szCs w:val="19"/>
              </w:rPr>
              <w:t xml:space="preserve">$748 ($80.3 billion ÷ 107.4 million visits)</w:t>
            </w:r>
          </w:p>
        </w:tc>
        <w:tc>
          <w:tcPr>
            <w:tcW w:type="dxa" w:w="3100"/>
            <w:tcMar>
              <w:top w:type="dxa" w:w="80"/>
              <w:left w:type="dxa" w:w="100"/>
              <w:bottom w:type="dxa" w:w="80"/>
              <w:right w:type="dxa" w:w="100"/>
            </w:tcMar>
            <w:vAlign w:val="center"/>
          </w:tcPr>
          <w:p>
            <w:r>
              <w:rPr>
                <w:sz w:val="19"/>
                <w:szCs w:val="19"/>
              </w:rPr>
              <w:t xml:space="preserve">AHRQ Healthcare Cost and Utilization Project, Statistical Brief #311, 2021 data [S7]</w:t>
            </w:r>
          </w:p>
        </w:tc>
      </w:tr>
    </w:tbl>
    <w:p>
      <w:pPr>
        <w:spacing w:after="80"/>
      </w:pPr>
    </w:p>
    <w:p>
      <w:pPr>
        <w:spacing w:after="160"/>
      </w:pPr>
      <w:r>
        <w:t xml:space="preserve">Two caveats, stated in the open rather than smoothed over: the Kaiser figures are a real, dated (2021) professional fee schedule, but from Northern California, not Idaho — used here as the best available dated proxy (SEE Appendix G, MA3). The AHRQ figure is a real federal 2021 statistic, but it measures hospitals’ own cost of providing ED care (via a cost-to-charge ratio), which is not identical to what an uninsured patient is actually billed — used here as a defensible, real, dated stand-in (SEE Appendix G, MA4).</w:t>
      </w:r>
    </w:p>
    <w:p>
      <w:pPr>
        <w:pStyle w:val="Heading3"/>
        <w:spacing w:after="140" w:before="280"/>
      </w:pPr>
      <w:r>
        <w:rPr>
          <w:b/>
          <w:bCs/>
          <w:sz w:val="24"/>
          <w:szCs w:val="24"/>
        </w:rPr>
        <w:t xml:space="preserve">Appendix F — 2021 HSA and HDHP Federal Rules</w:t>
      </w:r>
    </w:p>
    <w:p>
      <w:pPr>
        <w:spacing w:after="160"/>
      </w:pPr>
      <w:r>
        <w:t xml:space="preserve">Real, current-for-2021 IRS rules, from Revenue Procedure 2020-32 [S8]: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shd w:fill="DDE6F0" w:color="auto" w:val="clear"/>
            <w:tcMar>
              <w:top w:type="dxa" w:w="80"/>
              <w:left w:type="dxa" w:w="100"/>
              <w:bottom w:type="dxa" w:w="80"/>
              <w:right w:type="dxa" w:w="100"/>
            </w:tcMar>
            <w:vAlign w:val="center"/>
          </w:tcPr>
          <w:p>
            <w:r>
              <w:rPr>
                <w:b/>
                <w:bCs/>
                <w:sz w:val="19"/>
                <w:szCs w:val="19"/>
              </w:rPr>
              <w:t xml:space="preserve">Rule</w:t>
            </w:r>
          </w:p>
        </w:tc>
        <w:tc>
          <w:tcPr>
            <w:tcW w:type="dxa" w:w="3600"/>
            <w:shd w:fill="DDE6F0" w:color="auto" w:val="clear"/>
            <w:tcMar>
              <w:top w:type="dxa" w:w="80"/>
              <w:left w:type="dxa" w:w="100"/>
              <w:bottom w:type="dxa" w:w="80"/>
              <w:right w:type="dxa" w:w="100"/>
            </w:tcMar>
            <w:vAlign w:val="center"/>
          </w:tcPr>
          <w:p>
            <w:r>
              <w:rPr>
                <w:b/>
                <w:bCs/>
                <w:sz w:val="19"/>
                <w:szCs w:val="19"/>
              </w:rPr>
              <w:t xml:space="preserve">2021 family-coverage figure</w:t>
            </w:r>
          </w:p>
        </w:tc>
      </w:tr>
      <w:tr>
        <w:tc>
          <w:tcPr>
            <w:tcW w:type="dxa" w:w="5760"/>
            <w:tcMar>
              <w:top w:type="dxa" w:w="80"/>
              <w:left w:type="dxa" w:w="100"/>
              <w:bottom w:type="dxa" w:w="80"/>
              <w:right w:type="dxa" w:w="100"/>
            </w:tcMar>
            <w:vAlign w:val="center"/>
          </w:tcPr>
          <w:p>
            <w:r>
              <w:rPr>
                <w:sz w:val="19"/>
                <w:szCs w:val="19"/>
              </w:rPr>
              <w:t xml:space="preserve">Minimum annual deductible to legally qualify as an HDHP</w:t>
            </w:r>
          </w:p>
        </w:tc>
        <w:tc>
          <w:tcPr>
            <w:tcW w:type="dxa" w:w="3600"/>
            <w:tcMar>
              <w:top w:type="dxa" w:w="80"/>
              <w:left w:type="dxa" w:w="100"/>
              <w:bottom w:type="dxa" w:w="80"/>
              <w:right w:type="dxa" w:w="100"/>
            </w:tcMar>
            <w:vAlign w:val="center"/>
          </w:tcPr>
          <w:p>
            <w:r>
              <w:rPr>
                <w:sz w:val="19"/>
                <w:szCs w:val="19"/>
              </w:rPr>
              <w:t xml:space="preserve">$2,800</w:t>
            </w:r>
          </w:p>
        </w:tc>
      </w:tr>
      <w:tr>
        <w:tc>
          <w:tcPr>
            <w:tcW w:type="dxa" w:w="5760"/>
            <w:tcMar>
              <w:top w:type="dxa" w:w="80"/>
              <w:left w:type="dxa" w:w="100"/>
              <w:bottom w:type="dxa" w:w="80"/>
              <w:right w:type="dxa" w:w="100"/>
            </w:tcMar>
            <w:vAlign w:val="center"/>
          </w:tcPr>
          <w:p>
            <w:r>
              <w:rPr>
                <w:sz w:val="19"/>
                <w:szCs w:val="19"/>
              </w:rPr>
              <w:t xml:space="preserve">Maximum annual out-of-pocket to legally qualify as an HDHP</w:t>
            </w:r>
          </w:p>
        </w:tc>
        <w:tc>
          <w:tcPr>
            <w:tcW w:type="dxa" w:w="3600"/>
            <w:tcMar>
              <w:top w:type="dxa" w:w="80"/>
              <w:left w:type="dxa" w:w="100"/>
              <w:bottom w:type="dxa" w:w="80"/>
              <w:right w:type="dxa" w:w="100"/>
            </w:tcMar>
            <w:vAlign w:val="center"/>
          </w:tcPr>
          <w:p>
            <w:r>
              <w:rPr>
                <w:sz w:val="19"/>
                <w:szCs w:val="19"/>
              </w:rPr>
              <w:t xml:space="preserve">$14,000</w:t>
            </w:r>
          </w:p>
        </w:tc>
      </w:tr>
      <w:tr>
        <w:tc>
          <w:tcPr>
            <w:tcW w:type="dxa" w:w="5760"/>
            <w:tcMar>
              <w:top w:type="dxa" w:w="80"/>
              <w:left w:type="dxa" w:w="100"/>
              <w:bottom w:type="dxa" w:w="80"/>
              <w:right w:type="dxa" w:w="100"/>
            </w:tcMar>
            <w:vAlign w:val="center"/>
          </w:tcPr>
          <w:p>
            <w:r>
              <w:rPr>
                <w:sz w:val="19"/>
                <w:szCs w:val="19"/>
              </w:rPr>
              <w:t xml:space="preserve">Maximum annual HSA contribution</w:t>
            </w:r>
          </w:p>
        </w:tc>
        <w:tc>
          <w:tcPr>
            <w:tcW w:type="dxa" w:w="3600"/>
            <w:tcMar>
              <w:top w:type="dxa" w:w="80"/>
              <w:left w:type="dxa" w:w="100"/>
              <w:bottom w:type="dxa" w:w="80"/>
              <w:right w:type="dxa" w:w="100"/>
            </w:tcMar>
            <w:vAlign w:val="center"/>
          </w:tcPr>
          <w:p>
            <w:r>
              <w:rPr>
                <w:sz w:val="19"/>
                <w:szCs w:val="19"/>
              </w:rPr>
              <w:t xml:space="preserve">$7,200</w:t>
            </w:r>
          </w:p>
        </w:tc>
      </w:tr>
    </w:tbl>
    <w:p>
      <w:pPr>
        <w:spacing w:after="80"/>
      </w:pPr>
    </w:p>
    <w:p>
      <w:pPr>
        <w:spacing w:after="160"/>
      </w:pPr>
      <w:r>
        <w:t xml:space="preserve">Checked against Appendix A: the friend’s plan’s $6,300 deductible clears the real $2,800 legal floor, and its $12,800 family out-of-pocket maximum stays under the real $14,000 legal ceiling — so it is a real, rules-compliant HSA-qualified HDHP, even though this case cannot independently verify the specific insurer or plan name (SEE Appendix G, MA1).</w:t>
      </w:r>
    </w:p>
    <w:p>
      <w:pPr>
        <w:pStyle w:val="Heading3"/>
        <w:spacing w:after="140" w:before="280"/>
      </w:pPr>
      <w:r>
        <w:rPr>
          <w:b/>
          <w:bCs/>
          <w:sz w:val="24"/>
          <w:szCs w:val="24"/>
        </w:rPr>
        <w:t xml:space="preserve">Appendix G — Modeling Assumptions</w:t>
      </w:r>
    </w:p>
    <w:p>
      <w:pPr>
        <w:shd w:fill="FFF6D8" w:color="auto" w:val="clear"/>
        <w:spacing w:after="200"/>
        <w:ind w:left="120" w:right="120"/>
      </w:pPr>
      <w:r>
        <w:rPr>
          <w:i/>
          <w:iCs/>
        </w:rPr>
        <w:t xml:space="preserve">These figures are not sourced to a specific document. They are stated scenario assumptions chosen by the case author, each with a real basis. A Hero may challenge any of them in discussion — that is a legitimate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100"/>
        <w:gridCol w:w="1300"/>
        <w:gridCol w:w="2820"/>
        <w:gridCol w:w="2360"/>
      </w:tblGrid>
      <w:tr>
        <w:trPr>
          <w:tblHeader/>
        </w:trPr>
        <w:tc>
          <w:tcPr>
            <w:tcW w:type="dxa" w:w="780"/>
            <w:shd w:fill="DDE6F0" w:color="auto" w:val="clear"/>
            <w:tcMar>
              <w:top w:type="dxa" w:w="80"/>
              <w:left w:type="dxa" w:w="100"/>
              <w:bottom w:type="dxa" w:w="80"/>
              <w:right w:type="dxa" w:w="100"/>
            </w:tcMar>
            <w:vAlign w:val="center"/>
          </w:tcPr>
          <w:p>
            <w:r>
              <w:rPr>
                <w:b/>
                <w:bCs/>
                <w:sz w:val="19"/>
                <w:szCs w:val="19"/>
              </w:rPr>
              <w:t xml:space="preserve">#</w:t>
            </w:r>
          </w:p>
        </w:tc>
        <w:tc>
          <w:tcPr>
            <w:tcW w:type="dxa" w:w="2100"/>
            <w:shd w:fill="DDE6F0" w:color="auto" w:val="clear"/>
            <w:tcMar>
              <w:top w:type="dxa" w:w="80"/>
              <w:left w:type="dxa" w:w="100"/>
              <w:bottom w:type="dxa" w:w="80"/>
              <w:right w:type="dxa" w:w="100"/>
            </w:tcMar>
            <w:vAlign w:val="center"/>
          </w:tcPr>
          <w:p>
            <w:r>
              <w:rPr>
                <w:b/>
                <w:bCs/>
                <w:sz w:val="19"/>
                <w:szCs w:val="19"/>
              </w:rPr>
              <w:t xml:space="preserve">Assumption</w:t>
            </w:r>
          </w:p>
        </w:tc>
        <w:tc>
          <w:tcPr>
            <w:tcW w:type="dxa" w:w="1300"/>
            <w:shd w:fill="DDE6F0" w:color="auto" w:val="clear"/>
            <w:tcMar>
              <w:top w:type="dxa" w:w="80"/>
              <w:left w:type="dxa" w:w="100"/>
              <w:bottom w:type="dxa" w:w="80"/>
              <w:right w:type="dxa" w:w="100"/>
            </w:tcMar>
            <w:vAlign w:val="center"/>
          </w:tcPr>
          <w:p>
            <w:r>
              <w:rPr>
                <w:b/>
                <w:bCs/>
                <w:sz w:val="19"/>
                <w:szCs w:val="19"/>
              </w:rPr>
              <w:t xml:space="preserve">Value used</w:t>
            </w:r>
          </w:p>
        </w:tc>
        <w:tc>
          <w:tcPr>
            <w:tcW w:type="dxa" w:w="2820"/>
            <w:shd w:fill="DDE6F0" w:color="auto" w:val="clear"/>
            <w:tcMar>
              <w:top w:type="dxa" w:w="80"/>
              <w:left w:type="dxa" w:w="100"/>
              <w:bottom w:type="dxa" w:w="80"/>
              <w:right w:type="dxa" w:w="100"/>
            </w:tcMar>
            <w:vAlign w:val="center"/>
          </w:tcPr>
          <w:p>
            <w:r>
              <w:rPr>
                <w:b/>
                <w:bCs/>
                <w:sz w:val="19"/>
                <w:szCs w:val="19"/>
              </w:rPr>
              <w:t xml:space="preserve">Basis</w:t>
            </w:r>
          </w:p>
        </w:tc>
        <w:tc>
          <w:tcPr>
            <w:tcW w:type="dxa" w:w="2360"/>
            <w:shd w:fill="DDE6F0" w:color="auto" w:val="clear"/>
            <w:tcMar>
              <w:top w:type="dxa" w:w="80"/>
              <w:left w:type="dxa" w:w="100"/>
              <w:bottom w:type="dxa" w:w="80"/>
              <w:right w:type="dxa" w:w="100"/>
            </w:tcMar>
            <w:vAlign w:val="center"/>
          </w:tcPr>
          <w:p>
            <w:r>
              <w:rPr>
                <w:b/>
                <w:bCs/>
                <w:sz w:val="19"/>
                <w:szCs w:val="19"/>
              </w:rPr>
              <w:t xml:space="preserve">Sensitivity</w:t>
            </w:r>
          </w:p>
        </w:tc>
      </w:tr>
      <w:tr>
        <w:tc>
          <w:tcPr>
            <w:tcW w:type="dxa" w:w="780"/>
            <w:tcMar>
              <w:top w:type="dxa" w:w="80"/>
              <w:left w:type="dxa" w:w="100"/>
              <w:bottom w:type="dxa" w:w="80"/>
              <w:right w:type="dxa" w:w="100"/>
            </w:tcMar>
            <w:vAlign w:val="center"/>
          </w:tcPr>
          <w:p>
            <w:r>
              <w:rPr>
                <w:sz w:val="19"/>
                <w:szCs w:val="19"/>
              </w:rPr>
              <w:t xml:space="preserve">MA1</w:t>
            </w:r>
          </w:p>
        </w:tc>
        <w:tc>
          <w:tcPr>
            <w:tcW w:type="dxa" w:w="2100"/>
            <w:tcMar>
              <w:top w:type="dxa" w:w="80"/>
              <w:left w:type="dxa" w:w="100"/>
              <w:bottom w:type="dxa" w:w="80"/>
              <w:right w:type="dxa" w:w="100"/>
            </w:tcMar>
            <w:vAlign w:val="center"/>
          </w:tcPr>
          <w:p>
            <w:r>
              <w:rPr>
                <w:sz w:val="19"/>
                <w:szCs w:val="19"/>
              </w:rPr>
              <w:t xml:space="preserve">The friend’s HDHP plan’s coinsurance rate between the $6,300 deductible and the $12,800 family out-of-pocket maximum</w:t>
            </w:r>
          </w:p>
        </w:tc>
        <w:tc>
          <w:tcPr>
            <w:tcW w:type="dxa" w:w="1300"/>
            <w:tcMar>
              <w:top w:type="dxa" w:w="80"/>
              <w:left w:type="dxa" w:w="100"/>
              <w:bottom w:type="dxa" w:w="80"/>
              <w:right w:type="dxa" w:w="100"/>
            </w:tcMar>
            <w:vAlign w:val="center"/>
          </w:tcPr>
          <w:p>
            <w:r>
              <w:rPr>
                <w:sz w:val="19"/>
                <w:szCs w:val="19"/>
              </w:rPr>
              <w:t xml:space="preserve">20% coinsurance</w:t>
            </w:r>
          </w:p>
        </w:tc>
        <w:tc>
          <w:tcPr>
            <w:tcW w:type="dxa" w:w="2820"/>
            <w:tcMar>
              <w:top w:type="dxa" w:w="80"/>
              <w:left w:type="dxa" w:w="100"/>
              <w:bottom w:type="dxa" w:w="80"/>
              <w:right w:type="dxa" w:w="100"/>
            </w:tcMar>
            <w:vAlign w:val="center"/>
          </w:tcPr>
          <w:p>
            <w:r>
              <w:rPr>
                <w:sz w:val="19"/>
                <w:szCs w:val="19"/>
              </w:rPr>
              <w:t xml:space="preserve">The source material states only a deductible and an out-of-pocket maximum, not a coinsurance rate — and since the family OOP max is $6,500 above the deductible rather than equal to it, this case models a real, common HDHP coinsurance layer in that gap rather than assuming the plan pays 100% the instant the deductible is met.</w:t>
            </w:r>
          </w:p>
        </w:tc>
        <w:tc>
          <w:tcPr>
            <w:tcW w:type="dxa" w:w="2360"/>
            <w:tcMar>
              <w:top w:type="dxa" w:w="80"/>
              <w:left w:type="dxa" w:w="100"/>
              <w:bottom w:type="dxa" w:w="80"/>
              <w:right w:type="dxa" w:w="100"/>
            </w:tcMar>
            <w:vAlign w:val="center"/>
          </w:tcPr>
          <w:p>
            <w:r>
              <w:rPr>
                <w:sz w:val="19"/>
                <w:szCs w:val="19"/>
              </w:rPr>
              <w:t xml:space="preserve">This assumption is load-bearing for any scenario that pushes total spending past the deductible.</w:t>
            </w:r>
          </w:p>
        </w:tc>
      </w:tr>
      <w:tr>
        <w:tc>
          <w:tcPr>
            <w:tcW w:type="dxa" w:w="780"/>
            <w:tcMar>
              <w:top w:type="dxa" w:w="80"/>
              <w:left w:type="dxa" w:w="100"/>
              <w:bottom w:type="dxa" w:w="80"/>
              <w:right w:type="dxa" w:w="100"/>
            </w:tcMar>
            <w:vAlign w:val="center"/>
          </w:tcPr>
          <w:p>
            <w:r>
              <w:rPr>
                <w:sz w:val="19"/>
                <w:szCs w:val="19"/>
              </w:rPr>
              <w:t xml:space="preserve">MA2</w:t>
            </w:r>
          </w:p>
        </w:tc>
        <w:tc>
          <w:tcPr>
            <w:tcW w:type="dxa" w:w="2100"/>
            <w:tcMar>
              <w:top w:type="dxa" w:w="80"/>
              <w:left w:type="dxa" w:w="100"/>
              <w:bottom w:type="dxa" w:w="80"/>
              <w:right w:type="dxa" w:w="100"/>
            </w:tcMar>
            <w:vAlign w:val="center"/>
          </w:tcPr>
          <w:p>
            <w:r>
              <w:rPr>
                <w:sz w:val="19"/>
                <w:szCs w:val="19"/>
              </w:rPr>
              <w:t xml:space="preserve">The friend’s plan’s $125/mo premium and deductible/OOP figures are used exactly as given</w:t>
            </w:r>
          </w:p>
        </w:tc>
        <w:tc>
          <w:tcPr>
            <w:tcW w:type="dxa" w:w="1300"/>
            <w:tcMar>
              <w:top w:type="dxa" w:w="80"/>
              <w:left w:type="dxa" w:w="100"/>
              <w:bottom w:type="dxa" w:w="80"/>
              <w:right w:type="dxa" w:w="100"/>
            </w:tcMar>
            <w:vAlign w:val="center"/>
          </w:tcPr>
          <w:p>
            <w:r>
              <w:rPr>
                <w:sz w:val="19"/>
                <w:szCs w:val="19"/>
              </w:rPr>
              <w:t xml:space="preserve">as stated in Appendix A</w:t>
            </w:r>
          </w:p>
        </w:tc>
        <w:tc>
          <w:tcPr>
            <w:tcW w:type="dxa" w:w="2820"/>
            <w:tcMar>
              <w:top w:type="dxa" w:w="80"/>
              <w:left w:type="dxa" w:w="100"/>
              <w:bottom w:type="dxa" w:w="80"/>
              <w:right w:type="dxa" w:w="100"/>
            </w:tcMar>
            <w:vAlign w:val="center"/>
          </w:tcPr>
          <w:p>
            <w:r>
              <w:rPr>
                <w:sz w:val="19"/>
                <w:szCs w:val="19"/>
              </w:rPr>
              <w:t xml:space="preserve">This information was relayed to Greg secondhand from a friend’s own plan, not the Sandersons’ own personalized marketplace quote — it is not independently, publicly verifiable the way Appendix C’s figures are. It is checked for real-world plausibility in Appendix F and used as the scenario’s stated starting point.</w:t>
            </w:r>
          </w:p>
        </w:tc>
        <w:tc>
          <w:tcPr>
            <w:tcW w:type="dxa" w:w="2360"/>
            <w:tcMar>
              <w:top w:type="dxa" w:w="80"/>
              <w:left w:type="dxa" w:w="100"/>
              <w:bottom w:type="dxa" w:w="80"/>
              <w:right w:type="dxa" w:w="100"/>
            </w:tcMar>
            <w:vAlign w:val="center"/>
          </w:tcPr>
          <w:p>
            <w:r>
              <w:rPr>
                <w:sz w:val="19"/>
                <w:szCs w:val="19"/>
              </w:rPr>
              <w:t xml:space="preserve">If the Sandersons’ own real premium for an equivalent plan differs from $125/mo, every dollar total involving Option A shifts accordingly.</w:t>
            </w:r>
          </w:p>
        </w:tc>
      </w:tr>
      <w:tr>
        <w:tc>
          <w:tcPr>
            <w:tcW w:type="dxa" w:w="780"/>
            <w:tcMar>
              <w:top w:type="dxa" w:w="80"/>
              <w:left w:type="dxa" w:w="100"/>
              <w:bottom w:type="dxa" w:w="80"/>
              <w:right w:type="dxa" w:w="100"/>
            </w:tcMar>
            <w:vAlign w:val="center"/>
          </w:tcPr>
          <w:p>
            <w:r>
              <w:rPr>
                <w:sz w:val="19"/>
                <w:szCs w:val="19"/>
              </w:rPr>
              <w:t xml:space="preserve">MA3</w:t>
            </w:r>
          </w:p>
        </w:tc>
        <w:tc>
          <w:tcPr>
            <w:tcW w:type="dxa" w:w="2100"/>
            <w:tcMar>
              <w:top w:type="dxa" w:w="80"/>
              <w:left w:type="dxa" w:w="100"/>
              <w:bottom w:type="dxa" w:w="80"/>
              <w:right w:type="dxa" w:w="100"/>
            </w:tcMar>
            <w:vAlign w:val="center"/>
          </w:tcPr>
          <w:p>
            <w:r>
              <w:rPr>
                <w:sz w:val="19"/>
                <w:szCs w:val="19"/>
              </w:rPr>
              <w:t xml:space="preserve">Primary-care and specialist office-visit reference costs</w:t>
            </w:r>
          </w:p>
        </w:tc>
        <w:tc>
          <w:tcPr>
            <w:tcW w:type="dxa" w:w="1300"/>
            <w:tcMar>
              <w:top w:type="dxa" w:w="80"/>
              <w:left w:type="dxa" w:w="100"/>
              <w:bottom w:type="dxa" w:w="80"/>
              <w:right w:type="dxa" w:w="100"/>
            </w:tcMar>
            <w:vAlign w:val="center"/>
          </w:tcPr>
          <w:p>
            <w:r>
              <w:rPr>
                <w:sz w:val="19"/>
                <w:szCs w:val="19"/>
              </w:rPr>
              <w:t xml:space="preserve">$150 and $215</w:t>
            </w:r>
          </w:p>
        </w:tc>
        <w:tc>
          <w:tcPr>
            <w:tcW w:type="dxa" w:w="2820"/>
            <w:tcMar>
              <w:top w:type="dxa" w:w="80"/>
              <w:left w:type="dxa" w:w="100"/>
              <w:bottom w:type="dxa" w:w="80"/>
              <w:right w:type="dxa" w:w="100"/>
            </w:tcMar>
            <w:vAlign w:val="center"/>
          </w:tcPr>
          <w:p>
            <w:r>
              <w:rPr>
                <w:sz w:val="19"/>
                <w:szCs w:val="19"/>
              </w:rPr>
              <w:t xml:space="preserve">Appendix E’s Kaiser Permanente Northern California 2021 fee schedule is real and dated, but not an Idaho-specific figure, and does not separately list "urology" as its own line — this case uses its general office-visit complexity tiers as a stated proxy.</w:t>
            </w:r>
          </w:p>
        </w:tc>
        <w:tc>
          <w:tcPr>
            <w:tcW w:type="dxa" w:w="2360"/>
            <w:tcMar>
              <w:top w:type="dxa" w:w="80"/>
              <w:left w:type="dxa" w:w="100"/>
              <w:bottom w:type="dxa" w:w="80"/>
              <w:right w:type="dxa" w:w="100"/>
            </w:tcMar>
            <w:vAlign w:val="center"/>
          </w:tcPr>
          <w:p>
            <w:r>
              <w:rPr>
                <w:sz w:val="19"/>
                <w:szCs w:val="19"/>
              </w:rPr>
              <w:t xml:space="preserve">A regional or specialty-specific cost that is meaningfully higher or lower shifts Option A’s out-of-pocket total more than Option B’s, since B’s PCP/specialist cost-sharing is a flat copay regardless of the provider’s actual bill.</w:t>
            </w:r>
          </w:p>
        </w:tc>
      </w:tr>
      <w:tr>
        <w:tc>
          <w:tcPr>
            <w:tcW w:type="dxa" w:w="780"/>
            <w:tcMar>
              <w:top w:type="dxa" w:w="80"/>
              <w:left w:type="dxa" w:w="100"/>
              <w:bottom w:type="dxa" w:w="80"/>
              <w:right w:type="dxa" w:w="100"/>
            </w:tcMar>
            <w:vAlign w:val="center"/>
          </w:tcPr>
          <w:p>
            <w:r>
              <w:rPr>
                <w:sz w:val="19"/>
                <w:szCs w:val="19"/>
              </w:rPr>
              <w:t xml:space="preserve">MA4</w:t>
            </w:r>
          </w:p>
        </w:tc>
        <w:tc>
          <w:tcPr>
            <w:tcW w:type="dxa" w:w="2100"/>
            <w:tcMar>
              <w:top w:type="dxa" w:w="80"/>
              <w:left w:type="dxa" w:w="100"/>
              <w:bottom w:type="dxa" w:w="80"/>
              <w:right w:type="dxa" w:w="100"/>
            </w:tcMar>
            <w:vAlign w:val="center"/>
          </w:tcPr>
          <w:p>
            <w:r>
              <w:rPr>
                <w:sz w:val="19"/>
                <w:szCs w:val="19"/>
              </w:rPr>
              <w:t xml:space="preserve">VCUG imaging and urgent-care reference costs</w:t>
            </w:r>
          </w:p>
        </w:tc>
        <w:tc>
          <w:tcPr>
            <w:tcW w:type="dxa" w:w="1300"/>
            <w:tcMar>
              <w:top w:type="dxa" w:w="80"/>
              <w:left w:type="dxa" w:w="100"/>
              <w:bottom w:type="dxa" w:w="80"/>
              <w:right w:type="dxa" w:w="100"/>
            </w:tcMar>
            <w:vAlign w:val="center"/>
          </w:tcPr>
          <w:p>
            <w:r>
              <w:rPr>
                <w:sz w:val="19"/>
                <w:szCs w:val="19"/>
              </w:rPr>
              <w:t xml:space="preserve">$500 and $180</w:t>
            </w:r>
          </w:p>
        </w:tc>
        <w:tc>
          <w:tcPr>
            <w:tcW w:type="dxa" w:w="2820"/>
            <w:tcMar>
              <w:top w:type="dxa" w:w="80"/>
              <w:left w:type="dxa" w:w="100"/>
              <w:bottom w:type="dxa" w:w="80"/>
              <w:right w:type="dxa" w:w="100"/>
            </w:tcMar>
            <w:vAlign w:val="center"/>
          </w:tcPr>
          <w:p>
            <w:r>
              <w:rPr>
                <w:sz w:val="19"/>
                <w:szCs w:val="19"/>
              </w:rPr>
              <w:t xml:space="preserve">No Idaho-specific, 2021-dated figure was found for either service; this case uses current cost-transparency data as a stated, disclosed proxy (SEE Appendix E).</w:t>
            </w:r>
          </w:p>
        </w:tc>
        <w:tc>
          <w:tcPr>
            <w:tcW w:type="dxa" w:w="2360"/>
            <w:tcMar>
              <w:top w:type="dxa" w:w="80"/>
              <w:left w:type="dxa" w:w="100"/>
              <w:bottom w:type="dxa" w:w="80"/>
              <w:right w:type="dxa" w:w="100"/>
            </w:tcMar>
            <w:vAlign w:val="center"/>
          </w:tcPr>
          <w:p>
            <w:r>
              <w:rPr>
                <w:sz w:val="19"/>
                <w:szCs w:val="19"/>
              </w:rPr>
              <w:t xml:space="preserve">Same direction of effect as MA3 — these costs matter more under Option A, where the family pays the full reference cost until the deductible is met.</w:t>
            </w:r>
          </w:p>
        </w:tc>
      </w:tr>
      <w:tr>
        <w:tc>
          <w:tcPr>
            <w:tcW w:type="dxa" w:w="780"/>
            <w:tcMar>
              <w:top w:type="dxa" w:w="80"/>
              <w:left w:type="dxa" w:w="100"/>
              <w:bottom w:type="dxa" w:w="80"/>
              <w:right w:type="dxa" w:w="100"/>
            </w:tcMar>
            <w:vAlign w:val="center"/>
          </w:tcPr>
          <w:p>
            <w:r>
              <w:rPr>
                <w:sz w:val="19"/>
                <w:szCs w:val="19"/>
              </w:rPr>
              <w:t xml:space="preserve">MA5</w:t>
            </w:r>
          </w:p>
        </w:tc>
        <w:tc>
          <w:tcPr>
            <w:tcW w:type="dxa" w:w="2100"/>
            <w:tcMar>
              <w:top w:type="dxa" w:w="80"/>
              <w:left w:type="dxa" w:w="100"/>
              <w:bottom w:type="dxa" w:w="80"/>
              <w:right w:type="dxa" w:w="100"/>
            </w:tcMar>
            <w:vAlign w:val="center"/>
          </w:tcPr>
          <w:p>
            <w:r>
              <w:rPr>
                <w:sz w:val="19"/>
                <w:szCs w:val="19"/>
              </w:rPr>
              <w:t xml:space="preserve">The generic antibiotic Neri takes is billed as a Navigator Gold 2000 Tier 1 (generic) drug</w:t>
            </w:r>
          </w:p>
        </w:tc>
        <w:tc>
          <w:tcPr>
            <w:tcW w:type="dxa" w:w="1300"/>
            <w:tcMar>
              <w:top w:type="dxa" w:w="80"/>
              <w:left w:type="dxa" w:w="100"/>
              <w:bottom w:type="dxa" w:w="80"/>
              <w:right w:type="dxa" w:w="100"/>
            </w:tcMar>
            <w:vAlign w:val="center"/>
          </w:tcPr>
          <w:p>
            <w:r>
              <w:rPr>
                <w:sz w:val="19"/>
                <w:szCs w:val="19"/>
              </w:rPr>
              <w:t xml:space="preserve">Tier 1, $15 copay</w:t>
            </w:r>
          </w:p>
        </w:tc>
        <w:tc>
          <w:tcPr>
            <w:tcW w:type="dxa" w:w="2820"/>
            <w:tcMar>
              <w:top w:type="dxa" w:w="80"/>
              <w:left w:type="dxa" w:w="100"/>
              <w:bottom w:type="dxa" w:w="80"/>
              <w:right w:type="dxa" w:w="100"/>
            </w:tcMar>
            <w:vAlign w:val="center"/>
          </w:tcPr>
          <w:p>
            <w:r>
              <w:rPr>
                <w:sz w:val="19"/>
                <w:szCs w:val="19"/>
              </w:rPr>
              <w:t xml:space="preserve">Generic antibiotics are almost always the lowest cost-sharing tier on a marketplace formulary; this case does not have Navigator Gold 2000’s actual drug formulary to confirm it.</w:t>
            </w:r>
          </w:p>
        </w:tc>
        <w:tc>
          <w:tcPr>
            <w:tcW w:type="dxa" w:w="2360"/>
            <w:tcMar>
              <w:top w:type="dxa" w:w="80"/>
              <w:left w:type="dxa" w:w="100"/>
              <w:bottom w:type="dxa" w:w="80"/>
              <w:right w:type="dxa" w:w="100"/>
            </w:tcMar>
            <w:vAlign w:val="center"/>
          </w:tcPr>
          <w:p>
            <w:r>
              <w:rPr>
                <w:sz w:val="19"/>
                <w:szCs w:val="19"/>
              </w:rPr>
              <w:t xml:space="preserve">Small dollar impact either way — the gap between Tier 1 ($15) and Tier 2 ($60) copay is $45/month at most.</w:t>
            </w:r>
          </w:p>
        </w:tc>
      </w:tr>
    </w:tbl>
    <w:p>
      <w:pPr>
        <w:pStyle w:val="Heading3"/>
        <w:spacing w:after="140" w:before="280"/>
      </w:pPr>
      <w:r>
        <w:rPr>
          <w:b/>
          <w:bCs/>
          <w:sz w:val="24"/>
          <w:szCs w:val="24"/>
        </w:rPr>
        <w:t xml:space="preserve">Appendix H —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000"/>
        <w:gridCol w:w="2000"/>
        <w:gridCol w:w="2200"/>
        <w:gridCol w:w="1300"/>
        <w:gridCol w:w="1440"/>
      </w:tblGrid>
      <w:tr>
        <w:trPr>
          <w:tblHeader/>
        </w:trPr>
        <w:tc>
          <w:tcPr>
            <w:tcW w:type="dxa" w:w="420"/>
            <w:shd w:fill="DDE6F0" w:color="auto" w:val="clear"/>
            <w:tcMar>
              <w:top w:type="dxa" w:w="80"/>
              <w:left w:type="dxa" w:w="100"/>
              <w:bottom w:type="dxa" w:w="80"/>
              <w:right w:type="dxa" w:w="100"/>
            </w:tcMar>
            <w:vAlign w:val="center"/>
          </w:tcPr>
          <w:p>
            <w:r>
              <w:rPr>
                <w:b/>
                <w:bCs/>
                <w:sz w:val="19"/>
                <w:szCs w:val="19"/>
              </w:rPr>
              <w:t xml:space="preserve">#</w:t>
            </w:r>
          </w:p>
        </w:tc>
        <w:tc>
          <w:tcPr>
            <w:tcW w:type="dxa" w:w="2000"/>
            <w:shd w:fill="DDE6F0" w:color="auto" w:val="clear"/>
            <w:tcMar>
              <w:top w:type="dxa" w:w="80"/>
              <w:left w:type="dxa" w:w="100"/>
              <w:bottom w:type="dxa" w:w="80"/>
              <w:right w:type="dxa" w:w="100"/>
            </w:tcMar>
            <w:vAlign w:val="center"/>
          </w:tcPr>
          <w:p>
            <w:r>
              <w:rPr>
                <w:b/>
                <w:bCs/>
                <w:sz w:val="19"/>
                <w:szCs w:val="19"/>
              </w:rPr>
              <w:t xml:space="preserve">Claim</w:t>
            </w:r>
          </w:p>
        </w:tc>
        <w:tc>
          <w:tcPr>
            <w:tcW w:type="dxa" w:w="2000"/>
            <w:shd w:fill="DDE6F0" w:color="auto" w:val="clear"/>
            <w:tcMar>
              <w:top w:type="dxa" w:w="80"/>
              <w:left w:type="dxa" w:w="100"/>
              <w:bottom w:type="dxa" w:w="80"/>
              <w:right w:type="dxa" w:w="100"/>
            </w:tcMar>
            <w:vAlign w:val="center"/>
          </w:tcPr>
          <w:p>
            <w:r>
              <w:rPr>
                <w:b/>
                <w:bCs/>
                <w:sz w:val="19"/>
                <w:szCs w:val="19"/>
              </w:rPr>
              <w:t xml:space="preserve">Value</w:t>
            </w:r>
          </w:p>
        </w:tc>
        <w:tc>
          <w:tcPr>
            <w:tcW w:type="dxa" w:w="2200"/>
            <w:shd w:fill="DDE6F0" w:color="auto" w:val="clear"/>
            <w:tcMar>
              <w:top w:type="dxa" w:w="80"/>
              <w:left w:type="dxa" w:w="100"/>
              <w:bottom w:type="dxa" w:w="80"/>
              <w:right w:type="dxa" w:w="100"/>
            </w:tcMar>
            <w:vAlign w:val="center"/>
          </w:tcPr>
          <w:p>
            <w:r>
              <w:rPr>
                <w:b/>
                <w:bCs/>
                <w:sz w:val="19"/>
                <w:szCs w:val="19"/>
              </w:rPr>
              <w:t xml:space="preserve">Source</w:t>
            </w:r>
          </w:p>
        </w:tc>
        <w:tc>
          <w:tcPr>
            <w:tcW w:type="dxa" w:w="1300"/>
            <w:shd w:fill="DDE6F0" w:color="auto" w:val="clear"/>
            <w:tcMar>
              <w:top w:type="dxa" w:w="80"/>
              <w:left w:type="dxa" w:w="100"/>
              <w:bottom w:type="dxa" w:w="80"/>
              <w:right w:type="dxa" w:w="100"/>
            </w:tcMar>
            <w:vAlign w:val="center"/>
          </w:tcPr>
          <w:p>
            <w:r>
              <w:rPr>
                <w:b/>
                <w:bCs/>
                <w:sz w:val="19"/>
                <w:szCs w:val="19"/>
              </w:rPr>
              <w:t xml:space="preserve">Date</w:t>
            </w:r>
          </w:p>
        </w:tc>
        <w:tc>
          <w:tcPr>
            <w:tcW w:type="dxa" w:w="1440"/>
            <w:shd w:fill="DDE6F0" w:color="auto" w:val="clear"/>
            <w:tcMar>
              <w:top w:type="dxa" w:w="80"/>
              <w:left w:type="dxa" w:w="100"/>
              <w:bottom w:type="dxa" w:w="80"/>
              <w:right w:type="dxa" w:w="100"/>
            </w:tcMar>
            <w:vAlign w:val="center"/>
          </w:tcPr>
          <w:p>
            <w:r>
              <w:rPr>
                <w:b/>
                <w:bCs/>
                <w:sz w:val="19"/>
                <w:szCs w:val="19"/>
              </w:rPr>
              <w:t xml:space="preserve">Confidence</w:t>
            </w:r>
          </w:p>
        </w:tc>
      </w:tr>
      <w:tr>
        <w:tc>
          <w:tcPr>
            <w:tcW w:type="dxa" w:w="420"/>
            <w:tcMar>
              <w:top w:type="dxa" w:w="80"/>
              <w:left w:type="dxa" w:w="100"/>
              <w:bottom w:type="dxa" w:w="80"/>
              <w:right w:type="dxa" w:w="100"/>
            </w:tcMar>
            <w:vAlign w:val="center"/>
          </w:tcPr>
          <w:p>
            <w:r>
              <w:rPr>
                <w:sz w:val="19"/>
                <w:szCs w:val="19"/>
              </w:rPr>
              <w:t xml:space="preserve">S1</w:t>
            </w:r>
          </w:p>
        </w:tc>
        <w:tc>
          <w:tcPr>
            <w:tcW w:type="dxa" w:w="2000"/>
            <w:tcMar>
              <w:top w:type="dxa" w:w="80"/>
              <w:left w:type="dxa" w:w="100"/>
              <w:bottom w:type="dxa" w:w="80"/>
              <w:right w:type="dxa" w:w="100"/>
            </w:tcMar>
            <w:vAlign w:val="center"/>
          </w:tcPr>
          <w:p>
            <w:r>
              <w:rPr>
                <w:sz w:val="19"/>
                <w:szCs w:val="19"/>
              </w:rPr>
              <w:t xml:space="preserve">Friend’s HDHP plan terms</w:t>
            </w:r>
          </w:p>
        </w:tc>
        <w:tc>
          <w:tcPr>
            <w:tcW w:type="dxa" w:w="2000"/>
            <w:tcMar>
              <w:top w:type="dxa" w:w="80"/>
              <w:left w:type="dxa" w:w="100"/>
              <w:bottom w:type="dxa" w:w="80"/>
              <w:right w:type="dxa" w:w="100"/>
            </w:tcMar>
            <w:vAlign w:val="center"/>
          </w:tcPr>
          <w:p>
            <w:r>
              <w:rPr>
                <w:sz w:val="19"/>
                <w:szCs w:val="19"/>
              </w:rPr>
              <w:t xml:space="preserve">$125/mo premium; $6,300 family deductible; $6,500 individual / $12,800 family out-of-pocket max</w:t>
            </w:r>
          </w:p>
        </w:tc>
        <w:tc>
          <w:tcPr>
            <w:tcW w:type="dxa" w:w="2200"/>
            <w:tcMar>
              <w:top w:type="dxa" w:w="80"/>
              <w:left w:type="dxa" w:w="100"/>
              <w:bottom w:type="dxa" w:w="80"/>
              <w:right w:type="dxa" w:w="100"/>
            </w:tcMar>
            <w:vAlign w:val="center"/>
          </w:tcPr>
          <w:p>
            <w:r>
              <w:rPr>
                <w:sz w:val="19"/>
                <w:szCs w:val="19"/>
              </w:rPr>
              <w:t xml:space="preserve">Relayed secondhand via text message from Greg’s friend (original case source material)</w:t>
            </w:r>
          </w:p>
        </w:tc>
        <w:tc>
          <w:tcPr>
            <w:tcW w:type="dxa" w:w="1300"/>
            <w:tcMar>
              <w:top w:type="dxa" w:w="80"/>
              <w:left w:type="dxa" w:w="100"/>
              <w:bottom w:type="dxa" w:w="80"/>
              <w:right w:type="dxa" w:w="100"/>
            </w:tcMar>
            <w:vAlign w:val="center"/>
          </w:tcPr>
          <w:p>
            <w:r>
              <w:rPr>
                <w:sz w:val="19"/>
                <w:szCs w:val="19"/>
              </w:rPr>
              <w:t xml:space="preserve">2021</w:t>
            </w:r>
          </w:p>
        </w:tc>
        <w:tc>
          <w:tcPr>
            <w:tcW w:type="dxa" w:w="1440"/>
            <w:tcMar>
              <w:top w:type="dxa" w:w="80"/>
              <w:left w:type="dxa" w:w="100"/>
              <w:bottom w:type="dxa" w:w="80"/>
              <w:right w:type="dxa" w:w="100"/>
            </w:tcMar>
            <w:vAlign w:val="center"/>
          </w:tcPr>
          <w:p>
            <w:r>
              <w:rPr>
                <w:sz w:val="19"/>
                <w:szCs w:val="19"/>
              </w:rPr>
              <w:t xml:space="preserve">LOW (unverifiable origin — see MA2), checked for real-world plausibility against Appendix F</w:t>
            </w:r>
          </w:p>
        </w:tc>
      </w:tr>
      <w:tr>
        <w:tc>
          <w:tcPr>
            <w:tcW w:type="dxa" w:w="420"/>
            <w:tcMar>
              <w:top w:type="dxa" w:w="80"/>
              <w:left w:type="dxa" w:w="100"/>
              <w:bottom w:type="dxa" w:w="80"/>
              <w:right w:type="dxa" w:w="100"/>
            </w:tcMar>
            <w:vAlign w:val="center"/>
          </w:tcPr>
          <w:p>
            <w:r>
              <w:rPr>
                <w:sz w:val="19"/>
                <w:szCs w:val="19"/>
              </w:rPr>
              <w:t xml:space="preserve">S2</w:t>
            </w:r>
          </w:p>
        </w:tc>
        <w:tc>
          <w:tcPr>
            <w:tcW w:type="dxa" w:w="2000"/>
            <w:tcMar>
              <w:top w:type="dxa" w:w="80"/>
              <w:left w:type="dxa" w:w="100"/>
              <w:bottom w:type="dxa" w:w="80"/>
              <w:right w:type="dxa" w:w="100"/>
            </w:tcMar>
            <w:vAlign w:val="center"/>
          </w:tcPr>
          <w:p>
            <w:r>
              <w:rPr>
                <w:sz w:val="19"/>
                <w:szCs w:val="19"/>
              </w:rPr>
              <w:t xml:space="preserve">Navigator Gold 2000 monthly premium after the family’s real Advance Premium Tax Credit</w:t>
            </w:r>
          </w:p>
        </w:tc>
        <w:tc>
          <w:tcPr>
            <w:tcW w:type="dxa" w:w="2000"/>
            <w:tcMar>
              <w:top w:type="dxa" w:w="80"/>
              <w:left w:type="dxa" w:w="100"/>
              <w:bottom w:type="dxa" w:w="80"/>
              <w:right w:type="dxa" w:w="100"/>
            </w:tcMar>
            <w:vAlign w:val="center"/>
          </w:tcPr>
          <w:p>
            <w:r>
              <w:rPr>
                <w:sz w:val="19"/>
                <w:szCs w:val="19"/>
              </w:rPr>
              <w:t xml:space="preserve">$694.00/mo net ($2,088.00/mo gross, $1,394.00/mo APTC)</w:t>
            </w:r>
          </w:p>
        </w:tc>
        <w:tc>
          <w:tcPr>
            <w:tcW w:type="dxa" w:w="2200"/>
            <w:tcMar>
              <w:top w:type="dxa" w:w="80"/>
              <w:left w:type="dxa" w:w="100"/>
              <w:bottom w:type="dxa" w:w="80"/>
              <w:right w:type="dxa" w:w="100"/>
            </w:tcMar>
            <w:vAlign w:val="center"/>
          </w:tcPr>
          <w:p>
            <w:r>
              <w:rPr>
                <w:sz w:val="19"/>
                <w:szCs w:val="19"/>
              </w:rPr>
              <w:t xml:space="preserve">Plan Comparison screen capture, yourhealthidaho.org (Idaho’s ACA marketplace), bundled with the original case source material</w:t>
            </w:r>
          </w:p>
        </w:tc>
        <w:tc>
          <w:tcPr>
            <w:tcW w:type="dxa" w:w="1300"/>
            <w:tcMar>
              <w:top w:type="dxa" w:w="80"/>
              <w:left w:type="dxa" w:w="100"/>
              <w:bottom w:type="dxa" w:w="80"/>
              <w:right w:type="dxa" w:w="100"/>
            </w:tcMar>
            <w:vAlign w:val="center"/>
          </w:tcPr>
          <w:p>
            <w:r>
              <w:rPr>
                <w:sz w:val="19"/>
                <w:szCs w:val="19"/>
              </w:rPr>
              <w:t xml:space="preserve">2021-04-10</w:t>
            </w:r>
          </w:p>
        </w:tc>
        <w:tc>
          <w:tcPr>
            <w:tcW w:type="dxa" w:w="1440"/>
            <w:tcMar>
              <w:top w:type="dxa" w:w="80"/>
              <w:left w:type="dxa" w:w="100"/>
              <w:bottom w:type="dxa" w:w="80"/>
              <w:right w:type="dxa" w:w="100"/>
            </w:tcMar>
            <w:vAlign w:val="center"/>
          </w:tcPr>
          <w:p>
            <w:r>
              <w:rPr>
                <w:sz w:val="19"/>
                <w:szCs w:val="19"/>
              </w:rPr>
              <w:t xml:space="preserve">HIGH (real primary-source marketplace screenshot, reproduced as historical evidence)</w:t>
            </w:r>
          </w:p>
        </w:tc>
      </w:tr>
      <w:tr>
        <w:tc>
          <w:tcPr>
            <w:tcW w:type="dxa" w:w="420"/>
            <w:tcMar>
              <w:top w:type="dxa" w:w="80"/>
              <w:left w:type="dxa" w:w="100"/>
              <w:bottom w:type="dxa" w:w="80"/>
              <w:right w:type="dxa" w:w="100"/>
            </w:tcMar>
            <w:vAlign w:val="center"/>
          </w:tcPr>
          <w:p>
            <w:r>
              <w:rPr>
                <w:sz w:val="19"/>
                <w:szCs w:val="19"/>
              </w:rPr>
              <w:t xml:space="preserve">S3</w:t>
            </w:r>
          </w:p>
        </w:tc>
        <w:tc>
          <w:tcPr>
            <w:tcW w:type="dxa" w:w="2000"/>
            <w:tcMar>
              <w:top w:type="dxa" w:w="80"/>
              <w:left w:type="dxa" w:w="100"/>
              <w:bottom w:type="dxa" w:w="80"/>
              <w:right w:type="dxa" w:w="100"/>
            </w:tcMar>
            <w:vAlign w:val="center"/>
          </w:tcPr>
          <w:p>
            <w:r>
              <w:rPr>
                <w:sz w:val="19"/>
                <w:szCs w:val="19"/>
              </w:rPr>
              <w:t xml:space="preserve">Navigator Gold 2000 cost-sharing: deductible, out-of-pocket maximum, copays, coinsurance, and the pregnancy coverage example</w:t>
            </w:r>
          </w:p>
        </w:tc>
        <w:tc>
          <w:tcPr>
            <w:tcW w:type="dxa" w:w="2000"/>
            <w:tcMar>
              <w:top w:type="dxa" w:w="80"/>
              <w:left w:type="dxa" w:w="100"/>
              <w:bottom w:type="dxa" w:w="80"/>
              <w:right w:type="dxa" w:w="100"/>
            </w:tcMar>
            <w:vAlign w:val="center"/>
          </w:tcPr>
          <w:p>
            <w:r>
              <w:rPr>
                <w:sz w:val="19"/>
                <w:szCs w:val="19"/>
              </w:rPr>
              <w:t xml:space="preserve">See Appendix C</w:t>
            </w:r>
          </w:p>
        </w:tc>
        <w:tc>
          <w:tcPr>
            <w:tcW w:type="dxa" w:w="2200"/>
            <w:tcMar>
              <w:top w:type="dxa" w:w="80"/>
              <w:left w:type="dxa" w:w="100"/>
              <w:bottom w:type="dxa" w:w="80"/>
              <w:right w:type="dxa" w:w="100"/>
            </w:tcMar>
            <w:vAlign w:val="center"/>
          </w:tcPr>
          <w:p>
            <w:r>
              <w:rPr>
                <w:sz w:val="19"/>
                <w:szCs w:val="19"/>
              </w:rPr>
              <w:t xml:space="preserve">PacificSource, "Summary of Benefits and Coverage," Navigator Gold 2000, form F4531709</w:t>
            </w:r>
          </w:p>
        </w:tc>
        <w:tc>
          <w:tcPr>
            <w:tcW w:type="dxa" w:w="1300"/>
            <w:tcMar>
              <w:top w:type="dxa" w:w="80"/>
              <w:left w:type="dxa" w:w="100"/>
              <w:bottom w:type="dxa" w:w="80"/>
              <w:right w:type="dxa" w:w="100"/>
            </w:tcMar>
            <w:vAlign w:val="center"/>
          </w:tcPr>
          <w:p>
            <w:r>
              <w:rPr>
                <w:sz w:val="19"/>
                <w:szCs w:val="19"/>
              </w:rPr>
              <w:t xml:space="preserve">Coverage period 2021-01-01 to 2021-12-31</w:t>
            </w:r>
          </w:p>
        </w:tc>
        <w:tc>
          <w:tcPr>
            <w:tcW w:type="dxa" w:w="1440"/>
            <w:tcMar>
              <w:top w:type="dxa" w:w="80"/>
              <w:left w:type="dxa" w:w="100"/>
              <w:bottom w:type="dxa" w:w="80"/>
              <w:right w:type="dxa" w:w="100"/>
            </w:tcMar>
            <w:vAlign w:val="center"/>
          </w:tcPr>
          <w:p>
            <w:r>
              <w:rPr>
                <w:sz w:val="19"/>
                <w:szCs w:val="19"/>
              </w:rPr>
              <w:t xml:space="preserve">HIGH (official plan document, bundled with the original case source material)</w:t>
            </w:r>
          </w:p>
        </w:tc>
      </w:tr>
      <w:tr>
        <w:tc>
          <w:tcPr>
            <w:tcW w:type="dxa" w:w="420"/>
            <w:tcMar>
              <w:top w:type="dxa" w:w="80"/>
              <w:left w:type="dxa" w:w="100"/>
              <w:bottom w:type="dxa" w:w="80"/>
              <w:right w:type="dxa" w:w="100"/>
            </w:tcMar>
            <w:vAlign w:val="center"/>
          </w:tcPr>
          <w:p>
            <w:r>
              <w:rPr>
                <w:sz w:val="19"/>
                <w:szCs w:val="19"/>
              </w:rPr>
              <w:t xml:space="preserve">S4</w:t>
            </w:r>
          </w:p>
        </w:tc>
        <w:tc>
          <w:tcPr>
            <w:tcW w:type="dxa" w:w="2000"/>
            <w:tcMar>
              <w:top w:type="dxa" w:w="80"/>
              <w:left w:type="dxa" w:w="100"/>
              <w:bottom w:type="dxa" w:w="80"/>
              <w:right w:type="dxa" w:w="100"/>
            </w:tcMar>
            <w:vAlign w:val="center"/>
          </w:tcPr>
          <w:p>
            <w:r>
              <w:rPr>
                <w:sz w:val="19"/>
                <w:szCs w:val="19"/>
              </w:rPr>
              <w:t xml:space="preserve">Established-patient office-visit reference costs</w:t>
            </w:r>
          </w:p>
        </w:tc>
        <w:tc>
          <w:tcPr>
            <w:tcW w:type="dxa" w:w="2000"/>
            <w:tcMar>
              <w:top w:type="dxa" w:w="80"/>
              <w:left w:type="dxa" w:w="100"/>
              <w:bottom w:type="dxa" w:w="80"/>
              <w:right w:type="dxa" w:w="100"/>
            </w:tcMar>
            <w:vAlign w:val="center"/>
          </w:tcPr>
          <w:p>
            <w:r>
              <w:rPr>
                <w:sz w:val="19"/>
                <w:szCs w:val="19"/>
              </w:rPr>
              <w:t xml:space="preserve">$150 (moderate) / $215 (moderate-high)</w:t>
            </w:r>
          </w:p>
        </w:tc>
        <w:tc>
          <w:tcPr>
            <w:tcW w:type="dxa" w:w="2200"/>
            <w:tcMar>
              <w:top w:type="dxa" w:w="80"/>
              <w:left w:type="dxa" w:w="100"/>
              <w:bottom w:type="dxa" w:w="80"/>
              <w:right w:type="dxa" w:w="100"/>
            </w:tcMar>
            <w:vAlign w:val="center"/>
          </w:tcPr>
          <w:p>
            <w:r>
              <w:rPr>
                <w:sz w:val="19"/>
                <w:szCs w:val="19"/>
              </w:rPr>
              <w:t xml:space="preserve">Kaiser Permanente, "2021 Sample Fee List, Northern California"</w:t>
            </w:r>
          </w:p>
        </w:tc>
        <w:tc>
          <w:tcPr>
            <w:tcW w:type="dxa" w:w="1300"/>
            <w:tcMar>
              <w:top w:type="dxa" w:w="80"/>
              <w:left w:type="dxa" w:w="100"/>
              <w:bottom w:type="dxa" w:w="80"/>
              <w:right w:type="dxa" w:w="100"/>
            </w:tcMar>
            <w:vAlign w:val="center"/>
          </w:tcPr>
          <w:p>
            <w:r>
              <w:rPr>
                <w:sz w:val="19"/>
                <w:szCs w:val="19"/>
              </w:rPr>
              <w:t xml:space="preserve">Effective 2021-01-01</w:t>
            </w:r>
          </w:p>
        </w:tc>
        <w:tc>
          <w:tcPr>
            <w:tcW w:type="dxa" w:w="1440"/>
            <w:tcMar>
              <w:top w:type="dxa" w:w="80"/>
              <w:left w:type="dxa" w:w="100"/>
              <w:bottom w:type="dxa" w:w="80"/>
              <w:right w:type="dxa" w:w="100"/>
            </w:tcMar>
            <w:vAlign w:val="center"/>
          </w:tcPr>
          <w:p>
            <w:r>
              <w:rPr>
                <w:sz w:val="19"/>
                <w:szCs w:val="19"/>
              </w:rPr>
              <w:t xml:space="preserve">MEDIUM (real, dated, professional fee list, but a different U.S. region than Idaho)</w:t>
            </w:r>
          </w:p>
        </w:tc>
      </w:tr>
      <w:tr>
        <w:tc>
          <w:tcPr>
            <w:tcW w:type="dxa" w:w="420"/>
            <w:tcMar>
              <w:top w:type="dxa" w:w="80"/>
              <w:left w:type="dxa" w:w="100"/>
              <w:bottom w:type="dxa" w:w="80"/>
              <w:right w:type="dxa" w:w="100"/>
            </w:tcMar>
            <w:vAlign w:val="center"/>
          </w:tcPr>
          <w:p>
            <w:r>
              <w:rPr>
                <w:sz w:val="19"/>
                <w:szCs w:val="19"/>
              </w:rPr>
              <w:t xml:space="preserve">S5</w:t>
            </w:r>
          </w:p>
        </w:tc>
        <w:tc>
          <w:tcPr>
            <w:tcW w:type="dxa" w:w="2000"/>
            <w:tcMar>
              <w:top w:type="dxa" w:w="80"/>
              <w:left w:type="dxa" w:w="100"/>
              <w:bottom w:type="dxa" w:w="80"/>
              <w:right w:type="dxa" w:w="100"/>
            </w:tcMar>
            <w:vAlign w:val="center"/>
          </w:tcPr>
          <w:p>
            <w:r>
              <w:rPr>
                <w:sz w:val="19"/>
                <w:szCs w:val="19"/>
              </w:rPr>
              <w:t xml:space="preserve">VCUG-type imaging procedure cost range</w:t>
            </w:r>
          </w:p>
        </w:tc>
        <w:tc>
          <w:tcPr>
            <w:tcW w:type="dxa" w:w="2000"/>
            <w:tcMar>
              <w:top w:type="dxa" w:w="80"/>
              <w:left w:type="dxa" w:w="100"/>
              <w:bottom w:type="dxa" w:w="80"/>
              <w:right w:type="dxa" w:w="100"/>
            </w:tcMar>
            <w:vAlign w:val="center"/>
          </w:tcPr>
          <w:p>
            <w:r>
              <w:rPr>
                <w:sz w:val="19"/>
                <w:szCs w:val="19"/>
              </w:rPr>
              <w:t xml:space="preserve">$304–$845</w:t>
            </w:r>
          </w:p>
        </w:tc>
        <w:tc>
          <w:tcPr>
            <w:tcW w:type="dxa" w:w="2200"/>
            <w:tcMar>
              <w:top w:type="dxa" w:w="80"/>
              <w:left w:type="dxa" w:w="100"/>
              <w:bottom w:type="dxa" w:w="80"/>
              <w:right w:type="dxa" w:w="100"/>
            </w:tcMar>
            <w:vAlign w:val="center"/>
          </w:tcPr>
          <w:p>
            <w:r>
              <w:rPr>
                <w:sz w:val="19"/>
                <w:szCs w:val="19"/>
              </w:rPr>
              <w:t xml:space="preserve">MDsave, cystogram/VCUG procedure listing</w:t>
            </w:r>
          </w:p>
        </w:tc>
        <w:tc>
          <w:tcPr>
            <w:tcW w:type="dxa" w:w="1300"/>
            <w:tcMar>
              <w:top w:type="dxa" w:w="80"/>
              <w:left w:type="dxa" w:w="100"/>
              <w:bottom w:type="dxa" w:w="80"/>
              <w:right w:type="dxa" w:w="100"/>
            </w:tcMar>
            <w:vAlign w:val="center"/>
          </w:tcPr>
          <w:p>
            <w:r>
              <w:rPr>
                <w:sz w:val="19"/>
                <w:szCs w:val="19"/>
              </w:rPr>
              <w:t xml:space="preserve">current</w:t>
            </w:r>
          </w:p>
        </w:tc>
        <w:tc>
          <w:tcPr>
            <w:tcW w:type="dxa" w:w="1440"/>
            <w:tcMar>
              <w:top w:type="dxa" w:w="80"/>
              <w:left w:type="dxa" w:w="100"/>
              <w:bottom w:type="dxa" w:w="80"/>
              <w:right w:type="dxa" w:w="100"/>
            </w:tcMar>
            <w:vAlign w:val="center"/>
          </w:tcPr>
          <w:p>
            <w:r>
              <w:rPr>
                <w:sz w:val="19"/>
                <w:szCs w:val="19"/>
              </w:rPr>
              <w:t xml:space="preserve">MEDIUM (real cost-transparency platform, not 2021-dated)</w:t>
            </w:r>
          </w:p>
        </w:tc>
      </w:tr>
      <w:tr>
        <w:tc>
          <w:tcPr>
            <w:tcW w:type="dxa" w:w="420"/>
            <w:tcMar>
              <w:top w:type="dxa" w:w="80"/>
              <w:left w:type="dxa" w:w="100"/>
              <w:bottom w:type="dxa" w:w="80"/>
              <w:right w:type="dxa" w:w="100"/>
            </w:tcMar>
            <w:vAlign w:val="center"/>
          </w:tcPr>
          <w:p>
            <w:r>
              <w:rPr>
                <w:sz w:val="19"/>
                <w:szCs w:val="19"/>
              </w:rPr>
              <w:t xml:space="preserve">S6</w:t>
            </w:r>
          </w:p>
        </w:tc>
        <w:tc>
          <w:tcPr>
            <w:tcW w:type="dxa" w:w="2000"/>
            <w:tcMar>
              <w:top w:type="dxa" w:w="80"/>
              <w:left w:type="dxa" w:w="100"/>
              <w:bottom w:type="dxa" w:w="80"/>
              <w:right w:type="dxa" w:w="100"/>
            </w:tcMar>
            <w:vAlign w:val="center"/>
          </w:tcPr>
          <w:p>
            <w:r>
              <w:rPr>
                <w:sz w:val="19"/>
                <w:szCs w:val="19"/>
              </w:rPr>
              <w:t xml:space="preserve">Urgent care visit, self-pay average</w:t>
            </w:r>
          </w:p>
        </w:tc>
        <w:tc>
          <w:tcPr>
            <w:tcW w:type="dxa" w:w="2000"/>
            <w:tcMar>
              <w:top w:type="dxa" w:w="80"/>
              <w:left w:type="dxa" w:w="100"/>
              <w:bottom w:type="dxa" w:w="80"/>
              <w:right w:type="dxa" w:w="100"/>
            </w:tcMar>
            <w:vAlign w:val="center"/>
          </w:tcPr>
          <w:p>
            <w:r>
              <w:rPr>
                <w:sz w:val="19"/>
                <w:szCs w:val="19"/>
              </w:rPr>
              <w:t xml:space="preserve">~$150–$180</w:t>
            </w:r>
          </w:p>
        </w:tc>
        <w:tc>
          <w:tcPr>
            <w:tcW w:type="dxa" w:w="2200"/>
            <w:tcMar>
              <w:top w:type="dxa" w:w="80"/>
              <w:left w:type="dxa" w:w="100"/>
              <w:bottom w:type="dxa" w:w="80"/>
              <w:right w:type="dxa" w:w="100"/>
            </w:tcMar>
            <w:vAlign w:val="center"/>
          </w:tcPr>
          <w:p>
            <w:r>
              <w:rPr>
                <w:sz w:val="19"/>
                <w:szCs w:val="19"/>
              </w:rPr>
              <w:t xml:space="preserve">Aggregated current published guidance (GoodRx, Mira Health, and similar consumer health-cost publishers)</w:t>
            </w:r>
          </w:p>
        </w:tc>
        <w:tc>
          <w:tcPr>
            <w:tcW w:type="dxa" w:w="1300"/>
            <w:tcMar>
              <w:top w:type="dxa" w:w="80"/>
              <w:left w:type="dxa" w:w="100"/>
              <w:bottom w:type="dxa" w:w="80"/>
              <w:right w:type="dxa" w:w="100"/>
            </w:tcMar>
            <w:vAlign w:val="center"/>
          </w:tcPr>
          <w:p>
            <w:r>
              <w:rPr>
                <w:sz w:val="19"/>
                <w:szCs w:val="19"/>
              </w:rPr>
              <w:t xml:space="preserve">current</w:t>
            </w:r>
          </w:p>
        </w:tc>
        <w:tc>
          <w:tcPr>
            <w:tcW w:type="dxa" w:w="1440"/>
            <w:tcMar>
              <w:top w:type="dxa" w:w="80"/>
              <w:left w:type="dxa" w:w="100"/>
              <w:bottom w:type="dxa" w:w="80"/>
              <w:right w:type="dxa" w:w="100"/>
            </w:tcMar>
            <w:vAlign w:val="center"/>
          </w:tcPr>
          <w:p>
            <w:r>
              <w:rPr>
                <w:sz w:val="19"/>
                <w:szCs w:val="19"/>
              </w:rPr>
              <w:t xml:space="preserve">MEDIUM (not 2021-dated; no 2021-specific figure was found)</w:t>
            </w:r>
          </w:p>
        </w:tc>
      </w:tr>
      <w:tr>
        <w:tc>
          <w:tcPr>
            <w:tcW w:type="dxa" w:w="420"/>
            <w:tcMar>
              <w:top w:type="dxa" w:w="80"/>
              <w:left w:type="dxa" w:w="100"/>
              <w:bottom w:type="dxa" w:w="80"/>
              <w:right w:type="dxa" w:w="100"/>
            </w:tcMar>
            <w:vAlign w:val="center"/>
          </w:tcPr>
          <w:p>
            <w:r>
              <w:rPr>
                <w:sz w:val="19"/>
                <w:szCs w:val="19"/>
              </w:rPr>
              <w:t xml:space="preserve">S7</w:t>
            </w:r>
          </w:p>
        </w:tc>
        <w:tc>
          <w:tcPr>
            <w:tcW w:type="dxa" w:w="2000"/>
            <w:tcMar>
              <w:top w:type="dxa" w:w="80"/>
              <w:left w:type="dxa" w:w="100"/>
              <w:bottom w:type="dxa" w:w="80"/>
              <w:right w:type="dxa" w:w="100"/>
            </w:tcMar>
            <w:vAlign w:val="center"/>
          </w:tcPr>
          <w:p>
            <w:r>
              <w:rPr>
                <w:sz w:val="19"/>
                <w:szCs w:val="19"/>
              </w:rPr>
              <w:t xml:space="preserve">Average cost per emergency department visit, treat-and-release, United States, 2021</w:t>
            </w:r>
          </w:p>
        </w:tc>
        <w:tc>
          <w:tcPr>
            <w:tcW w:type="dxa" w:w="2000"/>
            <w:tcMar>
              <w:top w:type="dxa" w:w="80"/>
              <w:left w:type="dxa" w:w="100"/>
              <w:bottom w:type="dxa" w:w="80"/>
              <w:right w:type="dxa" w:w="100"/>
            </w:tcMar>
            <w:vAlign w:val="center"/>
          </w:tcPr>
          <w:p>
            <w:r>
              <w:rPr>
                <w:sz w:val="19"/>
                <w:szCs w:val="19"/>
              </w:rPr>
              <w:t xml:space="preserve">$748 ($80.3B ÷ 107.4M visits)</w:t>
            </w:r>
          </w:p>
        </w:tc>
        <w:tc>
          <w:tcPr>
            <w:tcW w:type="dxa" w:w="2200"/>
            <w:tcMar>
              <w:top w:type="dxa" w:w="80"/>
              <w:left w:type="dxa" w:w="100"/>
              <w:bottom w:type="dxa" w:w="80"/>
              <w:right w:type="dxa" w:w="100"/>
            </w:tcMar>
            <w:vAlign w:val="center"/>
          </w:tcPr>
          <w:p>
            <w:r>
              <w:rPr>
                <w:sz w:val="19"/>
                <w:szCs w:val="19"/>
              </w:rPr>
              <w:t xml:space="preserve">Agency for Healthcare Research and Quality (AHRQ), Healthcare Cost and Utilization Project (HCUP) Statistical Brief #311</w:t>
            </w:r>
          </w:p>
        </w:tc>
        <w:tc>
          <w:tcPr>
            <w:tcW w:type="dxa" w:w="1300"/>
            <w:tcMar>
              <w:top w:type="dxa" w:w="80"/>
              <w:left w:type="dxa" w:w="100"/>
              <w:bottom w:type="dxa" w:w="80"/>
              <w:right w:type="dxa" w:w="100"/>
            </w:tcMar>
            <w:vAlign w:val="center"/>
          </w:tcPr>
          <w:p>
            <w:r>
              <w:rPr>
                <w:sz w:val="19"/>
                <w:szCs w:val="19"/>
              </w:rPr>
              <w:t xml:space="preserve">2021 data (brief published September 2024)</w:t>
            </w:r>
          </w:p>
        </w:tc>
        <w:tc>
          <w:tcPr>
            <w:tcW w:type="dxa" w:w="1440"/>
            <w:tcMar>
              <w:top w:type="dxa" w:w="80"/>
              <w:left w:type="dxa" w:w="100"/>
              <w:bottom w:type="dxa" w:w="80"/>
              <w:right w:type="dxa" w:w="100"/>
            </w:tcMar>
            <w:vAlign w:val="center"/>
          </w:tcPr>
          <w:p>
            <w:r>
              <w:rPr>
                <w:sz w:val="19"/>
                <w:szCs w:val="19"/>
              </w:rPr>
              <w:t xml:space="preserve">HIGH (real federal statistical publication; note it measures hospital cost, not necessarily patient charge — SEE Appendix E)</w:t>
            </w:r>
          </w:p>
        </w:tc>
      </w:tr>
      <w:tr>
        <w:tc>
          <w:tcPr>
            <w:tcW w:type="dxa" w:w="420"/>
            <w:tcMar>
              <w:top w:type="dxa" w:w="80"/>
              <w:left w:type="dxa" w:w="100"/>
              <w:bottom w:type="dxa" w:w="80"/>
              <w:right w:type="dxa" w:w="100"/>
            </w:tcMar>
            <w:vAlign w:val="center"/>
          </w:tcPr>
          <w:p>
            <w:r>
              <w:rPr>
                <w:sz w:val="19"/>
                <w:szCs w:val="19"/>
              </w:rPr>
              <w:t xml:space="preserve">S8</w:t>
            </w:r>
          </w:p>
        </w:tc>
        <w:tc>
          <w:tcPr>
            <w:tcW w:type="dxa" w:w="2000"/>
            <w:tcMar>
              <w:top w:type="dxa" w:w="80"/>
              <w:left w:type="dxa" w:w="100"/>
              <w:bottom w:type="dxa" w:w="80"/>
              <w:right w:type="dxa" w:w="100"/>
            </w:tcMar>
            <w:vAlign w:val="center"/>
          </w:tcPr>
          <w:p>
            <w:r>
              <w:rPr>
                <w:sz w:val="19"/>
                <w:szCs w:val="19"/>
              </w:rPr>
              <w:t xml:space="preserve">2021 HSA/HDHP federal thresholds: minimum deductible, maximum out-of-pocket, maximum HSA contribution</w:t>
            </w:r>
          </w:p>
        </w:tc>
        <w:tc>
          <w:tcPr>
            <w:tcW w:type="dxa" w:w="2000"/>
            <w:tcMar>
              <w:top w:type="dxa" w:w="80"/>
              <w:left w:type="dxa" w:w="100"/>
              <w:bottom w:type="dxa" w:w="80"/>
              <w:right w:type="dxa" w:w="100"/>
            </w:tcMar>
            <w:vAlign w:val="center"/>
          </w:tcPr>
          <w:p>
            <w:r>
              <w:rPr>
                <w:sz w:val="19"/>
                <w:szCs w:val="19"/>
              </w:rPr>
              <w:t xml:space="preserve">$2,800 / $14,000 / $7,200 (family)</w:t>
            </w:r>
          </w:p>
        </w:tc>
        <w:tc>
          <w:tcPr>
            <w:tcW w:type="dxa" w:w="2200"/>
            <w:tcMar>
              <w:top w:type="dxa" w:w="80"/>
              <w:left w:type="dxa" w:w="100"/>
              <w:bottom w:type="dxa" w:w="80"/>
              <w:right w:type="dxa" w:w="100"/>
            </w:tcMar>
            <w:vAlign w:val="center"/>
          </w:tcPr>
          <w:p>
            <w:r>
              <w:rPr>
                <w:sz w:val="19"/>
                <w:szCs w:val="19"/>
              </w:rPr>
              <w:t xml:space="preserve">Internal Revenue Service, Revenue Procedure 2020-32</w:t>
            </w:r>
          </w:p>
        </w:tc>
        <w:tc>
          <w:tcPr>
            <w:tcW w:type="dxa" w:w="1300"/>
            <w:tcMar>
              <w:top w:type="dxa" w:w="80"/>
              <w:left w:type="dxa" w:w="100"/>
              <w:bottom w:type="dxa" w:w="80"/>
              <w:right w:type="dxa" w:w="100"/>
            </w:tcMar>
            <w:vAlign w:val="center"/>
          </w:tcPr>
          <w:p>
            <w:r>
              <w:rPr>
                <w:sz w:val="19"/>
                <w:szCs w:val="19"/>
              </w:rPr>
              <w:t xml:space="preserve">Effective calendar year 2021</w:t>
            </w:r>
          </w:p>
        </w:tc>
        <w:tc>
          <w:tcPr>
            <w:tcW w:type="dxa" w:w="1440"/>
            <w:tcMar>
              <w:top w:type="dxa" w:w="80"/>
              <w:left w:type="dxa" w:w="100"/>
              <w:bottom w:type="dxa" w:w="80"/>
              <w:right w:type="dxa" w:w="100"/>
            </w:tcMar>
            <w:vAlign w:val="center"/>
          </w:tcPr>
          <w:p>
            <w:r>
              <w:rPr>
                <w:sz w:val="19"/>
                <w:szCs w:val="19"/>
              </w:rPr>
              <w:t xml:space="preserve">HIGH (primary federal source)</w:t>
            </w:r>
          </w:p>
        </w:tc>
      </w:tr>
    </w:tbl>
    <w:p>
      <w:pPr>
        <w:pStyle w:val="Heading3"/>
        <w:spacing w:after="140" w:before="280"/>
      </w:pPr>
      <w:r>
        <w:rPr>
          <w:b/>
          <w:bCs/>
          <w:sz w:val="24"/>
          <w:szCs w:val="24"/>
        </w:rPr>
        <w:t xml:space="preserve">Appendix I — "How To…" Math Questions To Research</w:t>
      </w:r>
    </w:p>
    <w:p>
      <w:pPr>
        <w:spacing w:after="160"/>
      </w:pPr>
      <w:r>
        <w:rPr>
          <w:b/>
          <w:bCs/>
        </w:rPr>
        <w:t xml:space="preserve">Vocabulary terms</w:t>
      </w:r>
    </w:p>
    <w:p>
      <w:pPr>
        <w:pStyle w:val="ListParagraph"/>
        <w:numPr>
          <w:ilvl w:val="0"/>
          <w:numId w:val="2"/>
        </w:numPr>
        <w:spacing w:after="60"/>
      </w:pPr>
      <w:r>
        <w:t xml:space="preserve">Variable</w:t>
      </w:r>
    </w:p>
    <w:p>
      <w:pPr>
        <w:pStyle w:val="ListParagraph"/>
        <w:numPr>
          <w:ilvl w:val="0"/>
          <w:numId w:val="2"/>
        </w:numPr>
        <w:spacing w:after="60"/>
      </w:pPr>
      <w:r>
        <w:t xml:space="preserve">Constant</w:t>
      </w:r>
    </w:p>
    <w:p>
      <w:pPr>
        <w:pStyle w:val="ListParagraph"/>
        <w:numPr>
          <w:ilvl w:val="0"/>
          <w:numId w:val="2"/>
        </w:numPr>
        <w:spacing w:after="60"/>
      </w:pPr>
      <w:r>
        <w:t xml:space="preserve">Coefficient</w:t>
      </w:r>
    </w:p>
    <w:p>
      <w:pPr>
        <w:pStyle w:val="ListParagraph"/>
        <w:numPr>
          <w:ilvl w:val="0"/>
          <w:numId w:val="2"/>
        </w:numPr>
        <w:spacing w:after="60"/>
      </w:pPr>
      <w:r>
        <w:t xml:space="preserve">Term</w:t>
      </w:r>
    </w:p>
    <w:p>
      <w:pPr>
        <w:pStyle w:val="ListParagraph"/>
        <w:numPr>
          <w:ilvl w:val="0"/>
          <w:numId w:val="2"/>
        </w:numPr>
        <w:spacing w:after="60"/>
      </w:pPr>
      <w:r>
        <w:t xml:space="preserve">Expression</w:t>
      </w:r>
    </w:p>
    <w:p>
      <w:pPr>
        <w:pStyle w:val="ListParagraph"/>
        <w:numPr>
          <w:ilvl w:val="0"/>
          <w:numId w:val="2"/>
        </w:numPr>
        <w:spacing w:after="60"/>
      </w:pPr>
      <w:r>
        <w:t xml:space="preserve">Probability</w:t>
      </w:r>
    </w:p>
    <w:p>
      <w:pPr>
        <w:pStyle w:val="ListParagraph"/>
        <w:numPr>
          <w:ilvl w:val="0"/>
          <w:numId w:val="2"/>
        </w:numPr>
        <w:spacing w:after="60"/>
      </w:pPr>
      <w:r>
        <w:t xml:space="preserve">Event</w:t>
      </w:r>
    </w:p>
    <w:p>
      <w:pPr>
        <w:pStyle w:val="ListParagraph"/>
        <w:numPr>
          <w:ilvl w:val="0"/>
          <w:numId w:val="2"/>
        </w:numPr>
        <w:spacing w:after="60"/>
      </w:pPr>
      <w:r>
        <w:t xml:space="preserve">Outcome</w:t>
      </w:r>
    </w:p>
    <w:p>
      <w:pPr>
        <w:pStyle w:val="ListParagraph"/>
        <w:numPr>
          <w:ilvl w:val="0"/>
          <w:numId w:val="2"/>
        </w:numPr>
        <w:spacing w:after="60"/>
      </w:pPr>
      <w:r>
        <w:t xml:space="preserve">Theoretical Probability</w:t>
      </w:r>
    </w:p>
    <w:p>
      <w:pPr>
        <w:pStyle w:val="ListParagraph"/>
        <w:numPr>
          <w:ilvl w:val="0"/>
          <w:numId w:val="2"/>
        </w:numPr>
        <w:spacing w:after="60"/>
      </w:pPr>
      <w:r>
        <w:t xml:space="preserve">Experimental Probability</w:t>
      </w:r>
    </w:p>
    <w:p>
      <w:pPr>
        <w:pStyle w:val="ListParagraph"/>
        <w:numPr>
          <w:ilvl w:val="0"/>
          <w:numId w:val="2"/>
        </w:numPr>
        <w:spacing w:after="60"/>
      </w:pPr>
      <w:r>
        <w:t xml:space="preserve">Mean</w:t>
      </w:r>
    </w:p>
    <w:p>
      <w:pPr>
        <w:pStyle w:val="ListParagraph"/>
        <w:numPr>
          <w:ilvl w:val="0"/>
          <w:numId w:val="2"/>
        </w:numPr>
        <w:spacing w:after="60"/>
      </w:pPr>
      <w:r>
        <w:t xml:space="preserve">Percent</w:t>
      </w:r>
    </w:p>
    <w:p>
      <w:pPr>
        <w:pStyle w:val="ListParagraph"/>
        <w:numPr>
          <w:ilvl w:val="0"/>
          <w:numId w:val="2"/>
        </w:numPr>
        <w:spacing w:after="60"/>
      </w:pPr>
      <w:r>
        <w:t xml:space="preserve">Decimal</w:t>
      </w:r>
    </w:p>
    <w:p>
      <w:pPr>
        <w:pStyle w:val="ListParagraph"/>
        <w:numPr>
          <w:ilvl w:val="0"/>
          <w:numId w:val="2"/>
        </w:numPr>
        <w:spacing w:after="60"/>
      </w:pPr>
      <w:r>
        <w:t xml:space="preserve">Decimal Number</w:t>
      </w:r>
    </w:p>
    <w:p>
      <w:pPr>
        <w:pStyle w:val="ListParagraph"/>
        <w:numPr>
          <w:ilvl w:val="0"/>
          <w:numId w:val="2"/>
        </w:numPr>
        <w:spacing w:after="60"/>
      </w:pPr>
      <w:r>
        <w:t xml:space="preserve">Addition</w:t>
      </w:r>
    </w:p>
    <w:p>
      <w:pPr>
        <w:pStyle w:val="ListParagraph"/>
        <w:numPr>
          <w:ilvl w:val="0"/>
          <w:numId w:val="2"/>
        </w:numPr>
        <w:spacing w:after="60"/>
      </w:pPr>
      <w:r>
        <w:t xml:space="preserve">Multiplication</w:t>
      </w:r>
    </w:p>
    <w:p>
      <w:pPr>
        <w:pStyle w:val="ListParagraph"/>
        <w:numPr>
          <w:ilvl w:val="0"/>
          <w:numId w:val="2"/>
        </w:numPr>
        <w:spacing w:after="60"/>
      </w:pPr>
      <w:r>
        <w:t xml:space="preserve">Currency</w:t>
      </w:r>
    </w:p>
    <w:p>
      <w:pPr>
        <w:pStyle w:val="ListParagraph"/>
        <w:numPr>
          <w:ilvl w:val="0"/>
          <w:numId w:val="2"/>
        </w:numPr>
        <w:spacing w:after="60"/>
      </w:pPr>
      <w:r>
        <w:t xml:space="preserve">Rounding</w:t>
      </w:r>
    </w:p>
    <w:p>
      <w:pPr>
        <w:pStyle w:val="ListParagraph"/>
        <w:numPr>
          <w:ilvl w:val="0"/>
          <w:numId w:val="2"/>
        </w:numPr>
        <w:spacing w:after="60"/>
      </w:pPr>
      <w:r>
        <w:t xml:space="preserve">Bar Graph</w:t>
      </w:r>
    </w:p>
    <w:p>
      <w:pPr>
        <w:pStyle w:val="ListParagraph"/>
        <w:numPr>
          <w:ilvl w:val="0"/>
          <w:numId w:val="2"/>
        </w:numPr>
        <w:spacing w:after="60"/>
      </w:pPr>
      <w:r>
        <w:t xml:space="preserve">Pie Chart</w:t>
      </w:r>
    </w:p>
    <w:p>
      <w:pPr>
        <w:pStyle w:val="ListParagraph"/>
        <w:numPr>
          <w:ilvl w:val="0"/>
          <w:numId w:val="2"/>
        </w:numPr>
        <w:spacing w:after="60"/>
      </w:pPr>
      <w:r>
        <w:t xml:space="preserve">Data</w:t>
      </w:r>
    </w:p>
    <w:p>
      <w:pPr>
        <w:spacing w:after="160" w:before="200"/>
      </w:pPr>
      <w:r>
        <w:rPr>
          <w:b/>
          <w:bCs/>
        </w:rPr>
        <w:t xml:space="preserve">"How to…" questions</w:t>
      </w:r>
    </w:p>
    <w:p>
      <w:pPr>
        <w:pStyle w:val="ListParagraph"/>
        <w:numPr>
          <w:ilvl w:val="0"/>
          <w:numId w:val="2"/>
        </w:numPr>
        <w:spacing w:after="60"/>
      </w:pPr>
      <w:r>
        <w:t xml:space="preserve">How to evaluate a variable expression (Substitution Property)</w:t>
      </w:r>
    </w:p>
    <w:p>
      <w:pPr>
        <w:pStyle w:val="ListParagraph"/>
        <w:numPr>
          <w:ilvl w:val="0"/>
          <w:numId w:val="2"/>
        </w:numPr>
        <w:spacing w:after="60"/>
      </w:pPr>
      <w:r>
        <w:t xml:space="preserve">How to determine the probability of a single event</w:t>
      </w:r>
    </w:p>
    <w:p>
      <w:pPr>
        <w:pStyle w:val="ListParagraph"/>
        <w:numPr>
          <w:ilvl w:val="0"/>
          <w:numId w:val="2"/>
        </w:numPr>
        <w:spacing w:after="60"/>
      </w:pPr>
      <w:r>
        <w:t xml:space="preserve">How to find the mean of a set of data</w:t>
      </w:r>
    </w:p>
    <w:p>
      <w:pPr>
        <w:pStyle w:val="ListParagraph"/>
        <w:numPr>
          <w:ilvl w:val="0"/>
          <w:numId w:val="2"/>
        </w:numPr>
        <w:spacing w:after="60"/>
      </w:pPr>
      <w:r>
        <w:t xml:space="preserve">How to convert percents to numbers</w:t>
      </w:r>
    </w:p>
    <w:p>
      <w:pPr>
        <w:pStyle w:val="ListParagraph"/>
        <w:numPr>
          <w:ilvl w:val="0"/>
          <w:numId w:val="2"/>
        </w:numPr>
        <w:spacing w:after="60"/>
      </w:pPr>
      <w:r>
        <w:t xml:space="preserve">How to convert numbers to percents</w:t>
      </w:r>
    </w:p>
    <w:p>
      <w:pPr>
        <w:pStyle w:val="ListParagraph"/>
        <w:numPr>
          <w:ilvl w:val="0"/>
          <w:numId w:val="2"/>
        </w:numPr>
        <w:spacing w:after="60"/>
      </w:pPr>
      <w:r>
        <w:t xml:space="preserve">How to find the percent of a number</w:t>
      </w:r>
    </w:p>
    <w:p>
      <w:pPr>
        <w:pStyle w:val="ListParagraph"/>
        <w:numPr>
          <w:ilvl w:val="0"/>
          <w:numId w:val="2"/>
        </w:numPr>
        <w:spacing w:after="60"/>
      </w:pPr>
      <w:r>
        <w:t xml:space="preserve">How to add decimal numbers</w:t>
      </w:r>
    </w:p>
    <w:p>
      <w:pPr>
        <w:pStyle w:val="ListParagraph"/>
        <w:numPr>
          <w:ilvl w:val="0"/>
          <w:numId w:val="2"/>
        </w:numPr>
        <w:spacing w:after="60"/>
      </w:pPr>
      <w:r>
        <w:t xml:space="preserve">How to subtract decimal numbers</w:t>
      </w:r>
    </w:p>
    <w:p>
      <w:pPr>
        <w:pStyle w:val="ListParagraph"/>
        <w:numPr>
          <w:ilvl w:val="0"/>
          <w:numId w:val="2"/>
        </w:numPr>
        <w:spacing w:after="60"/>
      </w:pPr>
      <w:r>
        <w:t xml:space="preserve">How to multiply decimal numbers</w:t>
      </w:r>
    </w:p>
    <w:p>
      <w:pPr>
        <w:pStyle w:val="ListParagraph"/>
        <w:numPr>
          <w:ilvl w:val="0"/>
          <w:numId w:val="2"/>
        </w:numPr>
        <w:spacing w:after="60"/>
      </w:pPr>
      <w:r>
        <w:t xml:space="preserve">How to round a number to a specified place value</w:t>
      </w:r>
    </w:p>
    <w:p>
      <w:pPr>
        <w:pStyle w:val="ListParagraph"/>
        <w:numPr>
          <w:ilvl w:val="0"/>
          <w:numId w:val="2"/>
        </w:numPr>
        <w:spacing w:after="60"/>
      </w:pPr>
      <w:r>
        <w:t xml:space="preserve">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2026-08-20T22:14:22.835Z</dcterms:created>
  <dcterms:modified xsi:type="dcterms:W3CDTF">2026-08-20T22:14:22.841Z</dcterms:modified>
</cp:coreProperties>
</file>

<file path=docProps/custom.xml><?xml version="1.0" encoding="utf-8"?>
<Properties xmlns="http://schemas.openxmlformats.org/officeDocument/2006/custom-properties" xmlns:vt="http://schemas.openxmlformats.org/officeDocument/2006/docPropsVTypes"/>
</file>