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3a5c"/>
          <w:sz w:val="40"/>
          <w:szCs w:val="40"/>
        </w:rPr>
        <w:t xml:space="preserve">Case Study: Medical Statistician</w:t>
      </w:r>
    </w:p>
    <w:p>
      <w:pPr>
        <w:spacing w:after="300"/>
      </w:pPr>
      <w:r>
        <w:rPr>
          <w:color w:val="5b6472"/>
          <w:sz w:val="20"/>
          <w:szCs w:val="20"/>
        </w:rPr>
        <w:t xml:space="preserve">MS | Math | Case Study | 2026-27 | Adventure</w:t>
      </w:r>
    </w:p>
    <w:p>
      <w:pPr>
        <w:pStyle w:val="Heading1"/>
        <w:spacing w:after="120" w:before="240"/>
      </w:pPr>
      <w:r>
        <w:t xml:space="preserve">Overview</w:t>
      </w:r>
    </w:p>
    <w:p>
      <w:pPr>
        <w:spacing w:after="160"/>
      </w:pPr>
      <w:r>
        <w:t xml:space="preserve">The boardroom smells like dry-erase marker and the coffee nobody's finished. Whiteboards line two walls, still covered in last quarter's charts. Tanya Teeples sits with her laptop open and a fresh legal pad, pen uncapped, at the foot of a table too long for the two people using it.</w:t>
      </w:r>
    </w:p>
    <w:p>
      <w:pPr>
        <w:spacing w:after="160"/>
      </w:pPr>
      <w:r>
        <w:t xml:space="preserve">At the head of it, James Miller laces his fingers together and doesn't smile. “We have a new drug in the pipeline. Paxovir — a treatment for diabetes in dogs. I want you leading the study that proves it works.”</w:t>
      </w:r>
    </w:p>
    <w:p>
      <w:pPr>
        <w:spacing w:after="160"/>
      </w:pPr>
      <w:r>
        <w:t xml:space="preserve">Tanya nods once, already turning half a sentence over in her head before she says it out loud. “We'll need a controlled trial. A real one — a group that gets Paxovir, a group that doesn't, and numbers at the end that mean something.”</w:t>
      </w:r>
    </w:p>
    <w:p>
      <w:pPr>
        <w:spacing w:after="160"/>
      </w:pPr>
      <w:r>
        <w:t xml:space="preserve">“This is the flagship product, Tanya.” Miller leans forward. “The FDA will take this apart line by line. I need this bulletproof. Where do you even start finding dogs for a study like this?”</w:t>
      </w:r>
    </w:p>
    <w:p>
      <w:pPr>
        <w:spacing w:after="160"/>
      </w:pPr>
      <w:r>
        <w:t xml:space="preserve">That's the question she was already circling. There are two honest answers, and they don't lead to the same place. One means reaching into the full, messy population of American dog owners — most of whom have no idea their dog could be part of anything. The other means picking up the phone to clinics that already have exactly the patients she needs, sitting in exam rooms right now.</w:t>
      </w:r>
    </w:p>
    <w:p>
      <w:pPr>
        <w:spacing w:after="160"/>
      </w:pPr>
      <w:r>
        <w:t xml:space="preserve">Miller is still watching her, waiting. Behind him, a whiteboard chart from some other project shows a bell curve nobody's erased.</w:t>
      </w:r>
    </w:p>
    <w:p>
      <w:pPr>
        <w:spacing w:after="160"/>
      </w:pPr>
      <w:r>
        <w:t xml:space="preserve">Tanya looks down at the blank first line of her legal pad.</w:t>
      </w:r>
    </w:p>
    <w:p>
      <w:pPr>
        <w:pStyle w:val="Heading1"/>
        <w:spacing w:after="120" w:before="240"/>
      </w:pPr>
      <w:r>
        <w:t xml:space="preserve">Background</w:t>
      </w:r>
    </w:p>
    <w:p>
      <w:pPr>
        <w:spacing w:after="160"/>
      </w:pPr>
      <w:r>
        <w:t xml:space="preserve">Tanya Teeples has worked as a medical statistician at Bansky Pharmaceuticals for over eight years, after three years freelancing as a medical statistician for private companies and government agencies. She holds a master's degree in Healthcare Statistics from USC. At Bansky, she designs the drug trials that determine whether a treatment Bansky's scientists have developed is effective enough to bring to market — and whether the U.S. Food and Drug Administration's Center for Veterinary Medicine (FDA CVM) will approve it for real patients (SEE APPENDIX F).</w:t>
      </w:r>
    </w:p>
    <w:p>
      <w:pPr>
        <w:spacing w:after="160"/>
      </w:pPr>
      <w:r>
        <w:t xml:space="preserve">Paxovir is a new weekly-injection drug Bansky scientists designed to treat dogs with diabetes mellitus. Diabetes is a real and serious disease in dogs: it is estimated to affect about 1 in 300 dogs in the U.S., typically appearing between 4 and 14 years of age, with unspayed female dogs about twice as likely as males to develop it, and several breeds — including Cocker Spaniels, Dachshunds, Doberman Pinschers, German Shepherds, Pomeranians, Terriers, Toy Poodles, Miniature Schnauzers, Keeshonden, and Samoyeds — showing elevated risk (SEE APPENDIX B). Paxovir has already passed safety testing in laboratory rats and a small (100-dog) pilot sample, though a few pilot dogs saw no benefit, a few got worse, and a few died — expected in early-phase testing, but a reminder of what a badly designed larger trial risks (SEE APPENDIX A).</w:t>
      </w:r>
    </w:p>
    <w:p>
      <w:pPr>
        <w:spacing w:after="160"/>
      </w:pPr>
      <w:r>
        <w:t xml:space="preserve">Bansky has given Tanya a fixed budget of $600,000 and a hard window: the study must launch within 1 month and conclude within 7 months (SEE APPENDIX A). Of that budget, $23,000 is already committed to study design and preparation and $84,000 to analysis and data collection, leaving the rest for recruiting dogs into the study and dosing them with Paxovir for the full 26-week treatment course, at $15 per dose per week (SEE APPENDIX A).</w:t>
      </w:r>
    </w:p>
    <w:p>
      <w:pPr>
        <w:spacing w:after="160"/>
      </w:pPr>
      <w:r>
        <w:t xml:space="preserve">Tanya's central decision is how to build her sample. She could draw dogs at random from the full population of pet dogs in the U.S. — a method that produces the strongest, most generalizable evidence, but is expensive and slow, because most dogs contacted at random will not have diabetes at all (SEE APPENDIX B, D). Or she could recruit entirely through veterinary clinics Bansky already partners with, which are already treating at-risk-breed dogs and can hand her a list of diagnosed patients immediately — fast and cheap, but a sample that is not random, and federal regulators weigh non-random evidence differently than they weigh a randomized study (SEE APPENDIX F). Every dollar in this case that is not a direct citation to a real source is a disclosed, stated Modeling Assumption (SEE APPENDIX G) — none is invented quietly, and every citation is listed in full (SEE APPENDIX H).</w:t>
      </w:r>
    </w:p>
    <w:p>
      <w:pPr>
        <w:spacing w:after="160"/>
      </w:pPr>
      <w:r>
        <w:t xml:space="preserve">The vocabulary and “how to…” skills this case will ask you to research in Challenge 1 are listed in APPENDIX I.</w:t>
      </w:r>
    </w:p>
    <w:p>
      <w:pPr>
        <w:pStyle w:val="Heading1"/>
        <w:spacing w:after="120" w:before="240"/>
      </w:pPr>
      <w:r>
        <w:t xml:space="preserve">Dilemma</w:t>
      </w:r>
    </w:p>
    <w:p>
      <w:pPr>
        <w:spacing w:after="160"/>
      </w:pPr>
      <w:r>
        <w:t xml:space="preserve">You are Tanya Teeples, in your research study on Paxovir.</w:t>
      </w:r>
    </w:p>
    <w:p>
      <w:pPr>
        <w:spacing w:after="160"/>
      </w:pPr>
      <w:r>
        <w:t xml:space="preserve">Do you:</w:t>
      </w:r>
    </w:p>
    <w:p>
      <w:pPr>
        <w:spacing w:after="160"/>
      </w:pPr>
      <w:r>
        <w:rPr>
          <w:b/>
          <w:bCs/>
        </w:rPr>
        <w:t xml:space="preserve">A.) </w:t>
      </w:r>
      <w:r>
        <w:t xml:space="preserve">Use simple random sampling drawn from the general U.S. dog population OR</w:t>
      </w:r>
    </w:p>
    <w:p>
      <w:pPr>
        <w:spacing w:after="160"/>
      </w:pPr>
      <w:r>
        <w:rPr>
          <w:b/>
          <w:bCs/>
        </w:rPr>
        <w:t xml:space="preserve">B.) </w:t>
      </w:r>
      <w:r>
        <w:t xml:space="preserve">Use convenience sampling through partner veterinary clinics already treating at-risk breeds</w:t>
      </w:r>
    </w:p>
    <w:p>
      <w:pPr>
        <w:pStyle w:val="Heading1"/>
        <w:spacing w:after="120" w:before="240"/>
      </w:pPr>
      <w:r>
        <w:t xml:space="preserve">Challenges</w:t>
      </w:r>
    </w:p>
    <w:p>
      <w:pPr>
        <w:spacing w:after="160"/>
      </w:pPr>
      <w:r>
        <w:t xml:space="preserve">1.) Research and find an online resource that answers one of the “how to…” questions from the case study launch. Post a link to the resource as your submission.</w:t>
      </w:r>
    </w:p>
    <w:p>
      <w:pPr>
        <w:spacing w:after="160"/>
      </w:pPr>
      <w:r>
        <w:t xml:space="preserve">2.) Post 250 or more “excellent” words pitching a firm stance to your audience on which you would choose and why. Your pitch must include:</w:t>
      </w:r>
    </w:p>
    <w:p>
      <w:pPr>
        <w:pStyle w:val="ListParagraph"/>
        <w:numPr>
          <w:ilvl w:val="0"/>
          <w:numId w:val="2"/>
        </w:numPr>
        <w:spacing w:after="80"/>
      </w:pPr>
      <w:r>
        <w:t xml:space="preserve">a.) Use of the “how to…” resource you researched in Challenge 1.</w:t>
      </w:r>
    </w:p>
    <w:p>
      <w:pPr>
        <w:pStyle w:val="ListParagraph"/>
        <w:numPr>
          <w:ilvl w:val="0"/>
          <w:numId w:val="2"/>
        </w:numPr>
        <w:spacing w:after="80"/>
      </w:pPr>
      <w:r>
        <w:t xml:space="preserve">b.) At least one original visual display of the data.</w:t>
      </w:r>
    </w:p>
    <w:p>
      <w:pPr>
        <w:spacing w:after="160"/>
      </w:pPr>
      <w:r>
        <w:t xml:space="preserve">3.) Your pitch must include:</w:t>
      </w:r>
    </w:p>
    <w:p>
      <w:pPr>
        <w:spacing w:after="160"/>
      </w:pPr>
      <w:r>
        <w:rPr>
          <w:b/>
          <w:bCs/>
        </w:rPr>
        <w:t xml:space="preserve">D1. </w:t>
      </w:r>
      <w:r>
        <w:t xml:space="preserve">A stated total sample size (number of dogs) for your chosen sampling method, with the arithmetic that gets you there shown step by step (SEE APPENDICES A, D, G).</w:t>
      </w:r>
    </w:p>
    <w:p>
      <w:pPr>
        <w:spacing w:after="160"/>
      </w:pPr>
      <w:r>
        <w:rPr>
          <w:b/>
          <w:bCs/>
        </w:rPr>
        <w:t xml:space="preserve">D2. </w:t>
      </w:r>
      <w:r>
        <w:t xml:space="preserve">A sampling-method comparison table. If you chose probability sampling, name the specific method — simple random, stratified, systematic, or cluster — and explain why you rejected the other three. If you chose non-probability sampling, name the specific method — convenience, quota, purposive, or snowball — and explain why you rejected the other three (SEE APPENDIX C).</w:t>
      </w:r>
    </w:p>
    <w:p>
      <w:pPr>
        <w:spacing w:after="160"/>
      </w:pPr>
      <w:r>
        <w:rPr>
          <w:b/>
          <w:bCs/>
        </w:rPr>
        <w:t xml:space="preserve">D3. </w:t>
      </w:r>
      <w:r>
        <w:t xml:space="preserve">A specific plan for how you would actually draw your sample from the population — which regions, which clinics, or which owner records, and why (i.e., “I would recruit only through clinics in these five states because…” or “I would randomly select owners from this national list because…”) (SEE APPENDICES B, C).</w:t>
      </w:r>
    </w:p>
    <w:p>
      <w:pPr>
        <w:spacing w:after="160"/>
      </w:pPr>
      <w:r>
        <w:rPr>
          <w:b/>
          <w:bCs/>
        </w:rPr>
        <w:t xml:space="preserve">D4. </w:t>
      </w:r>
      <w:r>
        <w:t xml:space="preserve">A total estimated cost and total estimated time for your chosen sampling method, shown against Bansky's $600,000 budget and 7-month deadline, with the dollars-remaining (or dollars-over) clearly stated (SEE APPENDICES A, D, G).</w:t>
      </w:r>
    </w:p>
    <w:p>
      <w:pPr>
        <w:spacing w:after="160"/>
      </w:pPr>
      <w:r>
        <w:rPr>
          <w:b/>
          <w:bCs/>
        </w:rPr>
        <w:t xml:space="preserve">D5. </w:t>
      </w:r>
      <w:r>
        <w:t xml:space="preserve">The margin of error you expect at a 95% confidence level for your study's sample size, with your calculation shown (SEE APPENDIX E).</w:t>
      </w:r>
    </w:p>
    <w:p>
      <w:pPr>
        <w:spacing w:after="160"/>
      </w:pPr>
      <w:r>
        <w:rPr>
          <w:b/>
          <w:bCs/>
        </w:rPr>
        <w:t xml:space="preserve">D6. </w:t>
      </w:r>
      <w:r>
        <w:t xml:space="preserve">At least two original visual displays comparing your chosen method against the alternative on sample size, cost, and margin of error.</w:t>
      </w:r>
    </w:p>
    <w:p>
      <w:pPr>
        <w:spacing w:after="160"/>
      </w:pPr>
      <w:r>
        <w:t xml:space="preserve">4.) An appendix showing evidence of your original thinking, work, calculations and processes you used to complete the challenges (pictures, screenshots, notes, etc.). Your work in the appendix does not count toward your word count.</w:t>
      </w:r>
    </w:p>
    <w:p>
      <w:pPr>
        <w:spacing w:after="160"/>
      </w:pPr>
      <w:r>
        <w:t xml:space="preserve">5.) Participate twice or more in the Case Study discussion. If you are absent the day of a discussion post 500 “excellent” words on the questions above.</w:t>
      </w:r>
    </w:p>
    <w:p>
      <w:pPr>
        <w:pStyle w:val="Heading2"/>
        <w:spacing w:after="120" w:before="240"/>
      </w:pPr>
      <w:r>
        <w:t xml:space="preserve">Appendix A — Bansky's Paxovir Research Funding Details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00"/>
        <w:gridCol w:w="3600"/>
      </w:tblGrid>
      <w:tr>
        <w:trPr>
          <w:tblHeader/>
        </w:trPr>
        <w:tc>
          <w:tcPr>
            <w:tcW w:type="dxa" w:w="6000"/>
            <w:shd w:fill="1a3a5c" w:color="auto" w:val="clear"/>
          </w:tcPr>
          <w:p>
            <w:r>
              <w:rPr>
                <w:b/>
                <w:bCs/>
                <w:color w:val="FFFFFF"/>
              </w:rPr>
              <w:t xml:space="preserve">Item</w:t>
            </w:r>
          </w:p>
        </w:tc>
        <w:tc>
          <w:tcPr>
            <w:tcW w:type="dxa" w:w="3600"/>
            <w:shd w:fill="1a3a5c" w:color="auto" w:val="clear"/>
          </w:tcPr>
          <w:p>
            <w:r>
              <w:rPr>
                <w:b/>
                <w:bCs/>
                <w:color w:val="FFFFFF"/>
              </w:rPr>
              <w:t xml:space="preserve">Amount</w:t>
            </w:r>
          </w:p>
        </w:tc>
      </w:tr>
      <w:tr>
        <w:tc>
          <w:tcPr>
            <w:tcW w:type="dxa" w:w="6000"/>
          </w:tcPr>
          <w:p>
            <w:r>
              <w:t xml:space="preserve">Total budget</w:t>
            </w:r>
          </w:p>
        </w:tc>
        <w:tc>
          <w:tcPr>
            <w:tcW w:type="dxa" w:w="3600"/>
          </w:tcPr>
          <w:p>
            <w:r>
              <w:t xml:space="preserve">$600,000.00</w:t>
            </w:r>
          </w:p>
        </w:tc>
      </w:tr>
      <w:tr>
        <w:tc>
          <w:tcPr>
            <w:tcW w:type="dxa" w:w="6000"/>
            <w:shd w:fill="F7F9FB" w:color="auto" w:val="clear"/>
          </w:tcPr>
          <w:p>
            <w:r>
              <w:t xml:space="preserve">Cost of study design and preparation</w:t>
            </w:r>
          </w:p>
        </w:tc>
        <w:tc>
          <w:tcPr>
            <w:tcW w:type="dxa" w:w="3600"/>
            <w:shd w:fill="F7F9FB" w:color="auto" w:val="clear"/>
          </w:tcPr>
          <w:p>
            <w:r>
              <w:t xml:space="preserve">$23,000.00</w:t>
            </w:r>
          </w:p>
        </w:tc>
      </w:tr>
      <w:tr>
        <w:tc>
          <w:tcPr>
            <w:tcW w:type="dxa" w:w="6000"/>
          </w:tcPr>
          <w:p>
            <w:r>
              <w:t xml:space="preserve">Cost of study analysis and data collection</w:t>
            </w:r>
          </w:p>
        </w:tc>
        <w:tc>
          <w:tcPr>
            <w:tcW w:type="dxa" w:w="3600"/>
          </w:tcPr>
          <w:p>
            <w:r>
              <w:t xml:space="preserve">$84,000.00</w:t>
            </w:r>
          </w:p>
        </w:tc>
      </w:tr>
      <w:tr>
        <w:tc>
          <w:tcPr>
            <w:tcW w:type="dxa" w:w="6000"/>
            <w:shd w:fill="F7F9FB" w:color="auto" w:val="clear"/>
          </w:tcPr>
          <w:p>
            <w:r>
              <w:t xml:space="preserve">Remaining for recruitment + dosing</w:t>
            </w:r>
          </w:p>
        </w:tc>
        <w:tc>
          <w:tcPr>
            <w:tcW w:type="dxa" w:w="3600"/>
            <w:shd w:fill="F7F9FB" w:color="auto" w:val="clear"/>
          </w:tcPr>
          <w:p>
            <w:r>
              <w:t xml:space="preserve">$493,000.00</w:t>
            </w:r>
          </w:p>
        </w:tc>
      </w:tr>
      <w:tr>
        <w:tc>
          <w:tcPr>
            <w:tcW w:type="dxa" w:w="6000"/>
          </w:tcPr>
          <w:p>
            <w:r>
              <w:t xml:space="preserve">Cost per dose of Paxovir (per subject, per week)</w:t>
            </w:r>
          </w:p>
        </w:tc>
        <w:tc>
          <w:tcPr>
            <w:tcW w:type="dxa" w:w="3600"/>
          </w:tcPr>
          <w:p>
            <w:r>
              <w:t xml:space="preserve">$15.00</w:t>
            </w:r>
          </w:p>
        </w:tc>
      </w:tr>
      <w:tr>
        <w:tc>
          <w:tcPr>
            <w:tcW w:type="dxa" w:w="6000"/>
            <w:shd w:fill="F7F9FB" w:color="auto" w:val="clear"/>
          </w:tcPr>
          <w:p>
            <w:r>
              <w:t xml:space="preserve">Total treatment weeks per subject</w:t>
            </w:r>
          </w:p>
        </w:tc>
        <w:tc>
          <w:tcPr>
            <w:tcW w:type="dxa" w:w="3600"/>
            <w:shd w:fill="F7F9FB" w:color="auto" w:val="clear"/>
          </w:tcPr>
          <w:p>
            <w:r>
              <w:t xml:space="preserve">26</w:t>
            </w:r>
          </w:p>
        </w:tc>
      </w:tr>
      <w:tr>
        <w:tc>
          <w:tcPr>
            <w:tcW w:type="dxa" w:w="6000"/>
          </w:tcPr>
          <w:p>
            <w:r>
              <w:t xml:space="preserve">Total drug cost per subject</w:t>
            </w:r>
          </w:p>
        </w:tc>
        <w:tc>
          <w:tcPr>
            <w:tcW w:type="dxa" w:w="3600"/>
          </w:tcPr>
          <w:p>
            <w:r>
              <w:t xml:space="preserve">$390.00 (26 × $15.00)</w:t>
            </w:r>
          </w:p>
        </w:tc>
      </w:tr>
      <w:tr>
        <w:tc>
          <w:tcPr>
            <w:tcW w:type="dxa" w:w="6000"/>
            <w:shd w:fill="F7F9FB" w:color="auto" w:val="clear"/>
          </w:tcPr>
          <w:p>
            <w:r>
              <w:t xml:space="preserve">Study must launch within</w:t>
            </w:r>
          </w:p>
        </w:tc>
        <w:tc>
          <w:tcPr>
            <w:tcW w:type="dxa" w:w="3600"/>
            <w:shd w:fill="F7F9FB" w:color="auto" w:val="clear"/>
          </w:tcPr>
          <w:p>
            <w:r>
              <w:t xml:space="preserve">1 month</w:t>
            </w:r>
          </w:p>
        </w:tc>
      </w:tr>
      <w:tr>
        <w:tc>
          <w:tcPr>
            <w:tcW w:type="dxa" w:w="6000"/>
          </w:tcPr>
          <w:p>
            <w:r>
              <w:t xml:space="preserve">Study must conclude within</w:t>
            </w:r>
          </w:p>
        </w:tc>
        <w:tc>
          <w:tcPr>
            <w:tcW w:type="dxa" w:w="3600"/>
          </w:tcPr>
          <w:p>
            <w:r>
              <w:t xml:space="preserve">7 months</w:t>
            </w:r>
          </w:p>
        </w:tc>
      </w:tr>
    </w:tbl>
    <w:p>
      <w:pPr>
        <w:spacing w:after="100"/>
      </w:pPr>
    </w:p>
    <w:p>
      <w:pPr>
        <w:spacing w:after="160"/>
      </w:pPr>
      <w:r>
        <w:t xml:space="preserve">All figures on this table are preserved from Bansky's own internal research budget as recorded in the case's source materials (SEE APPENDIX G, legacy note).</w:t>
      </w:r>
    </w:p>
    <w:p>
      <w:pPr>
        <w:pStyle w:val="Heading2"/>
        <w:spacing w:after="120" w:before="240"/>
      </w:pPr>
      <w:r>
        <w:t xml:space="preserve">Appendix B — Canine Diabetes: Prevalence, Risk Factors, and the U.S. Dog Population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4600"/>
        <w:gridCol w:w="1800"/>
      </w:tblGrid>
      <w:tr>
        <w:trPr>
          <w:tblHeader/>
        </w:trPr>
        <w:tc>
          <w:tcPr>
            <w:tcW w:type="dxa" w:w="3200"/>
            <w:shd w:fill="1a3a5c" w:color="auto" w:val="clear"/>
          </w:tcPr>
          <w:p>
            <w:r>
              <w:rPr>
                <w:b/>
                <w:bCs/>
                <w:color w:val="FFFFFF"/>
              </w:rPr>
              <w:t xml:space="preserve">Fact</w:t>
            </w:r>
          </w:p>
        </w:tc>
        <w:tc>
          <w:tcPr>
            <w:tcW w:type="dxa" w:w="4600"/>
            <w:shd w:fill="1a3a5c" w:color="auto" w:val="clear"/>
          </w:tcPr>
          <w:p>
            <w:r>
              <w:rPr>
                <w:b/>
                <w:bCs/>
                <w:color w:val="FFFFFF"/>
              </w:rPr>
              <w:t xml:space="preserve">Value</w:t>
            </w:r>
          </w:p>
        </w:tc>
        <w:tc>
          <w:tcPr>
            <w:tcW w:type="dxa" w:w="1800"/>
            <w:shd w:fill="1a3a5c" w:color="auto" w:val="clear"/>
          </w:tcPr>
          <w:p>
            <w:r>
              <w:rPr>
                <w:b/>
                <w:bCs/>
                <w:color w:val="FFFFFF"/>
              </w:rPr>
              <w:t xml:space="preserve">Source</w:t>
            </w:r>
          </w:p>
        </w:tc>
      </w:tr>
      <w:tr>
        <w:tc>
          <w:tcPr>
            <w:tcW w:type="dxa" w:w="3200"/>
          </w:tcPr>
          <w:p>
            <w:r>
              <w:t xml:space="preserve">Estimated prevalence of diabetes mellitus in U.S. dogs</w:t>
            </w:r>
          </w:p>
        </w:tc>
        <w:tc>
          <w:tcPr>
            <w:tcW w:type="dxa" w:w="4600"/>
          </w:tcPr>
          <w:p>
            <w:r>
              <w:t xml:space="preserve">About 1 in 300 dogs</w:t>
            </w:r>
          </w:p>
        </w:tc>
        <w:tc>
          <w:tcPr>
            <w:tcW w:type="dxa" w:w="1800"/>
          </w:tcPr>
          <w:p>
            <w:r>
              <w:t xml:space="preserve">[S1]</w:t>
            </w:r>
          </w:p>
        </w:tc>
      </w:tr>
      <w:tr>
        <w:tc>
          <w:tcPr>
            <w:tcW w:type="dxa" w:w="3200"/>
            <w:shd w:fill="F7F9FB" w:color="auto" w:val="clear"/>
          </w:tcPr>
          <w:p>
            <w:r>
              <w:t xml:space="preserve">Typical age of onset</w:t>
            </w:r>
          </w:p>
        </w:tc>
        <w:tc>
          <w:tcPr>
            <w:tcW w:type="dxa" w:w="4600"/>
            <w:shd w:fill="F7F9FB" w:color="auto" w:val="clear"/>
          </w:tcPr>
          <w:p>
            <w:r>
              <w:t xml:space="preserve">4 to 14 years old</w:t>
            </w:r>
          </w:p>
        </w:tc>
        <w:tc>
          <w:tcPr>
            <w:tcW w:type="dxa" w:w="1800"/>
            <w:shd w:fill="F7F9FB" w:color="auto" w:val="clear"/>
          </w:tcPr>
          <w:p>
            <w:r>
              <w:t xml:space="preserve">[S1]</w:t>
            </w:r>
          </w:p>
        </w:tc>
      </w:tr>
      <w:tr>
        <w:tc>
          <w:tcPr>
            <w:tcW w:type="dxa" w:w="3200"/>
          </w:tcPr>
          <w:p>
            <w:r>
              <w:t xml:space="preserve">Sex-based risk</w:t>
            </w:r>
          </w:p>
        </w:tc>
        <w:tc>
          <w:tcPr>
            <w:tcW w:type="dxa" w:w="4600"/>
          </w:tcPr>
          <w:p>
            <w:r>
              <w:t xml:space="preserve">Unspayed females ~2× as likely as males</w:t>
            </w:r>
          </w:p>
        </w:tc>
        <w:tc>
          <w:tcPr>
            <w:tcW w:type="dxa" w:w="1800"/>
          </w:tcPr>
          <w:p>
            <w:r>
              <w:t xml:space="preserve">[S1]</w:t>
            </w:r>
          </w:p>
        </w:tc>
      </w:tr>
      <w:tr>
        <w:tc>
          <w:tcPr>
            <w:tcW w:type="dxa" w:w="3200"/>
            <w:shd w:fill="F7F9FB" w:color="auto" w:val="clear"/>
          </w:tcPr>
          <w:p>
            <w:r>
              <w:t xml:space="preserve">At-risk breeds</w:t>
            </w:r>
          </w:p>
        </w:tc>
        <w:tc>
          <w:tcPr>
            <w:tcW w:type="dxa" w:w="4600"/>
            <w:shd w:fill="F7F9FB" w:color="auto" w:val="clear"/>
          </w:tcPr>
          <w:p>
            <w:r>
              <w:t xml:space="preserve">Cocker Spaniel, Dachshund, Doberman Pinscher, German Shepherd, Pomeranian, Terrier, Toy Poodle, Miniature Schnauzer, Keeshond, Samoyed</w:t>
            </w:r>
          </w:p>
        </w:tc>
        <w:tc>
          <w:tcPr>
            <w:tcW w:type="dxa" w:w="1800"/>
            <w:shd w:fill="F7F9FB" w:color="auto" w:val="clear"/>
          </w:tcPr>
          <w:p>
            <w:r>
              <w:t xml:space="preserve">[S1]</w:t>
            </w:r>
          </w:p>
        </w:tc>
      </w:tr>
      <w:tr>
        <w:tc>
          <w:tcPr>
            <w:tcW w:type="dxa" w:w="3200"/>
          </w:tcPr>
          <w:p>
            <w:r>
              <w:t xml:space="preserve">Total pet dogs in the U.S.</w:t>
            </w:r>
          </w:p>
        </w:tc>
        <w:tc>
          <w:tcPr>
            <w:tcW w:type="dxa" w:w="4600"/>
          </w:tcPr>
          <w:p>
            <w:r>
              <w:t xml:space="preserve">~89.7 million (2024)</w:t>
            </w:r>
          </w:p>
        </w:tc>
        <w:tc>
          <w:tcPr>
            <w:tcW w:type="dxa" w:w="1800"/>
          </w:tcPr>
          <w:p>
            <w:r>
              <w:t xml:space="preserve">[S2]</w:t>
            </w:r>
          </w:p>
        </w:tc>
      </w:tr>
    </w:tbl>
    <w:p>
      <w:pPr>
        <w:spacing w:after="100"/>
      </w:pPr>
    </w:p>
    <w:p>
      <w:pPr>
        <w:spacing w:after="160"/>
      </w:pPr>
      <w:r>
        <w:t xml:space="preserve">A pure random draw from the general dog population, with no breed or age targeting, will on average need to contact roughly 300 dogs to find one that already has diabetes — this is the real, cited reason a simple random sample is the slower and more expensive method to build (SEE APPENDIX D).</w:t>
      </w:r>
    </w:p>
    <w:p>
      <w:pPr>
        <w:pStyle w:val="Heading2"/>
        <w:spacing w:after="120" w:before="240"/>
      </w:pPr>
      <w:r>
        <w:t xml:space="preserve">Appendix C — Sampling Method Reference</w:t>
      </w:r>
    </w:p>
    <w:p>
      <w:pPr>
        <w:spacing w:after="160"/>
      </w:pPr>
      <w:r>
        <w:t xml:space="preserve">Probability sampling (every member of the population has a known, nonzero chance of selection):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1a3a5c" w:color="auto" w:val="clear"/>
          </w:tcPr>
          <w:p>
            <w:r>
              <w:rPr>
                <w:b/>
                <w:bCs/>
                <w:color w:val="FFFFFF"/>
              </w:rPr>
              <w:t xml:space="preserve">Method</w:t>
            </w:r>
          </w:p>
        </w:tc>
        <w:tc>
          <w:tcPr>
            <w:tcW w:type="dxa" w:w="6400"/>
            <w:shd w:fill="1a3a5c" w:color="auto" w:val="clear"/>
          </w:tcPr>
          <w:p>
            <w:r>
              <w:rPr>
                <w:b/>
                <w:bCs/>
                <w:color w:val="FFFFFF"/>
              </w:rPr>
              <w:t xml:space="preserve">Description</w:t>
            </w:r>
          </w:p>
        </w:tc>
      </w:tr>
      <w:tr>
        <w:tc>
          <w:tcPr>
            <w:tcW w:type="dxa" w:w="3200"/>
          </w:tcPr>
          <w:p>
            <w:r>
              <w:t xml:space="preserve">Simple random sampling</w:t>
            </w:r>
          </w:p>
        </w:tc>
        <w:tc>
          <w:tcPr>
            <w:tcW w:type="dxa" w:w="6400"/>
          </w:tcPr>
          <w:p>
            <w:r>
              <w:t xml:space="preserve">Every individual has an equal, independent chance of selection — e.g., a computer-generated random draw from a national registry</w:t>
            </w:r>
          </w:p>
        </w:tc>
      </w:tr>
      <w:tr>
        <w:tc>
          <w:tcPr>
            <w:tcW w:type="dxa" w:w="3200"/>
            <w:shd w:fill="F7F9FB" w:color="auto" w:val="clear"/>
          </w:tcPr>
          <w:p>
            <w:r>
              <w:t xml:space="preserve">Systematic sampling</w:t>
            </w:r>
          </w:p>
        </w:tc>
        <w:tc>
          <w:tcPr>
            <w:tcW w:type="dxa" w:w="6400"/>
            <w:shd w:fill="F7F9FB" w:color="auto" w:val="clear"/>
          </w:tcPr>
          <w:p>
            <w:r>
              <w:t xml:space="preserve">Select every kth individual from an ordered list after a random start</w:t>
            </w:r>
          </w:p>
        </w:tc>
      </w:tr>
      <w:tr>
        <w:tc>
          <w:tcPr>
            <w:tcW w:type="dxa" w:w="3200"/>
          </w:tcPr>
          <w:p>
            <w:r>
              <w:t xml:space="preserve">Stratified sampling</w:t>
            </w:r>
          </w:p>
        </w:tc>
        <w:tc>
          <w:tcPr>
            <w:tcW w:type="dxa" w:w="6400"/>
          </w:tcPr>
          <w:p>
            <w:r>
              <w:t xml:space="preserve">Divide the population into subgroups (e.g., by breed or region), then randomly sample within each</w:t>
            </w:r>
          </w:p>
        </w:tc>
      </w:tr>
      <w:tr>
        <w:tc>
          <w:tcPr>
            <w:tcW w:type="dxa" w:w="3200"/>
            <w:shd w:fill="F7F9FB" w:color="auto" w:val="clear"/>
          </w:tcPr>
          <w:p>
            <w:r>
              <w:t xml:space="preserve">Cluster sampling</w:t>
            </w:r>
          </w:p>
        </w:tc>
        <w:tc>
          <w:tcPr>
            <w:tcW w:type="dxa" w:w="6400"/>
            <w:shd w:fill="F7F9FB" w:color="auto" w:val="clear"/>
          </w:tcPr>
          <w:p>
            <w:r>
              <w:t xml:space="preserve">Divide the population into naturally occurring groups (e.g., by clinic or zip code), then randomly select whole clusters</w:t>
            </w:r>
          </w:p>
        </w:tc>
      </w:tr>
    </w:tbl>
    <w:p>
      <w:pPr>
        <w:spacing w:after="100"/>
      </w:pPr>
    </w:p>
    <w:p>
      <w:pPr>
        <w:spacing w:after="160"/>
      </w:pPr>
      <w:r>
        <w:t xml:space="preserve">Non-probability sampling (selection is not random; some members of the population have no chance of being chosen):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1a3a5c" w:color="auto" w:val="clear"/>
          </w:tcPr>
          <w:p>
            <w:r>
              <w:rPr>
                <w:b/>
                <w:bCs/>
                <w:color w:val="FFFFFF"/>
              </w:rPr>
              <w:t xml:space="preserve">Method</w:t>
            </w:r>
          </w:p>
        </w:tc>
        <w:tc>
          <w:tcPr>
            <w:tcW w:type="dxa" w:w="6400"/>
            <w:shd w:fill="1a3a5c" w:color="auto" w:val="clear"/>
          </w:tcPr>
          <w:p>
            <w:r>
              <w:rPr>
                <w:b/>
                <w:bCs/>
                <w:color w:val="FFFFFF"/>
              </w:rPr>
              <w:t xml:space="preserve">Description</w:t>
            </w:r>
          </w:p>
        </w:tc>
      </w:tr>
      <w:tr>
        <w:tc>
          <w:tcPr>
            <w:tcW w:type="dxa" w:w="3200"/>
          </w:tcPr>
          <w:p>
            <w:r>
              <w:t xml:space="preserve">Convenience sampling</w:t>
            </w:r>
          </w:p>
        </w:tc>
        <w:tc>
          <w:tcPr>
            <w:tcW w:type="dxa" w:w="6400"/>
          </w:tcPr>
          <w:p>
            <w:r>
              <w:t xml:space="preserve">Select whoever is easiest to reach — e.g., patients already at a partner clinic</w:t>
            </w:r>
          </w:p>
        </w:tc>
      </w:tr>
      <w:tr>
        <w:tc>
          <w:tcPr>
            <w:tcW w:type="dxa" w:w="3200"/>
            <w:shd w:fill="F7F9FB" w:color="auto" w:val="clear"/>
          </w:tcPr>
          <w:p>
            <w:r>
              <w:t xml:space="preserve">Quota sampling</w:t>
            </w:r>
          </w:p>
        </w:tc>
        <w:tc>
          <w:tcPr>
            <w:tcW w:type="dxa" w:w="6400"/>
            <w:shd w:fill="F7F9FB" w:color="auto" w:val="clear"/>
          </w:tcPr>
          <w:p>
            <w:r>
              <w:t xml:space="preserve">Fill fixed quotas for subgroups without random selection within them</w:t>
            </w:r>
          </w:p>
        </w:tc>
      </w:tr>
      <w:tr>
        <w:tc>
          <w:tcPr>
            <w:tcW w:type="dxa" w:w="3200"/>
          </w:tcPr>
          <w:p>
            <w:r>
              <w:t xml:space="preserve">Purposive sampling</w:t>
            </w:r>
          </w:p>
        </w:tc>
        <w:tc>
          <w:tcPr>
            <w:tcW w:type="dxa" w:w="6400"/>
          </w:tcPr>
          <w:p>
            <w:r>
              <w:t xml:space="preserve">Hand-pick individuals believed to be especially informative</w:t>
            </w:r>
          </w:p>
        </w:tc>
      </w:tr>
      <w:tr>
        <w:tc>
          <w:tcPr>
            <w:tcW w:type="dxa" w:w="3200"/>
            <w:shd w:fill="F7F9FB" w:color="auto" w:val="clear"/>
          </w:tcPr>
          <w:p>
            <w:r>
              <w:t xml:space="preserve">Snowball (referral) sampling</w:t>
            </w:r>
          </w:p>
        </w:tc>
        <w:tc>
          <w:tcPr>
            <w:tcW w:type="dxa" w:w="6400"/>
            <w:shd w:fill="F7F9FB" w:color="auto" w:val="clear"/>
          </w:tcPr>
          <w:p>
            <w:r>
              <w:t xml:space="preserve">Existing subjects recruit further subjects from their own network</w:t>
            </w:r>
          </w:p>
        </w:tc>
      </w:tr>
    </w:tbl>
    <w:p>
      <w:pPr>
        <w:spacing w:after="100"/>
      </w:pPr>
    </w:p>
    <w:p>
      <w:pPr>
        <w:spacing w:after="160"/>
      </w:pPr>
      <w:r>
        <w:t xml:space="preserve">(SEE APPENDIX I for the full “How to…” research questions this appendix supports; sourced from [S3], [S4].)</w:t>
      </w:r>
    </w:p>
    <w:p>
      <w:pPr>
        <w:pStyle w:val="Heading2"/>
        <w:spacing w:after="120" w:before="240"/>
      </w:pPr>
      <w:r>
        <w:t xml:space="preserve">Appendix D — Recruitment Cost Benchmarks</w:t>
      </w:r>
    </w:p>
    <w:p>
      <w:pPr>
        <w:spacing w:after="160"/>
      </w:pPr>
      <w:r>
        <w:t xml:space="preserve">Bansky has no prior in-house data on what it costs to recruit one dog into a trial, so Tanya is working from the closest real published evidence: peer-reviewed studies of what it costs, per patient, to recruit human subjects into multi-site clinical trials — since no directly comparable published veterinary figure exists (SEE APPENDIX G, MA1/MA2 for how these are used).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800"/>
      </w:tblGrid>
      <w:tr>
        <w:trPr>
          <w:tblHeader/>
        </w:trPr>
        <w:tc>
          <w:tcPr>
            <w:tcW w:type="dxa" w:w="3600"/>
            <w:shd w:fill="1a3a5c" w:color="auto" w:val="clear"/>
          </w:tcPr>
          <w:p>
            <w:r>
              <w:rPr>
                <w:b/>
                <w:bCs/>
                <w:color w:val="FFFFFF"/>
              </w:rPr>
              <w:t xml:space="preserve">Finding</w:t>
            </w:r>
          </w:p>
        </w:tc>
        <w:tc>
          <w:tcPr>
            <w:tcW w:type="dxa" w:w="4200"/>
            <w:shd w:fill="1a3a5c" w:color="auto" w:val="clear"/>
          </w:tcPr>
          <w:p>
            <w:r>
              <w:rPr>
                <w:b/>
                <w:bCs/>
                <w:color w:val="FFFFFF"/>
              </w:rPr>
              <w:t xml:space="preserve">Value</w:t>
            </w:r>
          </w:p>
        </w:tc>
        <w:tc>
          <w:tcPr>
            <w:tcW w:type="dxa" w:w="1800"/>
            <w:shd w:fill="1a3a5c" w:color="auto" w:val="clear"/>
          </w:tcPr>
          <w:p>
            <w:r>
              <w:rPr>
                <w:b/>
                <w:bCs/>
                <w:color w:val="FFFFFF"/>
              </w:rPr>
              <w:t xml:space="preserve">Source</w:t>
            </w:r>
          </w:p>
        </w:tc>
      </w:tr>
      <w:tr>
        <w:tc>
          <w:tcPr>
            <w:tcW w:type="dxa" w:w="3600"/>
          </w:tcPr>
          <w:p>
            <w:r>
              <w:t xml:space="preserve">Mean cost per patient randomized in one multi-site comparative study</w:t>
            </w:r>
          </w:p>
        </w:tc>
        <w:tc>
          <w:tcPr>
            <w:tcW w:type="dxa" w:w="4200"/>
          </w:tcPr>
          <w:p>
            <w:r>
              <w:t xml:space="preserve">$277 (range $74–$797 across sites in the same study)</w:t>
            </w:r>
          </w:p>
        </w:tc>
        <w:tc>
          <w:tcPr>
            <w:tcW w:type="dxa" w:w="1800"/>
          </w:tcPr>
          <w:p>
            <w:r>
              <w:t xml:space="preserve">[S5]</w:t>
            </w:r>
          </w:p>
        </w:tc>
      </w:tr>
    </w:tbl>
    <w:p>
      <w:pPr>
        <w:spacing w:after="100"/>
      </w:pPr>
    </w:p>
    <w:p>
      <w:pPr>
        <w:spacing w:after="160"/>
      </w:pPr>
      <w:r>
        <w:t xml:space="preserve">The wide spread above — a nearly 11-fold difference between the cheapest and most expensive site in the same real study — is itself the point: how you build a sample changes what it costs per subject, sometimes dramatically, even before considering how random the sample is.</w:t>
      </w:r>
    </w:p>
    <w:p>
      <w:pPr>
        <w:pStyle w:val="Heading2"/>
        <w:spacing w:after="120" w:before="240"/>
      </w:pPr>
      <w:r>
        <w:t xml:space="preserve">Appendix E — Margin of Error: Formula and Calculator</w:t>
      </w:r>
    </w:p>
    <w:p>
      <w:pPr>
        <w:spacing w:after="160"/>
      </w:pPr>
      <w:r>
        <w:t xml:space="preserve">At a 95% confidence level, the standard margin-of-error formula used for survey and sample-size problems is:</w:t>
      </w:r>
    </w:p>
    <w:p>
      <w:pPr>
        <w:spacing w:after="160"/>
      </w:pPr>
      <w:r>
        <w:rPr>
          <w:b/>
          <w:bCs/>
        </w:rPr>
        <w:t xml:space="preserve">Margin of Error = z × √(p(1 − p) / n)</w:t>
      </w:r>
    </w:p>
    <w:p>
      <w:pPr>
        <w:spacing w:after="160"/>
      </w:pPr>
      <w:r>
        <w:t xml:space="preserve">where z = 1.96 for 95% confidence [S6], p is the assumed proportion (use p = 0.5, the most conservative choice, when no other estimate is available), and n is the sample size.</w:t>
      </w:r>
    </w:p>
    <w:p>
      <w:pPr>
        <w:spacing w:after="160"/>
      </w:pPr>
      <w:r>
        <w:t xml:space="preserve">An interactive calculator using this same formula is available at SurveyMonkey's Margin of Error Calculator: </w:t>
      </w:r>
      <w:hyperlink w:history="1" r:id="rIddhrv7kti8o3pvlq9ytkxs">
        <w:r>
          <w:rPr>
            <w:rStyle w:val="Hyperlink"/>
          </w:rPr>
          <w:t xml:space="preserve">https://www.surveymonkey.com/mp/margin-of-error-calculator/</w:t>
        </w:r>
      </w:hyperlink>
      <w:r>
        <w:t xml:space="preserve"> [S6] — useful for checking your own hand calculation, but the formula above is reproduced here so the case does not depend on the link staying live.</w:t>
      </w:r>
    </w:p>
    <w:p>
      <w:pPr>
        <w:pStyle w:val="Heading2"/>
        <w:spacing w:after="120" w:before="240"/>
      </w:pPr>
      <w:r>
        <w:t xml:space="preserve">Appendix F — FDA Regulatory Standard for Study Design</w:t>
      </w:r>
    </w:p>
    <w:p>
      <w:pPr>
        <w:spacing w:after="160"/>
      </w:pPr>
      <w:r>
        <w:t xml:space="preserve">Before Paxovir can be sold to treat diabetic dogs, Bansky must submit a New Animal Drug Application (NADA) to the FDA's Center for Veterinary Medicine. Federal regulation requires “substantial evidence of effectiveness,” established through “adequate and well-controlled studies” (21 CFR § 514.117). The regulation's own stated purpose for those studies is to “distinguish the effect of the new animal drug from other influences, such as spontaneous change in the course of the disease... or biased observation,” and it specifically requires a design that permits “a valid comparison with one or more controls,” with subject assignment that “is random and minimizes bias” [S7].</w:t>
      </w:r>
    </w:p>
    <w:p>
      <w:pPr>
        <w:spacing w:after="160"/>
      </w:pPr>
      <w:r>
        <w:t xml:space="preserve">Separately, FDA CVM has also published guidance (GFI #266, finalized October 2021) describing how the agency will evaluate real-world data — including registry and observational data, such as records drawn from a limited set of partner clinics — when it is submitted to help demonstrate effectiveness [S8]. Real-world data of that kind is not automatically disqualified, but the regulation's own definition of a well-controlled study is built around randomization minimizing bias — which is the real, cited reason Option A carries a regulatory advantage that Option B's dollar cost does not reflect.</w:t>
      </w:r>
    </w:p>
    <w:p>
      <w:pPr>
        <w:pStyle w:val="Heading2"/>
        <w:spacing w:after="120" w:before="240"/>
      </w:pPr>
      <w:r>
        <w:t xml:space="preserve">Appendix G — Modeling Assumptions</w:t>
      </w:r>
    </w:p>
    <w:p>
      <w:pPr>
        <w:spacing w:after="160"/>
      </w:pPr>
      <w:r>
        <w:rPr>
          <w:i/>
          <w:iCs/>
        </w:rPr>
        <w:t xml:space="preserve">These figures are not sourced. They are stated scenario assumptions chosen by the case author, built on the real recruitment-cost literature in Appendix D. A Hero may challenge them in discussion — that is a legitimate move.</w:t>
      </w:r>
    </w:p>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1500"/>
        <w:gridCol w:w="4300"/>
        <w:gridCol w:w="1000"/>
      </w:tblGrid>
      <w:tr>
        <w:trPr>
          <w:tblHeader/>
        </w:trPr>
        <w:tc>
          <w:tcPr>
            <w:tcW w:type="dxa" w:w="700"/>
            <w:shd w:fill="1a3a5c" w:color="auto" w:val="clear"/>
          </w:tcPr>
          <w:p>
            <w:r>
              <w:rPr>
                <w:b/>
                <w:bCs/>
                <w:color w:val="FFFFFF"/>
              </w:rPr>
              <w:t xml:space="preserve">#</w:t>
            </w:r>
          </w:p>
        </w:tc>
        <w:tc>
          <w:tcPr>
            <w:tcW w:type="dxa" w:w="2100"/>
            <w:shd w:fill="1a3a5c" w:color="auto" w:val="clear"/>
          </w:tcPr>
          <w:p>
            <w:r>
              <w:rPr>
                <w:b/>
                <w:bCs/>
                <w:color w:val="FFFFFF"/>
              </w:rPr>
              <w:t xml:space="preserve">Assumption</w:t>
            </w:r>
          </w:p>
        </w:tc>
        <w:tc>
          <w:tcPr>
            <w:tcW w:type="dxa" w:w="1500"/>
            <w:shd w:fill="1a3a5c" w:color="auto" w:val="clear"/>
          </w:tcPr>
          <w:p>
            <w:r>
              <w:rPr>
                <w:b/>
                <w:bCs/>
                <w:color w:val="FFFFFF"/>
              </w:rPr>
              <w:t xml:space="preserve">Value used</w:t>
            </w:r>
          </w:p>
        </w:tc>
        <w:tc>
          <w:tcPr>
            <w:tcW w:type="dxa" w:w="4300"/>
            <w:shd w:fill="1a3a5c" w:color="auto" w:val="clear"/>
          </w:tcPr>
          <w:p>
            <w:r>
              <w:rPr>
                <w:b/>
                <w:bCs/>
                <w:color w:val="FFFFFF"/>
              </w:rPr>
              <w:t xml:space="preserve">Basis</w:t>
            </w:r>
          </w:p>
        </w:tc>
        <w:tc>
          <w:tcPr>
            <w:tcW w:type="dxa" w:w="1000"/>
            <w:shd w:fill="1a3a5c" w:color="auto" w:val="clear"/>
          </w:tcPr>
          <w:p>
            <w:r>
              <w:rPr>
                <w:b/>
                <w:bCs/>
                <w:color w:val="FFFFFF"/>
              </w:rPr>
              <w:t xml:space="preserve">Sensitivity</w:t>
            </w:r>
          </w:p>
        </w:tc>
      </w:tr>
      <w:tr>
        <w:tc>
          <w:tcPr>
            <w:tcW w:type="dxa" w:w="700"/>
          </w:tcPr>
          <w:p>
            <w:r>
              <w:t xml:space="preserve">MA1</w:t>
            </w:r>
          </w:p>
        </w:tc>
        <w:tc>
          <w:tcPr>
            <w:tcW w:type="dxa" w:w="2100"/>
          </w:tcPr>
          <w:p>
            <w:r>
              <w:t xml:space="preserve">Recruitment cost per subject, Option A (simple random sample, general population, many new unrelated sites/owners contacted nationwide)</w:t>
            </w:r>
          </w:p>
        </w:tc>
        <w:tc>
          <w:tcPr>
            <w:tcW w:type="dxa" w:w="1500"/>
          </w:tcPr>
          <w:p>
            <w:r>
              <w:t xml:space="preserve">$250.00/subject</w:t>
            </w:r>
          </w:p>
        </w:tc>
        <w:tc>
          <w:tcPr>
            <w:tcW w:type="dxa" w:w="4300"/>
          </w:tcPr>
          <w:p>
            <w:r>
              <w:t xml:space="preserve">Set near, but below, the real $277 mean per-patient recruitment cost across sites found in Appendix D's cited multi-site study [S5] — reflecting the effort of contacting geographically dispersed owners with no prior relationship to Bansky. This is an ALL-IN per-enrolled subject figure: it already stands in for whatever screening/outreach effort it takes to locate and enroll one subject, the same way the cited $277 human-trial benchmark implicitly includes each site's own patient-finding effort. It is not stacked on top of Appendix B's 1-in-300 diabetic-dog prevalence figure as an additional per-contact multiplier — that 300:1 ratio explains why Option A is harder and slower than B (motivating a higher per-subject figure than MA2's), not a second cost layer to multiply through this estimate.</w:t>
            </w:r>
          </w:p>
        </w:tc>
        <w:tc>
          <w:tcPr>
            <w:tcW w:type="dxa" w:w="1000"/>
          </w:tcPr>
          <w:p>
            <w:r>
              <w:t xml:space="preserve">The answer is sensitive to this value.</w:t>
            </w:r>
          </w:p>
        </w:tc>
      </w:tr>
      <w:tr>
        <w:tc>
          <w:tcPr>
            <w:tcW w:type="dxa" w:w="700"/>
            <w:shd w:fill="F7F9FB" w:color="auto" w:val="clear"/>
          </w:tcPr>
          <w:p>
            <w:r>
              <w:t xml:space="preserve">MA2</w:t>
            </w:r>
          </w:p>
        </w:tc>
        <w:tc>
          <w:tcPr>
            <w:tcW w:type="dxa" w:w="2100"/>
            <w:shd w:fill="F7F9FB" w:color="auto" w:val="clear"/>
          </w:tcPr>
          <w:p>
            <w:r>
              <w:t xml:space="preserve">Recruitment cost per subject, Option B (convenience sample, existing partner clinics)</w:t>
            </w:r>
          </w:p>
        </w:tc>
        <w:tc>
          <w:tcPr>
            <w:tcW w:type="dxa" w:w="1500"/>
            <w:shd w:fill="F7F9FB" w:color="auto" w:val="clear"/>
          </w:tcPr>
          <w:p>
            <w:r>
              <w:t xml:space="preserve">$90.00/subject</w:t>
            </w:r>
          </w:p>
        </w:tc>
        <w:tc>
          <w:tcPr>
            <w:tcW w:type="dxa" w:w="4300"/>
            <w:shd w:fill="F7F9FB" w:color="auto" w:val="clear"/>
          </w:tcPr>
          <w:p>
            <w:r>
              <w:t xml:space="preserve">Set well below MA1 — reflecting that partner clinics already have a relationship with Bansky and an existing list of diagnosed patients, avoiding the general-population screening burden Appendix B describes for Option A entirely.</w:t>
            </w:r>
          </w:p>
        </w:tc>
        <w:tc>
          <w:tcPr>
            <w:tcW w:type="dxa" w:w="1000"/>
            <w:shd w:fill="F7F9FB" w:color="auto" w:val="clear"/>
          </w:tcPr>
          <w:p>
            <w:r>
              <w:t xml:space="preserve">The answer is sensitive to this value.</w:t>
            </w:r>
          </w:p>
        </w:tc>
      </w:tr>
      <w:tr>
        <w:tc>
          <w:tcPr>
            <w:tcW w:type="dxa" w:w="700"/>
          </w:tcPr>
          <w:p>
            <w:r>
              <w:t xml:space="preserve">MA3</w:t>
            </w:r>
          </w:p>
        </w:tc>
        <w:tc>
          <w:tcPr>
            <w:tcW w:type="dxa" w:w="2100"/>
          </w:tcPr>
          <w:p>
            <w:r>
              <w:t xml:space="preserve">Assumed sample proportion p for the margin-of-error formula</w:t>
            </w:r>
          </w:p>
        </w:tc>
        <w:tc>
          <w:tcPr>
            <w:tcW w:type="dxa" w:w="1500"/>
          </w:tcPr>
          <w:p>
            <w:r>
              <w:t xml:space="preserve">0.5</w:t>
            </w:r>
          </w:p>
        </w:tc>
        <w:tc>
          <w:tcPr>
            <w:tcW w:type="dxa" w:w="4300"/>
          </w:tcPr>
          <w:p>
            <w:r>
              <w:t xml:space="preserve">The standard, most conservative choice when no prior estimate of the true proportion exists (SEE APPENDIX E) [S6].</w:t>
            </w:r>
          </w:p>
        </w:tc>
        <w:tc>
          <w:tcPr>
            <w:tcW w:type="dxa" w:w="1000"/>
          </w:tcPr>
          <w:p>
            <w:r>
              <w:t xml:space="preserve">Using the conservative value only ever makes the reported margin of error larger (more cautious), never smaller — it does not favor either option.</w:t>
            </w:r>
          </w:p>
        </w:tc>
      </w:tr>
      <w:tr>
        <w:tc>
          <w:tcPr>
            <w:tcW w:type="dxa" w:w="700"/>
            <w:shd w:fill="F7F9FB" w:color="auto" w:val="clear"/>
          </w:tcPr>
          <w:p>
            <w:r>
              <w:t xml:space="preserve">MA4</w:t>
            </w:r>
          </w:p>
        </w:tc>
        <w:tc>
          <w:tcPr>
            <w:tcW w:type="dxa" w:w="2100"/>
            <w:shd w:fill="F7F9FB" w:color="auto" w:val="clear"/>
          </w:tcPr>
          <w:p>
            <w:r>
              <w:t xml:space="preserve">Whether population-size finite-correction is needed in the margin-of-error formula</w:t>
            </w:r>
          </w:p>
        </w:tc>
        <w:tc>
          <w:tcPr>
            <w:tcW w:type="dxa" w:w="1500"/>
            <w:shd w:fill="F7F9FB" w:color="auto" w:val="clear"/>
          </w:tcPr>
          <w:p>
            <w:r>
              <w:t xml:space="preserve">Not applied</w:t>
            </w:r>
          </w:p>
        </w:tc>
        <w:tc>
          <w:tcPr>
            <w:tcW w:type="dxa" w:w="4300"/>
            <w:shd w:fill="F7F9FB" w:color="auto" w:val="clear"/>
          </w:tcPr>
          <w:p>
            <w:r>
              <w:t xml:space="preserve">The U.S. dog population (~89.7 million, Appendix B [S2]) is enormous relative to any affordable sample size in this case, so the standard large-population approximation is used without a finite-population correction factor.</w:t>
            </w:r>
          </w:p>
        </w:tc>
        <w:tc>
          <w:tcPr>
            <w:tcW w:type="dxa" w:w="1000"/>
            <w:shd w:fill="F7F9FB" w:color="auto" w:val="clear"/>
          </w:tcPr>
          <w:p>
            <w:r>
              <w:t xml:space="preserve">Negligible — the correction factor would change the result by a fraction of a percent at these population/sample sizes.</w:t>
            </w:r>
          </w:p>
        </w:tc>
      </w:tr>
    </w:tbl>
    <w:p>
      <w:pPr>
        <w:pStyle w:val="Heading2"/>
        <w:spacing w:after="120" w:before="240"/>
      </w:pPr>
      <w:r>
        <w:t xml:space="preserve">Appendix H — Sources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2200"/>
        <w:gridCol w:w="2400"/>
        <w:gridCol w:w="1100"/>
        <w:gridCol w:w="700"/>
      </w:tblGrid>
      <w:tr>
        <w:trPr>
          <w:tblHeader/>
        </w:trPr>
        <w:tc>
          <w:tcPr>
            <w:tcW w:type="dxa" w:w="500"/>
            <w:shd w:fill="1a3a5c" w:color="auto" w:val="clear"/>
          </w:tcPr>
          <w:p>
            <w:r>
              <w:rPr>
                <w:b/>
                <w:bCs/>
                <w:color w:val="FFFFFF"/>
              </w:rPr>
              <w:t xml:space="preserve">#</w:t>
            </w:r>
          </w:p>
        </w:tc>
        <w:tc>
          <w:tcPr>
            <w:tcW w:type="dxa" w:w="1700"/>
            <w:shd w:fill="1a3a5c" w:color="auto" w:val="clear"/>
          </w:tcPr>
          <w:p>
            <w:r>
              <w:rPr>
                <w:b/>
                <w:bCs/>
                <w:color w:val="FFFFFF"/>
              </w:rPr>
              <w:t xml:space="preserve">Claim</w:t>
            </w:r>
          </w:p>
        </w:tc>
        <w:tc>
          <w:tcPr>
            <w:tcW w:type="dxa" w:w="2200"/>
            <w:shd w:fill="1a3a5c" w:color="auto" w:val="clear"/>
          </w:tcPr>
          <w:p>
            <w:r>
              <w:rPr>
                <w:b/>
                <w:bCs/>
                <w:color w:val="FFFFFF"/>
              </w:rPr>
              <w:t xml:space="preserve">Value</w:t>
            </w:r>
          </w:p>
        </w:tc>
        <w:tc>
          <w:tcPr>
            <w:tcW w:type="dxa" w:w="2400"/>
            <w:shd w:fill="1a3a5c" w:color="auto" w:val="clear"/>
          </w:tcPr>
          <w:p>
            <w:r>
              <w:rPr>
                <w:b/>
                <w:bCs/>
                <w:color w:val="FFFFFF"/>
              </w:rPr>
              <w:t xml:space="preserve">Source</w:t>
            </w:r>
          </w:p>
        </w:tc>
        <w:tc>
          <w:tcPr>
            <w:tcW w:type="dxa" w:w="1100"/>
            <w:shd w:fill="1a3a5c" w:color="auto" w:val="clear"/>
          </w:tcPr>
          <w:p>
            <w:r>
              <w:rPr>
                <w:b/>
                <w:bCs/>
                <w:color w:val="FFFFFF"/>
              </w:rPr>
              <w:t xml:space="preserve">Date</w:t>
            </w:r>
          </w:p>
        </w:tc>
        <w:tc>
          <w:tcPr>
            <w:tcW w:type="dxa" w:w="700"/>
            <w:shd w:fill="1a3a5c" w:color="auto" w:val="clear"/>
          </w:tcPr>
          <w:p>
            <w:r>
              <w:rPr>
                <w:b/>
                <w:bCs/>
                <w:color w:val="FFFFFF"/>
              </w:rPr>
              <w:t xml:space="preserve">Confidence</w:t>
            </w:r>
          </w:p>
        </w:tc>
      </w:tr>
      <w:tr>
        <w:tc>
          <w:tcPr>
            <w:tcW w:type="dxa" w:w="500"/>
          </w:tcPr>
          <w:p>
            <w:r>
              <w:t xml:space="preserve">S1</w:t>
            </w:r>
          </w:p>
        </w:tc>
        <w:tc>
          <w:tcPr>
            <w:tcW w:type="dxa" w:w="1700"/>
          </w:tcPr>
          <w:p>
            <w:r>
              <w:t xml:space="preserve">Canine diabetes mellitus prevalence, age of onset, sex risk, at-risk breeds</w:t>
            </w:r>
          </w:p>
        </w:tc>
        <w:tc>
          <w:tcPr>
            <w:tcW w:type="dxa" w:w="2200"/>
          </w:tcPr>
          <w:p>
            <w:r>
              <w:t xml:space="preserve">~1 in 300 dogs; onset 4–14 yrs; unspayed females ~2×; 10 named breeds</w:t>
            </w:r>
          </w:p>
        </w:tc>
        <w:tc>
          <w:tcPr>
            <w:tcW w:type="dxa" w:w="2400"/>
          </w:tcPr>
          <w:p>
            <w:r>
              <w:t xml:space="preserve">Merck Animal Health — Diabetes in Dogs</w:t>
            </w:r>
          </w:p>
        </w:tc>
        <w:tc>
          <w:tcPr>
            <w:tcW w:type="dxa" w:w="1100"/>
          </w:tcPr>
          <w:p>
            <w:r>
              <w:t xml:space="preserve">Accessed 2026-08-20</w:t>
            </w:r>
          </w:p>
        </w:tc>
        <w:tc>
          <w:tcPr>
            <w:tcW w:type="dxa" w:w="700"/>
          </w:tcPr>
          <w:p>
            <w:r>
              <w:t xml:space="preserve">HIGH</w:t>
            </w:r>
          </w:p>
        </w:tc>
      </w:tr>
      <w:tr>
        <w:tc>
          <w:tcPr>
            <w:tcW w:type="dxa" w:w="500"/>
            <w:shd w:fill="F7F9FB" w:color="auto" w:val="clear"/>
          </w:tcPr>
          <w:p>
            <w:r>
              <w:t xml:space="preserve">S2</w:t>
            </w:r>
          </w:p>
        </w:tc>
        <w:tc>
          <w:tcPr>
            <w:tcW w:type="dxa" w:w="1700"/>
            <w:shd w:fill="F7F9FB" w:color="auto" w:val="clear"/>
          </w:tcPr>
          <w:p>
            <w:r>
              <w:t xml:space="preserve">Total pet dogs owned in the U.S.</w:t>
            </w:r>
          </w:p>
        </w:tc>
        <w:tc>
          <w:tcPr>
            <w:tcW w:type="dxa" w:w="2200"/>
            <w:shd w:fill="F7F9FB" w:color="auto" w:val="clear"/>
          </w:tcPr>
          <w:p>
            <w:r>
              <w:t xml:space="preserve">~89.7 million (2024)</w:t>
            </w:r>
          </w:p>
        </w:tc>
        <w:tc>
          <w:tcPr>
            <w:tcW w:type="dxa" w:w="2400"/>
            <w:shd w:fill="F7F9FB" w:color="auto" w:val="clear"/>
          </w:tcPr>
          <w:p>
            <w:r>
              <w:t xml:space="preserve">AVMA — U.S. Pet Ownership Statistics (2024 AVMA Pet Ownership and Demographics Sourcebook)</w:t>
            </w:r>
          </w:p>
        </w:tc>
        <w:tc>
          <w:tcPr>
            <w:tcW w:type="dxa" w:w="1100"/>
            <w:shd w:fill="F7F9FB" w:color="auto" w:val="clear"/>
          </w:tcPr>
          <w:p>
            <w:r>
              <w:t xml:space="preserve">Accessed 2026-08-20</w:t>
            </w:r>
          </w:p>
        </w:tc>
        <w:tc>
          <w:tcPr>
            <w:tcW w:type="dxa" w:w="700"/>
            <w:shd w:fill="F7F9FB" w:color="auto" w:val="clear"/>
          </w:tcPr>
          <w:p>
            <w:r>
              <w:t xml:space="preserve">MEDIUM</w:t>
            </w:r>
          </w:p>
        </w:tc>
      </w:tr>
      <w:tr>
        <w:tc>
          <w:tcPr>
            <w:tcW w:type="dxa" w:w="500"/>
          </w:tcPr>
          <w:p>
            <w:r>
              <w:t xml:space="preserve">S3</w:t>
            </w:r>
          </w:p>
        </w:tc>
        <w:tc>
          <w:tcPr>
            <w:tcW w:type="dxa" w:w="1700"/>
          </w:tcPr>
          <w:p>
            <w:r>
              <w:t xml:space="preserve">Sampling methods and best practices</w:t>
            </w:r>
          </w:p>
        </w:tc>
        <w:tc>
          <w:tcPr>
            <w:tcW w:type="dxa" w:w="2200"/>
          </w:tcPr>
          <w:p>
            <w:r>
              <w:t xml:space="preserve">Probability/non-probability method definitions</w:t>
            </w:r>
          </w:p>
        </w:tc>
        <w:tc>
          <w:tcPr>
            <w:tcW w:type="dxa" w:w="2400"/>
          </w:tcPr>
          <w:p>
            <w:r>
              <w:t xml:space="preserve">Qualtrics — “Your ultimate guide to sampling methods and best practices”</w:t>
            </w:r>
          </w:p>
        </w:tc>
        <w:tc>
          <w:tcPr>
            <w:tcW w:type="dxa" w:w="1100"/>
          </w:tcPr>
          <w:p>
            <w:r>
              <w:t xml:space="preserve">Accessed 2026-08-20</w:t>
            </w:r>
          </w:p>
        </w:tc>
        <w:tc>
          <w:tcPr>
            <w:tcW w:type="dxa" w:w="700"/>
          </w:tcPr>
          <w:p>
            <w:r>
              <w:t xml:space="preserve">MEDIUM</w:t>
            </w:r>
          </w:p>
        </w:tc>
      </w:tr>
      <w:tr>
        <w:tc>
          <w:tcPr>
            <w:tcW w:type="dxa" w:w="500"/>
            <w:shd w:fill="F7F9FB" w:color="auto" w:val="clear"/>
          </w:tcPr>
          <w:p>
            <w:r>
              <w:t xml:space="preserve">S4</w:t>
            </w:r>
          </w:p>
        </w:tc>
        <w:tc>
          <w:tcPr>
            <w:tcW w:type="dxa" w:w="1700"/>
            <w:shd w:fill="F7F9FB" w:color="auto" w:val="clear"/>
          </w:tcPr>
          <w:p>
            <w:r>
              <w:t xml:space="preserve">Sampling methods for selecting research subjects</w:t>
            </w:r>
          </w:p>
        </w:tc>
        <w:tc>
          <w:tcPr>
            <w:tcW w:type="dxa" w:w="2200"/>
            <w:shd w:fill="F7F9FB" w:color="auto" w:val="clear"/>
          </w:tcPr>
          <w:p>
            <w:r>
              <w:t xml:space="preserve">Probability/non-probability method definitions</w:t>
            </w:r>
          </w:p>
        </w:tc>
        <w:tc>
          <w:tcPr>
            <w:tcW w:type="dxa" w:w="2400"/>
            <w:shd w:fill="F7F9FB" w:color="auto" w:val="clear"/>
          </w:tcPr>
          <w:p>
            <w:r>
              <w:t xml:space="preserve">Panacek, E.A. &amp; Bagley Thompson, C. — “Sampling methods: Selecting your subjects,” Air Medical Journal, Vol 26 Issue 2 (2007), pp 75-78</w:t>
            </w:r>
          </w:p>
        </w:tc>
        <w:tc>
          <w:tcPr>
            <w:tcW w:type="dxa" w:w="1100"/>
            <w:shd w:fill="F7F9FB" w:color="auto" w:val="clear"/>
          </w:tcPr>
          <w:p>
            <w:r>
              <w:t xml:space="preserve">Accessed 2026-08-20</w:t>
            </w:r>
          </w:p>
        </w:tc>
        <w:tc>
          <w:tcPr>
            <w:tcW w:type="dxa" w:w="700"/>
            <w:shd w:fill="F7F9FB" w:color="auto" w:val="clear"/>
          </w:tcPr>
          <w:p>
            <w:r>
              <w:t xml:space="preserve">HIGH</w:t>
            </w:r>
          </w:p>
        </w:tc>
      </w:tr>
      <w:tr>
        <w:tc>
          <w:tcPr>
            <w:tcW w:type="dxa" w:w="500"/>
          </w:tcPr>
          <w:p>
            <w:r>
              <w:t xml:space="preserve">S5</w:t>
            </w:r>
          </w:p>
        </w:tc>
        <w:tc>
          <w:tcPr>
            <w:tcW w:type="dxa" w:w="1700"/>
          </w:tcPr>
          <w:p>
            <w:r>
              <w:t xml:space="preserve">Real-world clinical trial patient-recruitment cost benchmark</w:t>
            </w:r>
          </w:p>
        </w:tc>
        <w:tc>
          <w:tcPr>
            <w:tcW w:type="dxa" w:w="2200"/>
          </w:tcPr>
          <w:p>
            <w:r>
              <w:t xml:space="preserve">Mean $277 per patient randomized (range $74–$797 across sites in the same multi-site study)</w:t>
            </w:r>
          </w:p>
        </w:tc>
        <w:tc>
          <w:tcPr>
            <w:tcW w:type="dxa" w:w="2400"/>
          </w:tcPr>
          <w:p>
            <w:r>
              <w:t xml:space="preserve">Cost analysis of a multi-site clinical trial, PMC (PMC9985191)</w:t>
            </w:r>
          </w:p>
        </w:tc>
        <w:tc>
          <w:tcPr>
            <w:tcW w:type="dxa" w:w="1100"/>
          </w:tcPr>
          <w:p>
            <w:r>
              <w:t xml:space="preserve">Accessed 2026-08-20</w:t>
            </w:r>
          </w:p>
        </w:tc>
        <w:tc>
          <w:tcPr>
            <w:tcW w:type="dxa" w:w="700"/>
          </w:tcPr>
          <w:p>
            <w:r>
              <w:t xml:space="preserve">HIGH</w:t>
            </w:r>
          </w:p>
        </w:tc>
      </w:tr>
      <w:tr>
        <w:tc>
          <w:tcPr>
            <w:tcW w:type="dxa" w:w="500"/>
            <w:shd w:fill="F7F9FB" w:color="auto" w:val="clear"/>
          </w:tcPr>
          <w:p>
            <w:r>
              <w:t xml:space="preserve">S6</w:t>
            </w:r>
          </w:p>
        </w:tc>
        <w:tc>
          <w:tcPr>
            <w:tcW w:type="dxa" w:w="1700"/>
            <w:shd w:fill="F7F9FB" w:color="auto" w:val="clear"/>
          </w:tcPr>
          <w:p>
            <w:r>
              <w:t xml:space="preserve">Margin of error formula and 95% confidence z-score</w:t>
            </w:r>
          </w:p>
        </w:tc>
        <w:tc>
          <w:tcPr>
            <w:tcW w:type="dxa" w:w="2200"/>
            <w:shd w:fill="F7F9FB" w:color="auto" w:val="clear"/>
          </w:tcPr>
          <w:p>
            <w:r>
              <w:t xml:space="preserve">z = 1.96 at 95% confidence</w:t>
            </w:r>
          </w:p>
        </w:tc>
        <w:tc>
          <w:tcPr>
            <w:tcW w:type="dxa" w:w="2400"/>
            <w:shd w:fill="F7F9FB" w:color="auto" w:val="clear"/>
          </w:tcPr>
          <w:p>
            <w:r>
              <w:t xml:space="preserve">SurveyMonkey — Margin of Error Calculator</w:t>
            </w:r>
          </w:p>
        </w:tc>
        <w:tc>
          <w:tcPr>
            <w:tcW w:type="dxa" w:w="1100"/>
            <w:shd w:fill="F7F9FB" w:color="auto" w:val="clear"/>
          </w:tcPr>
          <w:p>
            <w:r>
              <w:t xml:space="preserve">Accessed 2026-08-20</w:t>
            </w:r>
          </w:p>
        </w:tc>
        <w:tc>
          <w:tcPr>
            <w:tcW w:type="dxa" w:w="700"/>
            <w:shd w:fill="F7F9FB" w:color="auto" w:val="clear"/>
          </w:tcPr>
          <w:p>
            <w:r>
              <w:t xml:space="preserve">HIGH</w:t>
            </w:r>
          </w:p>
        </w:tc>
      </w:tr>
      <w:tr>
        <w:tc>
          <w:tcPr>
            <w:tcW w:type="dxa" w:w="500"/>
          </w:tcPr>
          <w:p>
            <w:r>
              <w:t xml:space="preserve">S7</w:t>
            </w:r>
          </w:p>
        </w:tc>
        <w:tc>
          <w:tcPr>
            <w:tcW w:type="dxa" w:w="1700"/>
          </w:tcPr>
          <w:p>
            <w:r>
              <w:t xml:space="preserve">Legal definition of “adequate and well-controlled” new animal drug effectiveness studies</w:t>
            </w:r>
          </w:p>
        </w:tc>
        <w:tc>
          <w:tcPr>
            <w:tcW w:type="dxa" w:w="2200"/>
          </w:tcPr>
          <w:p>
            <w:r>
              <w:t xml:space="preserve">Randomized assignment required to minimize bias</w:t>
            </w:r>
          </w:p>
        </w:tc>
        <w:tc>
          <w:tcPr>
            <w:tcW w:type="dxa" w:w="2400"/>
          </w:tcPr>
          <w:p>
            <w:r>
              <w:t xml:space="preserve">21 CFR § 514.117, via Cornell Legal Information Institute</w:t>
            </w:r>
          </w:p>
        </w:tc>
        <w:tc>
          <w:tcPr>
            <w:tcW w:type="dxa" w:w="1100"/>
          </w:tcPr>
          <w:p>
            <w:r>
              <w:t xml:space="preserve">Accessed 2026-08-20</w:t>
            </w:r>
          </w:p>
        </w:tc>
        <w:tc>
          <w:tcPr>
            <w:tcW w:type="dxa" w:w="700"/>
          </w:tcPr>
          <w:p>
            <w:r>
              <w:t xml:space="preserve">HIGH</w:t>
            </w:r>
          </w:p>
        </w:tc>
      </w:tr>
      <w:tr>
        <w:tc>
          <w:tcPr>
            <w:tcW w:type="dxa" w:w="500"/>
            <w:shd w:fill="F7F9FB" w:color="auto" w:val="clear"/>
          </w:tcPr>
          <w:p>
            <w:r>
              <w:t xml:space="preserve">S8</w:t>
            </w:r>
          </w:p>
        </w:tc>
        <w:tc>
          <w:tcPr>
            <w:tcW w:type="dxa" w:w="1700"/>
            <w:shd w:fill="F7F9FB" w:color="auto" w:val="clear"/>
          </w:tcPr>
          <w:p>
            <w:r>
              <w:t xml:space="preserve">FDA CVM guidance on real-world data/evidence in effectiveness submissions</w:t>
            </w:r>
          </w:p>
        </w:tc>
        <w:tc>
          <w:tcPr>
            <w:tcW w:type="dxa" w:w="2200"/>
            <w:shd w:fill="F7F9FB" w:color="auto" w:val="clear"/>
          </w:tcPr>
          <w:p>
            <w:r>
              <w:t xml:space="preserve">GFI #266, finalized Oct. 2021</w:t>
            </w:r>
          </w:p>
        </w:tc>
        <w:tc>
          <w:tcPr>
            <w:tcW w:type="dxa" w:w="2400"/>
            <w:shd w:fill="F7F9FB" w:color="auto" w:val="clear"/>
          </w:tcPr>
          <w:p>
            <w:r>
              <w:t xml:space="preserve">FDA — CVM GFI #266</w:t>
            </w:r>
          </w:p>
        </w:tc>
        <w:tc>
          <w:tcPr>
            <w:tcW w:type="dxa" w:w="1100"/>
            <w:shd w:fill="F7F9FB" w:color="auto" w:val="clear"/>
          </w:tcPr>
          <w:p>
            <w:r>
              <w:t xml:space="preserve">Accessed 2026-08-20</w:t>
            </w:r>
          </w:p>
        </w:tc>
        <w:tc>
          <w:tcPr>
            <w:tcW w:type="dxa" w:w="700"/>
            <w:shd w:fill="F7F9FB" w:color="auto" w:val="clear"/>
          </w:tcPr>
          <w:p>
            <w:r>
              <w:t xml:space="preserve">HIGH</w:t>
            </w:r>
          </w:p>
        </w:tc>
      </w:tr>
    </w:tbl>
    <w:p>
      <w:pPr>
        <w:spacing w:after="100"/>
      </w:pPr>
    </w:p>
    <w:p>
      <w:pPr>
        <w:spacing w:after="160"/>
      </w:pPr>
      <w:r>
        <w:t xml:space="preserve">All figures in this case that are not a direct citation above are disclosed Modeling Assumptions (SEE APPENDIX G).</w:t>
      </w:r>
    </w:p>
    <w:p>
      <w:pPr>
        <w:pStyle w:val="Heading2"/>
        <w:spacing w:after="120" w:before="240"/>
      </w:pPr>
      <w:r>
        <w:t xml:space="preserve">Appendix I — “How To…” Math Questions To Research</w:t>
      </w:r>
    </w:p>
    <w:p>
      <w:pPr>
        <w:spacing w:after="160"/>
      </w:pPr>
      <w:r>
        <w:rPr>
          <w:b/>
          <w:bCs/>
        </w:rPr>
        <w:t xml:space="preserve">Vocabulary terms</w:t>
      </w:r>
    </w:p>
    <w:p>
      <w:pPr>
        <w:pStyle w:val="ListParagraph"/>
        <w:numPr>
          <w:ilvl w:val="0"/>
          <w:numId w:val="2"/>
        </w:numPr>
        <w:spacing w:after="80"/>
      </w:pPr>
      <w:r>
        <w:t xml:space="preserve">Sample</w:t>
      </w:r>
    </w:p>
    <w:p>
      <w:pPr>
        <w:pStyle w:val="ListParagraph"/>
        <w:numPr>
          <w:ilvl w:val="0"/>
          <w:numId w:val="2"/>
        </w:numPr>
        <w:spacing w:after="80"/>
      </w:pPr>
      <w:r>
        <w:t xml:space="preserve">Population</w:t>
      </w:r>
    </w:p>
    <w:p>
      <w:pPr>
        <w:pStyle w:val="ListParagraph"/>
        <w:numPr>
          <w:ilvl w:val="0"/>
          <w:numId w:val="2"/>
        </w:numPr>
        <w:spacing w:after="80"/>
      </w:pPr>
      <w:r>
        <w:t xml:space="preserve">Sample Size</w:t>
      </w:r>
    </w:p>
    <w:p>
      <w:pPr>
        <w:pStyle w:val="ListParagraph"/>
        <w:numPr>
          <w:ilvl w:val="0"/>
          <w:numId w:val="2"/>
        </w:numPr>
        <w:spacing w:after="80"/>
      </w:pPr>
      <w:r>
        <w:t xml:space="preserve">Simple Random Sampling</w:t>
      </w:r>
    </w:p>
    <w:p>
      <w:pPr>
        <w:pStyle w:val="ListParagraph"/>
        <w:numPr>
          <w:ilvl w:val="0"/>
          <w:numId w:val="2"/>
        </w:numPr>
        <w:spacing w:after="80"/>
      </w:pPr>
      <w:r>
        <w:t xml:space="preserve">Stratified Sampling</w:t>
      </w:r>
    </w:p>
    <w:p>
      <w:pPr>
        <w:pStyle w:val="ListParagraph"/>
        <w:numPr>
          <w:ilvl w:val="0"/>
          <w:numId w:val="2"/>
        </w:numPr>
        <w:spacing w:after="80"/>
      </w:pPr>
      <w:r>
        <w:t xml:space="preserve">Systematic Sampling</w:t>
      </w:r>
    </w:p>
    <w:p>
      <w:pPr>
        <w:pStyle w:val="ListParagraph"/>
        <w:numPr>
          <w:ilvl w:val="0"/>
          <w:numId w:val="2"/>
        </w:numPr>
        <w:spacing w:after="80"/>
      </w:pPr>
      <w:r>
        <w:t xml:space="preserve">Cluster Sampling</w:t>
      </w:r>
    </w:p>
    <w:p>
      <w:pPr>
        <w:pStyle w:val="ListParagraph"/>
        <w:numPr>
          <w:ilvl w:val="0"/>
          <w:numId w:val="2"/>
        </w:numPr>
        <w:spacing w:after="80"/>
      </w:pPr>
      <w:r>
        <w:t xml:space="preserve">Convenience Sampling</w:t>
      </w:r>
    </w:p>
    <w:p>
      <w:pPr>
        <w:pStyle w:val="ListParagraph"/>
        <w:numPr>
          <w:ilvl w:val="0"/>
          <w:numId w:val="2"/>
        </w:numPr>
        <w:spacing w:after="80"/>
      </w:pPr>
      <w:r>
        <w:t xml:space="preserve">Probability</w:t>
      </w:r>
    </w:p>
    <w:p>
      <w:pPr>
        <w:pStyle w:val="ListParagraph"/>
        <w:numPr>
          <w:ilvl w:val="0"/>
          <w:numId w:val="2"/>
        </w:numPr>
        <w:spacing w:after="80"/>
      </w:pPr>
      <w:r>
        <w:t xml:space="preserve">Random</w:t>
      </w:r>
    </w:p>
    <w:p>
      <w:pPr>
        <w:pStyle w:val="ListParagraph"/>
        <w:numPr>
          <w:ilvl w:val="0"/>
          <w:numId w:val="2"/>
        </w:numPr>
        <w:spacing w:after="80"/>
      </w:pPr>
      <w:r>
        <w:t xml:space="preserve">Bar Graph</w:t>
      </w:r>
    </w:p>
    <w:p>
      <w:pPr>
        <w:pStyle w:val="ListParagraph"/>
        <w:numPr>
          <w:ilvl w:val="0"/>
          <w:numId w:val="2"/>
        </w:numPr>
        <w:spacing w:after="80"/>
      </w:pPr>
      <w:r>
        <w:t xml:space="preserve">Currency</w:t>
      </w:r>
    </w:p>
    <w:p>
      <w:pPr>
        <w:pStyle w:val="ListParagraph"/>
        <w:numPr>
          <w:ilvl w:val="0"/>
          <w:numId w:val="2"/>
        </w:numPr>
        <w:spacing w:after="80"/>
      </w:pPr>
      <w:r>
        <w:t xml:space="preserve">Multiplication</w:t>
      </w:r>
    </w:p>
    <w:p>
      <w:pPr>
        <w:pStyle w:val="ListParagraph"/>
        <w:numPr>
          <w:ilvl w:val="0"/>
          <w:numId w:val="2"/>
        </w:numPr>
        <w:spacing w:after="80"/>
      </w:pPr>
      <w:r>
        <w:t xml:space="preserve">Division</w:t>
      </w:r>
    </w:p>
    <w:p>
      <w:pPr>
        <w:pStyle w:val="ListParagraph"/>
        <w:numPr>
          <w:ilvl w:val="0"/>
          <w:numId w:val="2"/>
        </w:numPr>
        <w:spacing w:after="80"/>
      </w:pPr>
      <w:r>
        <w:t xml:space="preserve">Addition</w:t>
      </w:r>
    </w:p>
    <w:p>
      <w:pPr>
        <w:pStyle w:val="ListParagraph"/>
        <w:numPr>
          <w:ilvl w:val="0"/>
          <w:numId w:val="2"/>
        </w:numPr>
        <w:spacing w:after="80"/>
      </w:pPr>
      <w:r>
        <w:t xml:space="preserve">Subtraction</w:t>
      </w:r>
    </w:p>
    <w:p>
      <w:pPr>
        <w:pStyle w:val="ListParagraph"/>
        <w:numPr>
          <w:ilvl w:val="0"/>
          <w:numId w:val="2"/>
        </w:numPr>
        <w:spacing w:after="80"/>
      </w:pPr>
      <w:r>
        <w:t xml:space="preserve">Percent</w:t>
      </w:r>
    </w:p>
    <w:p>
      <w:pPr>
        <w:spacing w:after="100"/>
      </w:pPr>
    </w:p>
    <w:p>
      <w:pPr>
        <w:spacing w:after="160"/>
      </w:pPr>
      <w:r>
        <w:rPr>
          <w:b/>
          <w:bCs/>
        </w:rPr>
        <w:t xml:space="preserve">“How to…” questions</w:t>
      </w:r>
    </w:p>
    <w:p>
      <w:pPr>
        <w:pStyle w:val="ListParagraph"/>
        <w:numPr>
          <w:ilvl w:val="0"/>
          <w:numId w:val="2"/>
        </w:numPr>
        <w:spacing w:after="80"/>
      </w:pPr>
      <w:r>
        <w:t xml:space="preserve">How to multiply any two numbers</w:t>
      </w:r>
    </w:p>
    <w:p>
      <w:pPr>
        <w:pStyle w:val="ListParagraph"/>
        <w:numPr>
          <w:ilvl w:val="0"/>
          <w:numId w:val="2"/>
        </w:numPr>
        <w:spacing w:after="80"/>
      </w:pPr>
      <w:r>
        <w:t xml:space="preserve">How to divide a multi-digit number by a 2-digit number</w:t>
      </w:r>
    </w:p>
    <w:p>
      <w:pPr>
        <w:pStyle w:val="ListParagraph"/>
        <w:numPr>
          <w:ilvl w:val="0"/>
          <w:numId w:val="2"/>
        </w:numPr>
        <w:spacing w:after="80"/>
      </w:pPr>
      <w:r>
        <w:t xml:space="preserve">How to find the percent of a number</w:t>
      </w:r>
    </w:p>
    <w:p>
      <w:pPr>
        <w:pStyle w:val="ListParagraph"/>
        <w:numPr>
          <w:ilvl w:val="0"/>
          <w:numId w:val="2"/>
        </w:numPr>
        <w:spacing w:after="80"/>
      </w:pPr>
      <w:r>
        <w:t xml:space="preserve">How to convert numbers to percents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hrv7kti8o3pvlq9ytkxs" Type="http://schemas.openxmlformats.org/officeDocument/2006/relationships/hyperlink" Target="https://www.surveymonkey.com/mp/margin-of-error-calculator/"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2026-08-20T22:13:33.461Z</dcterms:created>
  <dcterms:modified xsi:type="dcterms:W3CDTF">2026-08-20T22:13:33.462Z</dcterms:modified>
</cp:coreProperties>
</file>

<file path=docProps/custom.xml><?xml version="1.0" encoding="utf-8"?>
<Properties xmlns="http://schemas.openxmlformats.org/officeDocument/2006/custom-properties" xmlns:vt="http://schemas.openxmlformats.org/officeDocument/2006/docPropsVTypes"/>
</file>