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3a5c"/>
          <w:sz w:val="40"/>
          <w:szCs w:val="40"/>
        </w:rPr>
        <w:t xml:space="preserve">Facilitator Guide: Medical Statistician</w:t>
      </w:r>
    </w:p>
    <w:p>
      <w:pPr>
        <w:spacing w:after="300"/>
      </w:pPr>
      <w:r>
        <w:rPr>
          <w:b/>
          <w:bCs/>
          <w:color w:val="a3312a"/>
          <w:sz w:val="20"/>
          <w:szCs w:val="20"/>
        </w:rPr>
        <w:t xml:space="preserve">FACILITATOR-ONLY — contains the balance arguments, the trap(s), and the twist. Do not distribute to students.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DCF" w:color="auto" w:val="clear"/>
          </w:tcPr>
          <w:p>
            <w:pPr>
              <w:spacing w:after="80"/>
            </w:pPr>
            <w:r>
              <w:rPr>
                <w:b/>
                <w:bCs/>
                <w:color w:val="1a3a5c"/>
              </w:rPr>
              <w:t xml:space="preserve">SPEC §6 Sensitivity Note</w:t>
            </w:r>
          </w:p>
          <w:p>
            <w:pPr>
              <w:spacing w:after="40"/>
            </w:pPr>
            <w:r>
              <w:rPr>
                <w:color w:val="4a3f1e"/>
              </w:rPr>
              <w:t xml:space="preserve">The margin between Options A and B (15.5%, Option A 3.53% MOE vs. Option B 3.06% MOE) is driven entirely by MA1/MA2 — the disclosed recruitment-cost-per-subject assumptions ($250 for A, $90 for B). A +50% flex on recruit_cost_a_usd pushes the margin to 26.3% (breaks the 20% cap); a -50% flex on recruit_cost_b_usd pushes it to 21.3% (also breaks the cap). Both dials are individually disclosed in case.json.sensitivity_disclosure[] as category X (real NOT FOUND, good-faith estimate from real human-trial analogue literature, S5). MA3 (p=0.5) and MA4 (no finite-population correction) do not meaningfully move the result. See sensitivity_model.py for the runnable model.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A note on sensitive content (SPEC §6)</w:t>
      </w:r>
    </w:p>
    <w:p>
      <w:pPr>
        <w:spacing w:after="160"/>
      </w:pPr>
      <w:r>
        <w:t xml:space="preserve">This case involves animal testing, including the disclosed fact that a few pilot-study dogs died. Keep the discussion on the study-design math, not on animal-welfare debate for its own sake — the case's real tension is statistical/regulatory rigor vs. cost and speed, not whether animal drug trials should exist.</w:t>
      </w:r>
    </w:p>
    <w:p>
      <w:pPr>
        <w:pStyle w:val="Heading1"/>
        <w:spacing w:after="120" w:before="240"/>
      </w:pPr>
      <w:r>
        <w:t xml:space="preserve">The two arguments and the margin</w:t>
      </w:r>
    </w:p>
    <w:p>
      <w:pPr>
        <w:spacing w:after="160"/>
      </w:pPr>
      <w:r>
        <w:rPr>
          <w:b/>
          <w:bCs/>
        </w:rPr>
        <w:t xml:space="preserve">Argument A: </w:t>
      </w:r>
      <w:r>
        <w:t xml:space="preserve">Option A (simple random sampling from the general U.S. dog population) is the only method that produces a randomized study meeting the exact legal standard FDA regulation sets for “adequate and well-controlled” — assignment/selection that “is random and minimizes bias” (21 CFR 514.117, Appendix F). It generalizes to the whole population Bansky ultimately wants to sell Paxovir to, not just the breed/clinic mix its own partner network happens to already treat.</w:t>
      </w:r>
    </w:p>
    <w:p>
      <w:pPr>
        <w:spacing w:after="160"/>
      </w:pPr>
      <w:r>
        <w:rPr>
          <w:b/>
          <w:bCs/>
        </w:rPr>
        <w:t xml:space="preserve">Argument B: </w:t>
      </w:r>
      <w:r>
        <w:t xml:space="preserve">Option B (convenience sampling through partner clinics) buys a dramatically lower cost per enrolled subject ($90 vs. $250 in the case's disclosed recruitment-cost assumption, Appendix G) within the shared $493,000 budget, which affords a larger sample (1,027 vs. 770 dogs) and therefore a lower, better margin of error (about 3.06% vs. 3.53% at 95% confidence) on the case's primary graded metric — a real, computed 15.5% advantage, comfortably inside SPEC's 20% balance cap.</w:t>
      </w:r>
    </w:p>
    <w:p>
      <w:pPr>
        <w:spacing w:after="160"/>
      </w:pPr>
      <w:r>
        <w:rPr>
          <w:b/>
          <w:bCs/>
        </w:rPr>
        <w:t xml:space="preserve">Margin basis: </w:t>
      </w:r>
      <w:r>
        <w:t xml:space="preserve">Max affordable N = $493,000 / (recruitment cost/subject + $390 drug cost/subject) for each option, using Appendix G's MA1/MA2 recruitment-cost assumptions; margin of error computed at that N via Appendix E's formula (z=1.96, p=0.5); margin_pct = percent difference between the two options' margin-of-error results. Margin = 15.5%.</w:t>
      </w:r>
    </w:p>
    <w:p>
      <w:pPr>
        <w:pStyle w:val="Heading1"/>
        <w:spacing w:after="120" w:before="240"/>
      </w:pPr>
      <w:r>
        <w:t xml:space="preserve">Five Socratic Questions</w:t>
      </w:r>
    </w:p>
    <w:p>
      <w:pPr>
        <w:spacing w:after="160"/>
      </w:pPr>
      <w:r>
        <w:t xml:space="preserve">Use these across Anchors 2–4 and the Data Deep Dive — each is answerable only with this case's own numbers, not general opinion.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Option B's margin of error (3.06%) is smaller than Option A's (3.53%) — what does margin of error actually measure, and what does it not measure about a sample?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Appendix D shows real recruitment costs ranging from $74 to $797 per patient in the very same study — what would have to be true about Bansky's own partner-clinic relationships for Option B's $90/subject assumption to be too optimistic?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Appendix F quotes the FDA's own legal language: a well-controlled study's assignment “is random and minimizes bias.” If Option B is not random, what exactly is Bansky betting on when it chooses convenience sampling anyway?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Every dog recruited through Option B's partner clinics is already a diagnosed, at-risk-breed dog under a vet's care. How might that make Paxovir look better or worse than it would in the full general population Bansky ultimately wants to sell to?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If Bansky's own recruitment-cost assumption for Option A fell by half, would Option A still cost more per subject than Option B — and why or why not?</w:t>
      </w:r>
    </w:p>
    <w:p>
      <w:pPr>
        <w:pStyle w:val="Heading1"/>
        <w:spacing w:after="120" w:before="240"/>
      </w:pPr>
      <w:r>
        <w:t xml:space="preserve">The Trap(s)</w:t>
      </w:r>
    </w:p>
    <w:p>
      <w:pPr>
        <w:spacing w:after="160"/>
      </w:pPr>
      <w:r>
        <w:rPr>
          <w:b/>
          <w:bCs/>
        </w:rPr>
        <w:t xml:space="preserve">Trap 1 — precision vs. validity. </w:t>
      </w:r>
      <w:r>
        <w:t xml:space="preserve">Most Heroes will compute both options' margins of error, see that Option B's is smaller (more precise), and conclude Option B is simply the better study — full stop, cost problem solved. They will not connect that number back to Appendix F's actual legal language, because Appendix F reads like background flavor text, not something with a number attached. Cold-call on this specifically after the margin-of-error numbers are on the board: “You've just shown B gives a tighter margin of error. Does a tighter margin of error mean the FDA will approve this drug faster?”</w:t>
      </w:r>
    </w:p>
    <w:p>
      <w:pPr>
        <w:spacing w:after="160"/>
      </w:pPr>
      <w:r>
        <w:rPr>
          <w:b/>
          <w:bCs/>
        </w:rPr>
        <w:t xml:space="preserve">Trap 2 — the 300:1 stacking error. </w:t>
      </w:r>
      <w:r>
        <w:t xml:space="preserve">Appendix B states that a pure random draw needs to contact roughly 300 dogs to find one that already has diabetes — the real, cited reason Option A is slower and more expensive than B. A Hero doing D1's sample-size arithmetic may try to apply that 300:1 ratio as a literal multiplier on top of MA1's $250/subject figure, which blows the $493,000 budget by roughly two orders of magnitude and produces a sample size near zero. MA1's $250 is already an all-in per-enrolled-subject figure (see Appendix G's note) — the 300:1 ratio explains why $250 is set higher than MA2's $90, it is not a second cost layer to multiply through. Watch for a Hero who tries to stack both and gets a nonsensical result; redirect them to re-read MA1's basis note before they conclude Option A is unaffordable at any sample size.</w:t>
      </w:r>
    </w:p>
    <w:p>
      <w:pPr>
        <w:pStyle w:val="Heading1"/>
        <w:spacing w:after="120" w:before="240"/>
      </w:pPr>
      <w:r>
        <w:t xml:space="preserve">The Twist</w:t>
      </w:r>
    </w:p>
    <w:p>
      <w:pPr>
        <w:spacing w:after="160"/>
      </w:pPr>
      <w:r>
        <w:t xml:space="preserve">Deliver slowly, with pauses, at roughly the 15-minute mark:</w:t>
      </w:r>
    </w:p>
    <w:p>
      <w:pPr>
        <w:spacing w:after="160"/>
      </w:pPr>
      <w:r>
        <w:rPr>
          <w:i/>
          <w:iCs/>
        </w:rPr>
        <w:t xml:space="preserve">“Everyone arguing for Option A has been treating this as settled: 'non-random data just doesn't count for the FDA.' It's not that settled. In 2021, FDA's Center for Veterinary Medicine finalized real guidance — GFI #266 — that explicitly describes how the agency will evaluate real-world data, including registry and clinic-record data, when it's submitted to help demonstrate a drug works.”</w:t>
      </w:r>
    </w:p>
    <w:p>
      <w:pPr>
        <w:spacing w:after="160"/>
      </w:pPr>
      <w:r>
        <w:t xml:space="preserve">For the record, the two options' computed margins of error are Option A 3.53% and Option B 3.06% at each option's maximum affordable sample size — a 15.5% precision gap on the case's graded primary metric. This does not flip the case to Option B being regulator-approved automatically — GFI #266 describes real-world data as something CVM will evaluate to help demonstrate effectiveness, not a replacement for the “adequate and well-controlled” randomized standard in 21 CFR 514.117 that Appendix F already quoted. What it breaks is the strong-form anti-B argument some Heroes will have built (“B can never work for FDA, so the cost savings don't matter”) — that position is now indefensible as stated. It does not make the reverse position (“so B is just as good”) defensible either: 514.117's own randomization language still stands as the base legal requirement Option A alone actually satisfies. The twist narrows the gap between the two arguments; it does not close it.</w:t>
      </w:r>
    </w:p>
    <w:p>
      <w:pPr>
        <w:spacing w:after="160"/>
      </w:pPr>
      <w:r>
        <w:t xml:space="preserve">Ask: “You now have 60 seconds. Does this change your recommendation — or not?” Then, the follow-up that matters more than the vote: “What just broke in your original model? Were you wrong that regulators only accept random data — or were you just missing that 'weaker evidence' and 'automatically rejected' are two different things?”</w:t>
      </w:r>
    </w:p>
    <w:p>
      <w:pPr>
        <w:spacing w:after="160"/>
      </w:pPr>
      <w:r>
        <w:t xml:space="preserve">Do not hand over a “correct” answer. Reasonable statisticians genuinely disagree about how much weight a regulator's real-world-data pathway should get against the base-case randomization standard — that's the real, transferable tension, not a trick.</w:t>
      </w:r>
    </w:p>
    <w:p>
      <w:pPr>
        <w:pStyle w:val="Heading1"/>
        <w:spacing w:after="120" w:before="240"/>
      </w:pPr>
      <w:r>
        <w:t xml:space="preserve">What a strong defense sounds like</w:t>
      </w:r>
    </w:p>
    <w:p>
      <w:pPr>
        <w:spacing w:after="160"/>
      </w:pPr>
      <w:r>
        <w:t xml:space="preserve">A strong defense of either option names its own tradeoff explicitly rather than pretending the other option has no merit. A strong Option B defense concedes that convenience sampling is not random and that this genuinely weakens the FDA case on paper — but argues the cost/precision advantage is real, GFI #266 gives real-world evidence a real evaluation pathway, and the reasoning is transparent about that bet. A strong Option A defense concedes that random sampling is slower, more expensive, and buys a wider margin of error at the same budget — but argues that meeting the base legal standard outright, rather than hoping a secondary real-world-data pathway helps later, is worth the cost for a flagship product. What separates a strong defense from a weak one is not which option a Hero picks — it's whether they can state the actual number-based cost of their own choice (the 15.5% precision gap, or the regulatory-risk exposure) rather than ignoring it. A Hero who cannot articulate what their position gives up has not actually engaged with the balance test.</w:t>
      </w:r>
    </w:p>
    <w:p>
      <w:pPr>
        <w:pStyle w:val="Heading1"/>
        <w:spacing w:after="120" w:before="240"/>
      </w:pPr>
      <w:r>
        <w:t xml:space="preserve">Skills this case exercises</w:t>
      </w:r>
    </w:p>
    <w:p>
      <w:pPr>
        <w:spacing w:after="160"/>
      </w:pPr>
      <w:r>
        <w:t xml:space="preserve">Sample, population, and sample-size vocabulary; all four probability sampling methods (simple random, stratified, systematic, cluster) and convenience (non-probability) sampling; randomness and probability; currency and multi-step arithmetic (multiplication, division, addition, subtraction); percent (finding the percent of a number, converting numbers to percents); and one required original bar graph. See case.json standards[] (21 ids) and LEARNING_GOALS.md for the full deliverable-to-skill matrix.</w:t>
      </w:r>
    </w:p>
    <w:p>
      <w:pPr>
        <w:pStyle w:val="Heading1"/>
        <w:spacing w:after="120" w:before="240"/>
      </w:pPr>
      <w:r>
        <w:t xml:space="preserve">45-Minute Socratic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a3a5c" w:color="auto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7160"/>
            <w:shd w:fill="1a3a5c" w:color="auto" w:val="clear"/>
          </w:tcPr>
          <w:p>
            <w:r>
              <w:rPr>
                <w:b/>
                <w:bCs/>
                <w:color w:val="FFFFFF"/>
              </w:rPr>
              <w:t xml:space="preserve">Move</w:t>
            </w:r>
          </w:p>
        </w:tc>
      </w:tr>
      <w:tr>
        <w:tc>
          <w:tcPr>
            <w:tcW w:type="dxa" w:w="2200"/>
          </w:tcPr>
          <w:p>
            <w:r>
              <w:t xml:space="preserve">0:00–3:00</w:t>
            </w:r>
          </w:p>
        </w:tc>
        <w:tc>
          <w:tcPr>
            <w:tcW w:type="dxa" w:w="7160"/>
          </w:tcPr>
          <w:p>
            <w:r>
              <w:t xml:space="preserve">Cold-call launch, 30-second commitments, stand/sit vote (Anchor 1) — no explanation</w:t>
            </w:r>
          </w:p>
        </w:tc>
      </w:tr>
      <w:tr>
        <w:tc>
          <w:tcPr>
            <w:tcW w:type="dxa" w:w="2200"/>
            <w:shd w:fill="F7F9FB" w:color="auto" w:val="clear"/>
          </w:tcPr>
          <w:p>
            <w:r>
              <w:t xml:space="preserve">3:00–10:00</w:t>
            </w:r>
          </w:p>
        </w:tc>
        <w:tc>
          <w:tcPr>
            <w:tcW w:type="dxa" w:w="7160"/>
            <w:shd w:fill="F7F9FB" w:color="auto" w:val="clear"/>
          </w:tcPr>
          <w:p>
            <w:r>
              <w:t xml:space="preserve">Position defense: “Convince us why it's better, not just more precise”</w:t>
            </w:r>
          </w:p>
        </w:tc>
      </w:tr>
      <w:tr>
        <w:tc>
          <w:tcPr>
            <w:tcW w:type="dxa" w:w="2200"/>
          </w:tcPr>
          <w:p>
            <w:r>
              <w:t xml:space="preserve">10:00–15:00</w:t>
            </w:r>
          </w:p>
        </w:tc>
        <w:tc>
          <w:tcPr>
            <w:tcW w:type="dxa" w:w="7160"/>
          </w:tcPr>
          <w:p>
            <w:r>
              <w:t xml:space="preserve">Pressure-test the models: “Whose plan breaks first if the recruitment-cost assumption moves?”</w:t>
            </w:r>
          </w:p>
        </w:tc>
      </w:tr>
      <w:tr>
        <w:tc>
          <w:tcPr>
            <w:tcW w:type="dxa" w:w="2200"/>
            <w:shd w:fill="F7F9FB" w:color="auto" w:val="clear"/>
          </w:tcPr>
          <w:p>
            <w:r>
              <w:t xml:space="preserve">15:00</w:t>
            </w:r>
          </w:p>
        </w:tc>
        <w:tc>
          <w:tcPr>
            <w:tcW w:type="dxa" w:w="7160"/>
            <w:shd w:fill="F7F9FB" w:color="auto" w:val="clear"/>
          </w:tcPr>
          <w:p>
            <w:r>
              <w:t xml:space="preserve">DROP THE TWIST — the GFI #266 real-world-data reveal, delivered slowly</w:t>
            </w:r>
          </w:p>
        </w:tc>
      </w:tr>
      <w:tr>
        <w:tc>
          <w:tcPr>
            <w:tcW w:type="dxa" w:w="2200"/>
          </w:tcPr>
          <w:p>
            <w:r>
              <w:t xml:space="preserve">15:00–20:00</w:t>
            </w:r>
          </w:p>
        </w:tc>
        <w:tc>
          <w:tcPr>
            <w:tcW w:type="dxa" w:w="7160"/>
          </w:tcPr>
          <w:p>
            <w:r>
              <w:t xml:space="preserve">Immediate recommit: who reverses? “What just broke?”</w:t>
            </w:r>
          </w:p>
        </w:tc>
      </w:tr>
      <w:tr>
        <w:tc>
          <w:tcPr>
            <w:tcW w:type="dxa" w:w="2200"/>
            <w:shd w:fill="F7F9FB" w:color="auto" w:val="clear"/>
          </w:tcPr>
          <w:p>
            <w:r>
              <w:t xml:space="preserve">20:00–30:00</w:t>
            </w:r>
          </w:p>
        </w:tc>
        <w:tc>
          <w:tcPr>
            <w:tcW w:type="dxa" w:w="7160"/>
            <w:shd w:fill="F7F9FB" w:color="auto" w:val="clear"/>
          </w:tcPr>
          <w:p>
            <w:r>
              <w:t xml:space="preserve">Threaded deep conflict — two named threads: (1) precision (margin of error) vs. validity (randomization) as competing definitions of “good evidence”; (2) cost-effectiveness vs. regulatory risk as competing definitions of “the right business call”</w:t>
            </w:r>
          </w:p>
        </w:tc>
      </w:tr>
      <w:tr>
        <w:tc>
          <w:tcPr>
            <w:tcW w:type="dxa" w:w="2200"/>
          </w:tcPr>
          <w:p>
            <w:r>
              <w:t xml:space="preserve">30:00–45:00</w:t>
            </w:r>
          </w:p>
        </w:tc>
        <w:tc>
          <w:tcPr>
            <w:tcW w:type="dxa" w:w="7160"/>
          </w:tcPr>
          <w:p>
            <w:r>
              <w:t xml:space="preserve">Close, re-vote, reflection, Lessons Learned</w:t>
            </w:r>
          </w:p>
        </w:tc>
      </w:tr>
    </w:tbl>
    <w:p>
      <w:pPr>
        <w:spacing w:after="100"/>
      </w:pPr>
    </w:p>
    <w:p>
      <w:pPr>
        <w:pStyle w:val="Heading1"/>
        <w:spacing w:after="120" w:before="240"/>
      </w:pPr>
      <w:r>
        <w:t xml:space="preserve">Lessons Learned</w:t>
      </w:r>
    </w:p>
    <w:p>
      <w:pPr>
        <w:spacing w:after="160"/>
      </w:pPr>
      <w:r>
        <w:t xml:space="preserve">The original case's own Challenges asked students to report a margin of error but gave no mechanism for connecting that number to anything regulatory — a Hero could compute a perfectly correct margin of error and never realize it doesn't settle the FDA question by itself. This conversion adds that mechanism directly: a smaller margin of error is not the same thing as stronger evidence, because margin of error only measures precision given the sample is unbiased — it says nothing about whether the sample actually is. Option B can be numerically more precise and legally weaker at the same time. That distinction — precision vs. validity — is the core transferable lesson, and it is exactly the distinction real regulators are paid to make.</w:t>
      </w:r>
    </w:p>
    <w:p>
      <w:pPr>
        <w:pStyle w:val="Heading1"/>
        <w:spacing w:after="120" w:before="240"/>
      </w:pPr>
      <w:r>
        <w:t xml:space="preserve">Cohort Bands</w:t>
      </w:r>
    </w:p>
    <w:p>
      <w:pPr>
        <w:spacing w:after="160"/>
      </w:pPr>
      <w:r>
        <w:rPr>
          <w:b/>
          <w:bCs/>
        </w:rPr>
        <w:t xml:space="preserve">Full (12–20): </w:t>
      </w:r>
      <w:r>
        <w:t xml:space="preserve">The Socratic plan and Anchor timings run as written; both statistical and regulatory threads get their own deep-conflict pass.</w:t>
      </w:r>
    </w:p>
    <w:p>
      <w:pPr>
        <w:spacing w:after="160"/>
      </w:pPr>
      <w:r>
        <w:rPr>
          <w:b/>
          <w:bCs/>
        </w:rPr>
        <w:t xml:space="preserve">Compressed (6–11): </w:t>
      </w:r>
      <w:r>
        <w:t xml:space="preserve">Anchors 2–3 combine into one pass; the twist still drops but only one deep-conflict thread (statistics OR regulation, not both) runs; total runtime shortens proportionally.</w:t>
      </w:r>
    </w:p>
    <w:p>
      <w:pPr>
        <w:spacing w:after="160"/>
      </w:pPr>
      <w:r>
        <w:rPr>
          <w:b/>
          <w:bCs/>
        </w:rPr>
        <w:t xml:space="preserve">1:1 / pair (1–2): </w:t>
      </w:r>
      <w:r>
        <w:t xml:space="preserve">No vote to take — Anchor 1 becomes a stated initial position instead of a show of hands; the guide plays devil's advocate directly; the twist still lands but “who reverses” becomes “would you reverse, and why.”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2026-08-20T22:17:08.656Z</dcterms:created>
  <dcterms:modified xsi:type="dcterms:W3CDTF">2026-08-20T22:17:08.661Z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