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Medical Transport</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"Congratulations on the promotion, Josie," Mr. Jones says, reaching across the mahogany desk. Josie Tramble shakes his hand firmly. "I won't let you down, sir. You'll get my best every day." "We expect nothing less," he says. "Your first project is to analyze our healthcare delivery logistics and bring the board a policy recommendation at Wednesday's meeting." "Yes, sir." She turns for the door, already running numbers in her head — fleet miles, fuel receipts, the insurance file she pulled last night. "One more thing, Josie." She stops. "Here at Inland, time is money. We do it right. But we do it fast." "Yes, sir."</w:t>
      </w:r>
    </w:p>
    <w:p>
      <w:r>
        <w:t xml:space="preserve">Back at her desk, the healthcare logistics binder is still open to the page she marked with a sticky note: five drivers, five Ford Focuses, and a courier contract that pays by the mile and the minute. Beside it sits a printout from the fleet's insurer, a stack of Oregon Department of Transportation crash data, and a gas receipt from the corner cardlock station. Somewhere between Portland International Airport and four hospitals, a driver carrying a cooler of donor tissue is watching the clock. Josie pulls up a blank slide, types "Recommended Speed Policy," and stares at the cursor.</w:t>
      </w:r>
    </w:p>
    <w:p>
      <w:pPr>
        <w:pStyle w:val="Heading2"/>
        <w:spacing w:after="120" w:before="240"/>
      </w:pPr>
      <w:r>
        <w:t xml:space="preserve">Background</w:t>
      </w:r>
    </w:p>
    <w:p>
      <w:r>
        <w:t xml:space="preserve">Inland Transport has operated in the Oregon area for more than 30 years, specializing in the transport of high-value and time-critical items, including sensitive documents, medical supplies, and human organs and tissue for transplant. Its healthcare logistics division runs a fleet of five 2018 Ford Focus sedans, working continuously to carry items from Portland International Airport (PDX) to regional hospitals in Portland, Hillsboro, Eugene, and Astoria (SEE APPENDIX A).</w:t>
      </w:r>
    </w:p>
    <w:p>
      <w:r>
        <w:t xml:space="preserve">Josie Tramble has worked at Inland for three years since graduating from the University of Washington with a degree in Supply Chain Management. This is her first project as the newly promoted Healthcare Logistics Manager, and her first assignment is a policy recommendation on driving speed.</w:t>
      </w:r>
    </w:p>
    <w:p>
      <w:r>
        <w:t xml:space="preserve">Inland runs two driving shifts of different drivers each day: 4:00 a.m.–12:00 p.m. and 12:00 p.m.–8:00 p.m. Cars are picked up from Inland's lot at the start of each shift and returned to the same lot by the end of it. By state health-code regulation, each driver can transport only one item at a time — packages are picked up curbside from an airport courier at PDX (which stores time-sensitive items in secure cold storage, even overnight, until a driver is dispatched) and delivered directly to the receiving hospital. Drivers are required by law to take a 30-minute break sometime between their 4th and 6th working hour, during which the car is out of service (SEE APPENDIX C).</w:t>
      </w:r>
    </w:p>
    <w:p>
      <w:r>
        <w:t xml:space="preserve">Inland is paid $3.54 per mile driven on each delivery. Averaged across a full day, the fleet drives 352 freeway miles, 142 highway miles, and 110 city miles (SEE APPENDIX C). Every car must be returned with a full tank of gas; Inland fuels at a commercial cardlock station and reports company-wide fuel spend as a single line item (SEE APPENDIX B). Each vehicle carries its own insurance policy, and Inland covers up to 4 speeding-ticket violations per vehicle per year before further consequences apply (SEE APPENDIX E).</w:t>
      </w:r>
    </w:p>
    <w:p>
      <w:r>
        <w:t xml:space="preserve">In addition to her $105,000 annual salary, Josie earns a $7,500 quarterly bonus if the fleet averages at least 5 long-distance deliveries (round trips of 180+ miles) and at least 18 total deliveries per day (SEE APPENDIX A). Her presentation to the board must include a firm, defended recommendation for the speed her drivers should drive in the city, on the highway, and on the freeway — Oregon's posted limits for each are given in Appendix D, along with what Inland's own insurer and Oregon's courts actually charge when a driver is caught over them. Every figure Josie's presentation relies on is cited in Appendix G, and the standards she'll need to research to build it are listed in Appendix H.</w:t>
      </w:r>
    </w:p>
    <w:p>
      <w:pPr>
        <w:pStyle w:val="Heading2"/>
        <w:spacing w:after="120" w:before="240"/>
      </w:pPr>
      <w:r>
        <w:t xml:space="preserve">Dilemma</w:t>
      </w:r>
    </w:p>
    <w:p>
      <w:r>
        <w:t xml:space="preserve">You are Josie Tramble. Do you: A.) Pitch a policy that Inland's drivers never exceed the posted speed limit, in the city, on the highway, or on the freeway OR B.) Pitch a policy that Inland's drivers routinely drive 10 mph over the posted speed limit, in the city, on the highway, and on the freeway</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per-vehicle annual operating-cost table comparing Option A and Option B, itemizing fuel cost, expected speeding-ticket fines, and expected insurance surcharge, each computed to the penny, ending in the dollar difference between the two option totals.     D2. A fuel-cost calculation for each option showing how the 2018 Ford Focus's miles-per-gallon changes at each recommended speed, and the resulting fuel cost per driver per day and per year.     D3. Inland's anticipated total revenue from medical deliveries, per day and per year, using the company's $3.54-per-mile rate.     D4. A recommended route and total trip time for each of Inland's five drivers (for example: "Car 1: 2 trips to Randall Children's, 1 hour 12 minutes"), computed from the distances in Appendix A and the speeds you recommend.     D5. A calculation of the fleet's average long-distance and total deliveries per day, checked against the thresholds for Josie's quarterly bonus, including whether either option's shift-capacity math (Appendix A/C) changes what the fleet can mechanically achieve.     D6. An expected-cost calculation for speeding tickets under Option B — for each road type, the probability of being stopped multiplied by Oregon's actual presumptive fine for that violation class.     D7. A risk table applying the case's own crash-risk data (Appendix F) to the percent speed increase each option represents over the posted limit, for crash risk, serious-injury risk, and fatality risk.     D8. Two original visual displays: a bar graph comparing Option A's and Option B's total annual per-vehicle cost, and a pie chart breaking down your chosen option's cost components.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Map and Delivery Data</w:t>
      </w:r>
    </w:p>
    <w:p>
      <w:r>
        <w:rPr>
          <w:b/>
          <w:bCs/>
        </w:rPr>
        <w:t xml:space="preserve">Route:</w:t>
      </w:r>
      <w:r>
        <w:t xml:space="preserve"> Portland International Airport (PDX) → regional hospital → Inland's lot (5741 NE 87th Ave, Portland, OR 97220). Distances are one-way, PDX to hospital [S9].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Hospital</w:t>
            </w:r>
          </w:p>
        </w:tc>
        <w:tc>
          <w:tcPr>
            <w:tcW w:type="dxa" w:w="1800"/>
            <w:shd w:fill="DDDDDD" w:val="clear"/>
          </w:tcPr>
          <w:p>
            <w:r>
              <w:t xml:space="preserve">City</w:t>
            </w:r>
          </w:p>
        </w:tc>
        <w:tc>
          <w:tcPr>
            <w:tcW w:type="dxa" w:w="1800"/>
            <w:shd w:fill="DDDDDD" w:val="clear"/>
          </w:tcPr>
          <w:p>
            <w:r>
              <w:t xml:space="preserve">One-way distance from PDX</w:t>
            </w:r>
          </w:p>
        </w:tc>
        <w:tc>
          <w:tcPr>
            <w:tcW w:type="dxa" w:w="1800"/>
            <w:shd w:fill="DDDDDD" w:val="clear"/>
          </w:tcPr>
          <w:p>
            <w:r>
              <w:t xml:space="preserve">Round trip</w:t>
            </w:r>
          </w:p>
        </w:tc>
        <w:tc>
          <w:tcPr>
            <w:tcW w:type="dxa" w:w="1800"/>
            <w:shd w:fill="DDDDDD" w:val="clear"/>
          </w:tcPr>
          <w:p>
            <w:r>
              <w:t xml:space="preserve">Average deliveries/day</w:t>
            </w:r>
          </w:p>
        </w:tc>
      </w:tr>
      <w:tr>
        <w:tc>
          <w:tcPr>
            <w:tcW w:type="dxa" w:w="1800"/>
          </w:tcPr>
          <w:p>
            <w:r>
              <w:t xml:space="preserve">Randall Children's Hospital at Legacy Emanuel</w:t>
            </w:r>
          </w:p>
        </w:tc>
        <w:tc>
          <w:tcPr>
            <w:tcW w:type="dxa" w:w="1800"/>
          </w:tcPr>
          <w:p>
            <w:r>
              <w:t xml:space="preserve">Portland</w:t>
            </w:r>
          </w:p>
        </w:tc>
        <w:tc>
          <w:tcPr>
            <w:tcW w:type="dxa" w:w="1800"/>
          </w:tcPr>
          <w:p>
            <w:r>
              <w:t xml:space="preserve">7.8 mi</w:t>
            </w:r>
          </w:p>
        </w:tc>
        <w:tc>
          <w:tcPr>
            <w:tcW w:type="dxa" w:w="1800"/>
          </w:tcPr>
          <w:p>
            <w:r>
              <w:t xml:space="preserve">15.6 mi</w:t>
            </w:r>
          </w:p>
        </w:tc>
        <w:tc>
          <w:tcPr>
            <w:tcW w:type="dxa" w:w="1800"/>
          </w:tcPr>
          <w:p>
            <w:r>
              <w:t xml:space="preserve">8.4</w:t>
            </w:r>
          </w:p>
        </w:tc>
      </w:tr>
      <w:tr>
        <w:tc>
          <w:tcPr>
            <w:tcW w:type="dxa" w:w="1800"/>
          </w:tcPr>
          <w:p>
            <w:r>
              <w:t xml:space="preserve">Hillsboro Medical Center</w:t>
            </w:r>
          </w:p>
        </w:tc>
        <w:tc>
          <w:tcPr>
            <w:tcW w:type="dxa" w:w="1800"/>
          </w:tcPr>
          <w:p>
            <w:r>
              <w:t xml:space="preserve">Hillsboro</w:t>
            </w:r>
          </w:p>
        </w:tc>
        <w:tc>
          <w:tcPr>
            <w:tcW w:type="dxa" w:w="1800"/>
          </w:tcPr>
          <w:p>
            <w:r>
              <w:t xml:space="preserve">34 mi</w:t>
            </w:r>
          </w:p>
        </w:tc>
        <w:tc>
          <w:tcPr>
            <w:tcW w:type="dxa" w:w="1800"/>
          </w:tcPr>
          <w:p>
            <w:r>
              <w:t xml:space="preserve">68 mi</w:t>
            </w:r>
          </w:p>
        </w:tc>
        <w:tc>
          <w:tcPr>
            <w:tcW w:type="dxa" w:w="1800"/>
          </w:tcPr>
          <w:p>
            <w:r>
              <w:t xml:space="preserve">7.6</w:t>
            </w:r>
          </w:p>
        </w:tc>
      </w:tr>
      <w:tr>
        <w:tc>
          <w:tcPr>
            <w:tcW w:type="dxa" w:w="1800"/>
          </w:tcPr>
          <w:p>
            <w:r>
              <w:t xml:space="preserve">PeaceHealth Sacred Heart Medical Center</w:t>
            </w:r>
          </w:p>
        </w:tc>
        <w:tc>
          <w:tcPr>
            <w:tcW w:type="dxa" w:w="1800"/>
          </w:tcPr>
          <w:p>
            <w:r>
              <w:t xml:space="preserve">Eugene</w:t>
            </w:r>
          </w:p>
        </w:tc>
        <w:tc>
          <w:tcPr>
            <w:tcW w:type="dxa" w:w="1800"/>
          </w:tcPr>
          <w:p>
            <w:r>
              <w:t xml:space="preserve">122 mi</w:t>
            </w:r>
          </w:p>
        </w:tc>
        <w:tc>
          <w:tcPr>
            <w:tcW w:type="dxa" w:w="1800"/>
          </w:tcPr>
          <w:p>
            <w:r>
              <w:t xml:space="preserve">244 mi</w:t>
            </w:r>
          </w:p>
        </w:tc>
        <w:tc>
          <w:tcPr>
            <w:tcW w:type="dxa" w:w="1800"/>
          </w:tcPr>
          <w:p>
            <w:r>
              <w:t xml:space="preserve">2.7</w:t>
            </w:r>
          </w:p>
        </w:tc>
      </w:tr>
      <w:tr>
        <w:tc>
          <w:tcPr>
            <w:tcW w:type="dxa" w:w="1800"/>
          </w:tcPr>
          <w:p>
            <w:r>
              <w:t xml:space="preserve">Columbia Memorial Hospital</w:t>
            </w:r>
          </w:p>
        </w:tc>
        <w:tc>
          <w:tcPr>
            <w:tcW w:type="dxa" w:w="1800"/>
          </w:tcPr>
          <w:p>
            <w:r>
              <w:t xml:space="preserve">Astoria</w:t>
            </w:r>
          </w:p>
        </w:tc>
        <w:tc>
          <w:tcPr>
            <w:tcW w:type="dxa" w:w="1800"/>
          </w:tcPr>
          <w:p>
            <w:r>
              <w:t xml:space="preserve">97 mi</w:t>
            </w:r>
          </w:p>
        </w:tc>
        <w:tc>
          <w:tcPr>
            <w:tcW w:type="dxa" w:w="1800"/>
          </w:tcPr>
          <w:p>
            <w:r>
              <w:t xml:space="preserve">194 mi</w:t>
            </w:r>
          </w:p>
        </w:tc>
        <w:tc>
          <w:tcPr>
            <w:tcW w:type="dxa" w:w="1800"/>
          </w:tcPr>
          <w:p>
            <w:r>
              <w:t xml:space="preserve">1.8</w:t>
            </w:r>
          </w:p>
        </w:tc>
      </w:tr>
    </w:tbl>
    <w:p/>
    <w:p>
      <w:r>
        <w:t xml:space="preserve">"Long-distance" per Josie's bonus criteria is defined as a round trip of 180+ miles — under this table, that is Eugene (244 mi) and Astoria (194 mi) runs only.</w:t>
      </w:r>
    </w:p>
    <w:p>
      <w:r>
        <w:rPr>
          <w:b/>
          <w:bCs/>
        </w:rPr>
        <w:t xml:space="preserve">Delivery-capacity check (see Appendix C):</w:t>
      </w:r>
      <w:r>
        <w:t xml:space="preserve"> the deliveries/day column above is the fleet's real average daily volume, not a drive-time ceiling. At 7.5 hours of available driving per shift (8-hour shift minus the required 30-minute break), the fleet's total capacity is 5 vehicles x 2 shifts x 7.5 hr = </w:t>
      </w:r>
      <w:r>
        <w:rPr>
          <w:b/>
          <w:bCs/>
        </w:rPr>
        <w:t xml:space="preserve">75 vehicle-hours/day</w:t>
      </w:r>
      <w:r>
        <w:t xml:space="preserve">. Driving this table's average mix consumes only about 31.7 of those hours under Option A (42% utilized) and about 26.4 under Option B (35% utilized) — either way, well under capacity. That means total and long-distance delivery </w:t>
      </w:r>
      <w:r>
        <w:rPr>
          <w:i/>
          <w:iCs/>
        </w:rPr>
        <w:t xml:space="preserve">volume</w:t>
      </w:r>
      <w:r>
        <w:t xml:space="preserve"> is bound by real hospital demand, not by how fast the fleet drives, and stays the same under both options: speed does not manufacture more patients. The one place speed genuinely changes what a </w:t>
      </w:r>
      <w:r>
        <w:rPr>
          <w:i/>
          <w:iCs/>
        </w:rPr>
        <w:t xml:space="preserve">single</w:t>
      </w:r>
      <w:r>
        <w:t xml:space="preserve"> vehicle can mechanically do: dedicated only to the Eugene route, one vehicle clears just 1 round trip per 7.5-hour shift at Option A's 3.91-hour trip time (2/day total) — short of Eugene's own 2.7/day average, so Option A structurally needs a second, partially-dedicated vehicle to cover Eugene. At Option B's 3.36-hour trip time, that same single vehicle clears 2 round trips per shift (4/day), comfortably covering Eugene's demand alone. That is a real, quantified scheduling-efficiency advantage for Option B — it just doesn't move the fleet's average long-distance count past Josie's 5/day bonus threshold.</w:t>
      </w:r>
    </w:p>
    <w:p>
      <w:pPr>
        <w:pStyle w:val="Heading2"/>
        <w:spacing w:after="120" w:before="240"/>
      </w:pPr>
      <w:r>
        <w:t xml:space="preserve">Appendix B — Fleet Data: 2018 Ford Focus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Fuel tank capacity</w:t>
            </w:r>
          </w:p>
        </w:tc>
        <w:tc>
          <w:tcPr>
            <w:tcW w:type="dxa" w:w="4500"/>
          </w:tcPr>
          <w:p>
            <w:r>
              <w:t xml:space="preserve">12.4 gallons</w:t>
            </w:r>
          </w:p>
        </w:tc>
      </w:tr>
      <w:tr>
        <w:tc>
          <w:tcPr>
            <w:tcW w:type="dxa" w:w="4500"/>
          </w:tcPr>
          <w:p>
            <w:r>
              <w:t xml:space="preserve">EPA city fuel economy (2.0L 4-cyl automatic)</w:t>
            </w:r>
          </w:p>
        </w:tc>
        <w:tc>
          <w:tcPr>
            <w:tcW w:type="dxa" w:w="4500"/>
          </w:tcPr>
          <w:p>
            <w:r>
              <w:t xml:space="preserve">26 mpg [S1]</w:t>
            </w:r>
          </w:p>
        </w:tc>
      </w:tr>
      <w:tr>
        <w:tc>
          <w:tcPr>
            <w:tcW w:type="dxa" w:w="4500"/>
          </w:tcPr>
          <w:p>
            <w:r>
              <w:t xml:space="preserve">EPA highway fuel economy (2.0L 4-cyl automatic)</w:t>
            </w:r>
          </w:p>
        </w:tc>
        <w:tc>
          <w:tcPr>
            <w:tcW w:type="dxa" w:w="4500"/>
          </w:tcPr>
          <w:p>
            <w:r>
              <w:t xml:space="preserve">38 mpg [S1]</w:t>
            </w:r>
          </w:p>
        </w:tc>
      </w:tr>
    </w:tbl>
    <w:p/>
    <w:p>
      <w:r>
        <w:rPr>
          <w:b/>
          <w:bCs/>
        </w:rPr>
        <w:t xml:space="preserve">Effect of speed on fuel economy:</w:t>
      </w:r>
      <w:r>
        <w:t xml:space="preserve"> the U.S. Department of Energy's fueleconomy.gov states that gas mileage "usually decreases rapidly at speeds above 50 mph," and that "each 5 mph you drive over 50 mph is like paying an additional $0.29 per gallon for gas" [S2]. This case models that effect as a 7% mpg reduction for each 5 mph driven over 50 mph, compounding per increment (e.g., driving 15 mph over 50 applies the 7% reduction three times) [S2, derived].</w:t>
      </w:r>
    </w:p>
    <w:p>
      <w:pPr>
        <w:pStyle w:val="Heading2"/>
        <w:spacing w:after="120" w:before="240"/>
      </w:pPr>
      <w:r>
        <w:t xml:space="preserve">Appendix C — Daily Operations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Fleet average freeway miles/day</w:t>
            </w:r>
          </w:p>
        </w:tc>
        <w:tc>
          <w:tcPr>
            <w:tcW w:type="dxa" w:w="4500"/>
          </w:tcPr>
          <w:p>
            <w:r>
              <w:t xml:space="preserve">352 mi</w:t>
            </w:r>
          </w:p>
        </w:tc>
      </w:tr>
      <w:tr>
        <w:tc>
          <w:tcPr>
            <w:tcW w:type="dxa" w:w="4500"/>
          </w:tcPr>
          <w:p>
            <w:r>
              <w:t xml:space="preserve">Fleet average highway miles/day</w:t>
            </w:r>
          </w:p>
        </w:tc>
        <w:tc>
          <w:tcPr>
            <w:tcW w:type="dxa" w:w="4500"/>
          </w:tcPr>
          <w:p>
            <w:r>
              <w:t xml:space="preserve">142 mi</w:t>
            </w:r>
          </w:p>
        </w:tc>
      </w:tr>
      <w:tr>
        <w:tc>
          <w:tcPr>
            <w:tcW w:type="dxa" w:w="4500"/>
          </w:tcPr>
          <w:p>
            <w:r>
              <w:t xml:space="preserve">Fleet average city miles/day</w:t>
            </w:r>
          </w:p>
        </w:tc>
        <w:tc>
          <w:tcPr>
            <w:tcW w:type="dxa" w:w="4500"/>
          </w:tcPr>
          <w:p>
            <w:r>
              <w:t xml:space="preserve">110 mi</w:t>
            </w:r>
          </w:p>
        </w:tc>
      </w:tr>
      <w:tr>
        <w:tc>
          <w:tcPr>
            <w:tcW w:type="dxa" w:w="4500"/>
          </w:tcPr>
          <w:p>
            <w:r>
              <w:rPr>
                <w:b/>
                <w:bCs/>
              </w:rPr>
              <w:t xml:space="preserve">Total fleet miles/day</w:t>
            </w:r>
          </w:p>
        </w:tc>
        <w:tc>
          <w:tcPr>
            <w:tcW w:type="dxa" w:w="4500"/>
          </w:tcPr>
          <w:p>
            <w:r>
              <w:rPr>
                <w:b/>
                <w:bCs/>
              </w:rPr>
              <w:t xml:space="preserve">604 mi</w:t>
            </w:r>
          </w:p>
        </w:tc>
      </w:tr>
      <w:tr>
        <w:tc>
          <w:tcPr>
            <w:tcW w:type="dxa" w:w="4500"/>
          </w:tcPr>
          <w:p>
            <w:r>
              <w:t xml:space="preserve">Available driving time per shift (8 hr shift minus 30-min break)</w:t>
            </w:r>
          </w:p>
        </w:tc>
        <w:tc>
          <w:tcPr>
            <w:tcW w:type="dxa" w:w="4500"/>
          </w:tcPr>
          <w:p>
            <w:r>
              <w:t xml:space="preserve">7.5 hr</w:t>
            </w:r>
          </w:p>
        </w:tc>
      </w:tr>
      <w:tr>
        <w:tc>
          <w:tcPr>
            <w:tcW w:type="dxa" w:w="4500"/>
          </w:tcPr>
          <w:p>
            <w:r>
              <w:rPr>
                <w:b/>
                <w:bCs/>
              </w:rPr>
              <w:t xml:space="preserve">Fleet capacity (5 vehicles x 2 shifts x 7.5 hr)</w:t>
            </w:r>
          </w:p>
        </w:tc>
        <w:tc>
          <w:tcPr>
            <w:tcW w:type="dxa" w:w="4500"/>
          </w:tcPr>
          <w:p>
            <w:r>
              <w:rPr>
                <w:b/>
                <w:bCs/>
              </w:rPr>
              <w:t xml:space="preserve">75 vehicle-hr/day</w:t>
            </w:r>
          </w:p>
        </w:tc>
      </w:tr>
      <w:tr>
        <w:tc>
          <w:tcPr>
            <w:tcW w:type="dxa" w:w="4500"/>
          </w:tcPr>
          <w:p>
            <w:r>
              <w:t xml:space="preserve">Inland's delivery revenue rate</w:t>
            </w:r>
          </w:p>
        </w:tc>
        <w:tc>
          <w:tcPr>
            <w:tcW w:type="dxa" w:w="4500"/>
          </w:tcPr>
          <w:p>
            <w:r>
              <w:t xml:space="preserve">$3.54 / mile</w:t>
            </w:r>
          </w:p>
        </w:tc>
      </w:tr>
      <w:tr>
        <w:tc>
          <w:tcPr>
            <w:tcW w:type="dxa" w:w="4500"/>
          </w:tcPr>
          <w:p>
            <w:r>
              <w:t xml:space="preserve">Morning shift</w:t>
            </w:r>
          </w:p>
        </w:tc>
        <w:tc>
          <w:tcPr>
            <w:tcW w:type="dxa" w:w="4500"/>
          </w:tcPr>
          <w:p>
            <w:r>
              <w:t xml:space="preserve">4:00 a.m. – 12:00 p.m.</w:t>
            </w:r>
          </w:p>
        </w:tc>
      </w:tr>
      <w:tr>
        <w:tc>
          <w:tcPr>
            <w:tcW w:type="dxa" w:w="4500"/>
          </w:tcPr>
          <w:p>
            <w:r>
              <w:t xml:space="preserve">Afternoon shift</w:t>
            </w:r>
          </w:p>
        </w:tc>
        <w:tc>
          <w:tcPr>
            <w:tcW w:type="dxa" w:w="4500"/>
          </w:tcPr>
          <w:p>
            <w:r>
              <w:t xml:space="preserve">12:00 p.m. – 8:00 p.m.</w:t>
            </w:r>
          </w:p>
        </w:tc>
      </w:tr>
      <w:tr>
        <w:tc>
          <w:tcPr>
            <w:tcW w:type="dxa" w:w="4500"/>
          </w:tcPr>
          <w:p>
            <w:r>
              <w:t xml:space="preserve">Required break</w:t>
            </w:r>
          </w:p>
        </w:tc>
        <w:tc>
          <w:tcPr>
            <w:tcW w:type="dxa" w:w="4500"/>
          </w:tcPr>
          <w:p>
            <w:r>
              <w:t xml:space="preserve">30 min, between hour 4 and hour 6 of each shift (car out of service)</w:t>
            </w:r>
          </w:p>
        </w:tc>
      </w:tr>
      <w:tr>
        <w:tc>
          <w:tcPr>
            <w:tcW w:type="dxa" w:w="4500"/>
          </w:tcPr>
          <w:p>
            <w:r>
              <w:t xml:space="preserve">Fleet size</w:t>
            </w:r>
          </w:p>
        </w:tc>
        <w:tc>
          <w:tcPr>
            <w:tcW w:type="dxa" w:w="4500"/>
          </w:tcPr>
          <w:p>
            <w:r>
              <w:t xml:space="preserve">5 vehicles</w:t>
            </w:r>
          </w:p>
        </w:tc>
      </w:tr>
    </w:tbl>
    <w:p/>
    <w:p>
      <w:pPr>
        <w:pStyle w:val="Heading2"/>
        <w:spacing w:after="120" w:before="240"/>
      </w:pPr>
      <w:r>
        <w:t xml:space="preserve">Appendix D — Oregon Speed Limits and Speeding Fines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Road type</w:t>
            </w:r>
          </w:p>
        </w:tc>
        <w:tc>
          <w:tcPr>
            <w:tcW w:type="dxa" w:w="2250"/>
            <w:shd w:fill="DDDDDD" w:val="clear"/>
          </w:tcPr>
          <w:p>
            <w:r>
              <w:t xml:space="preserve">Posted limit</w:t>
            </w:r>
          </w:p>
        </w:tc>
        <w:tc>
          <w:tcPr>
            <w:tcW w:type="dxa" w:w="2250"/>
            <w:shd w:fill="DDDDDD" w:val="clear"/>
          </w:tcPr>
          <w:p>
            <w:r>
              <w:t xml:space="preserve">Option A speed</w:t>
            </w:r>
          </w:p>
        </w:tc>
        <w:tc>
          <w:tcPr>
            <w:tcW w:type="dxa" w:w="2250"/>
            <w:shd w:fill="DDDDDD" w:val="clear"/>
          </w:tcPr>
          <w:p>
            <w:r>
              <w:t xml:space="preserve">Option B speed</w:t>
            </w:r>
          </w:p>
        </w:tc>
      </w:tr>
      <w:tr>
        <w:tc>
          <w:tcPr>
            <w:tcW w:type="dxa" w:w="2250"/>
          </w:tcPr>
          <w:p>
            <w:r>
              <w:t xml:space="preserve">City (Portland-area arterial)</w:t>
            </w:r>
          </w:p>
        </w:tc>
        <w:tc>
          <w:tcPr>
            <w:tcW w:type="dxa" w:w="2250"/>
          </w:tcPr>
          <w:p>
            <w:r>
              <w:t xml:space="preserve">35 mph [S3]</w:t>
            </w:r>
          </w:p>
        </w:tc>
        <w:tc>
          <w:tcPr>
            <w:tcW w:type="dxa" w:w="2250"/>
          </w:tcPr>
          <w:p>
            <w:r>
              <w:t xml:space="preserve">35 mph</w:t>
            </w:r>
          </w:p>
        </w:tc>
        <w:tc>
          <w:tcPr>
            <w:tcW w:type="dxa" w:w="2250"/>
          </w:tcPr>
          <w:p>
            <w:r>
              <w:t xml:space="preserve">45 mph</w:t>
            </w:r>
          </w:p>
        </w:tc>
      </w:tr>
      <w:tr>
        <w:tc>
          <w:tcPr>
            <w:tcW w:type="dxa" w:w="2250"/>
          </w:tcPr>
          <w:p>
            <w:r>
              <w:t xml:space="preserve">Highway</w:t>
            </w:r>
          </w:p>
        </w:tc>
        <w:tc>
          <w:tcPr>
            <w:tcW w:type="dxa" w:w="2250"/>
          </w:tcPr>
          <w:p>
            <w:r>
              <w:t xml:space="preserve">55 mph [S4]</w:t>
            </w:r>
          </w:p>
        </w:tc>
        <w:tc>
          <w:tcPr>
            <w:tcW w:type="dxa" w:w="2250"/>
          </w:tcPr>
          <w:p>
            <w:r>
              <w:t xml:space="preserve">55 mph</w:t>
            </w:r>
          </w:p>
        </w:tc>
        <w:tc>
          <w:tcPr>
            <w:tcW w:type="dxa" w:w="2250"/>
          </w:tcPr>
          <w:p>
            <w:r>
              <w:t xml:space="preserve">65 mph</w:t>
            </w:r>
          </w:p>
        </w:tc>
      </w:tr>
      <w:tr>
        <w:tc>
          <w:tcPr>
            <w:tcW w:type="dxa" w:w="2250"/>
          </w:tcPr>
          <w:p>
            <w:r>
              <w:t xml:space="preserve">Freeway / Interstate</w:t>
            </w:r>
          </w:p>
        </w:tc>
        <w:tc>
          <w:tcPr>
            <w:tcW w:type="dxa" w:w="2250"/>
          </w:tcPr>
          <w:p>
            <w:r>
              <w:t xml:space="preserve">65 mph [S4]</w:t>
            </w:r>
          </w:p>
        </w:tc>
        <w:tc>
          <w:tcPr>
            <w:tcW w:type="dxa" w:w="2250"/>
          </w:tcPr>
          <w:p>
            <w:r>
              <w:t xml:space="preserve">65 mph</w:t>
            </w:r>
          </w:p>
        </w:tc>
        <w:tc>
          <w:tcPr>
            <w:tcW w:type="dxa" w:w="2250"/>
          </w:tcPr>
          <w:p>
            <w:r>
              <w:t xml:space="preserve">75 mph</w:t>
            </w:r>
          </w:p>
        </w:tc>
      </w:tr>
    </w:tbl>
    <w:p/>
    <w:p>
      <w:r>
        <w:t xml:space="preserve">Oregon classifies a speeding violation by how many mph over the posted limit the driver was clocked, and each class carries a fixed presumptive fine [S5, S6]: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MPH over limit</w:t>
            </w:r>
          </w:p>
        </w:tc>
        <w:tc>
          <w:tcPr>
            <w:tcW w:type="dxa" w:w="3000"/>
            <w:shd w:fill="DDDDDD" w:val="clear"/>
          </w:tcPr>
          <w:p>
            <w:r>
              <w:t xml:space="preserve">Violation class</w:t>
            </w:r>
          </w:p>
        </w:tc>
        <w:tc>
          <w:tcPr>
            <w:tcW w:type="dxa" w:w="3000"/>
            <w:shd w:fill="DDDDDD" w:val="clear"/>
          </w:tcPr>
          <w:p>
            <w:r>
              <w:t xml:space="preserve">Presumptive fine</w:t>
            </w:r>
          </w:p>
        </w:tc>
      </w:tr>
      <w:tr>
        <w:tc>
          <w:tcPr>
            <w:tcW w:type="dxa" w:w="3000"/>
          </w:tcPr>
          <w:p>
            <w:r>
              <w:t xml:space="preserve">1–10</w:t>
            </w:r>
          </w:p>
        </w:tc>
        <w:tc>
          <w:tcPr>
            <w:tcW w:type="dxa" w:w="3000"/>
          </w:tcPr>
          <w:p>
            <w:r>
              <w:t xml:space="preserve">Class D</w:t>
            </w:r>
          </w:p>
        </w:tc>
        <w:tc>
          <w:tcPr>
            <w:tcW w:type="dxa" w:w="3000"/>
          </w:tcPr>
          <w:p>
            <w:r>
              <w:t xml:space="preserve">$115</w:t>
            </w:r>
          </w:p>
        </w:tc>
      </w:tr>
      <w:tr>
        <w:tc>
          <w:tcPr>
            <w:tcW w:type="dxa" w:w="3000"/>
          </w:tcPr>
          <w:p>
            <w:r>
              <w:t xml:space="preserve">11–20</w:t>
            </w:r>
          </w:p>
        </w:tc>
        <w:tc>
          <w:tcPr>
            <w:tcW w:type="dxa" w:w="3000"/>
          </w:tcPr>
          <w:p>
            <w:r>
              <w:t xml:space="preserve">Class C</w:t>
            </w:r>
          </w:p>
        </w:tc>
        <w:tc>
          <w:tcPr>
            <w:tcW w:type="dxa" w:w="3000"/>
          </w:tcPr>
          <w:p>
            <w:r>
              <w:t xml:space="preserve">$165</w:t>
            </w:r>
          </w:p>
        </w:tc>
      </w:tr>
      <w:tr>
        <w:tc>
          <w:tcPr>
            <w:tcW w:type="dxa" w:w="3000"/>
          </w:tcPr>
          <w:p>
            <w:r>
              <w:t xml:space="preserve">21–30</w:t>
            </w:r>
          </w:p>
        </w:tc>
        <w:tc>
          <w:tcPr>
            <w:tcW w:type="dxa" w:w="3000"/>
          </w:tcPr>
          <w:p>
            <w:r>
              <w:t xml:space="preserve">Class B</w:t>
            </w:r>
          </w:p>
        </w:tc>
        <w:tc>
          <w:tcPr>
            <w:tcW w:type="dxa" w:w="3000"/>
          </w:tcPr>
          <w:p>
            <w:r>
              <w:t xml:space="preserve">$265</w:t>
            </w:r>
          </w:p>
        </w:tc>
      </w:tr>
      <w:tr>
        <w:tc>
          <w:tcPr>
            <w:tcW w:type="dxa" w:w="3000"/>
          </w:tcPr>
          <w:p>
            <w:r>
              <w:t xml:space="preserve">31+</w:t>
            </w:r>
          </w:p>
        </w:tc>
        <w:tc>
          <w:tcPr>
            <w:tcW w:type="dxa" w:w="3000"/>
          </w:tcPr>
          <w:p>
            <w:r>
              <w:t xml:space="preserve">Class A</w:t>
            </w:r>
          </w:p>
        </w:tc>
        <w:tc>
          <w:tcPr>
            <w:tcW w:type="dxa" w:w="3000"/>
          </w:tcPr>
          <w:p>
            <w:r>
              <w:t xml:space="preserve">$440</w:t>
            </w:r>
          </w:p>
        </w:tc>
      </w:tr>
    </w:tbl>
    <w:p/>
    <w:p>
      <w:r>
        <w:rPr>
          <w:b/>
          <w:bCs/>
        </w:rPr>
        <w:t xml:space="preserve">Exception:</w:t>
      </w:r>
      <w:r>
        <w:t xml:space="preserve"> on a road posted 65 mph or faster, exceeding the limit by 10 mph or less is charged one class higher — Class C instead of Class D [S5]. Under Option B, the freeway violation (65→75, posted limit is 65) is therefore a </w:t>
      </w:r>
      <w:r>
        <w:rPr>
          <w:b/>
          <w:bCs/>
        </w:rPr>
        <w:t xml:space="preserve">Class C, $165</w:t>
      </w:r>
      <w:r>
        <w:t xml:space="preserve"> violation, not a Class D $115 violation like the city and highway 10-over violations.</w:t>
      </w:r>
    </w:p>
    <w:p>
      <w:pPr>
        <w:pStyle w:val="Heading2"/>
        <w:spacing w:after="120" w:before="240"/>
      </w:pPr>
      <w:r>
        <w:t xml:space="preserve">Appendix E — Inland's Insurance Policy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Base premium</w:t>
            </w:r>
          </w:p>
        </w:tc>
        <w:tc>
          <w:tcPr>
            <w:tcW w:type="dxa" w:w="4500"/>
          </w:tcPr>
          <w:p>
            <w:r>
              <w:t xml:space="preserve">$1,453.00 per vehicle per year</w:t>
            </w:r>
          </w:p>
        </w:tc>
      </w:tr>
      <w:tr>
        <w:tc>
          <w:tcPr>
            <w:tcW w:type="dxa" w:w="4500"/>
          </w:tcPr>
          <w:p>
            <w:r>
              <w:t xml:space="preserve">Surcharge per speeding-ticket violation</w:t>
            </w:r>
          </w:p>
        </w:tc>
        <w:tc>
          <w:tcPr>
            <w:tcW w:type="dxa" w:w="4500"/>
          </w:tcPr>
          <w:p>
            <w:r>
              <w:t xml:space="preserve">$164.95 per vehicle per year</w:t>
            </w:r>
          </w:p>
        </w:tc>
      </w:tr>
      <w:tr>
        <w:tc>
          <w:tcPr>
            <w:tcW w:type="dxa" w:w="4500"/>
          </w:tcPr>
          <w:p>
            <w:r>
              <w:t xml:space="preserve">Tickets Inland covers before other consequences apply</w:t>
            </w:r>
          </w:p>
        </w:tc>
        <w:tc>
          <w:tcPr>
            <w:tcW w:type="dxa" w:w="4500"/>
          </w:tcPr>
          <w:p>
            <w:r>
              <w:t xml:space="preserve">up to 4 per vehicle per year</w:t>
            </w:r>
          </w:p>
        </w:tc>
      </w:tr>
    </w:tbl>
    <w:p/>
    <w:p>
      <w:r>
        <w:t xml:space="preserve">Independent market research on U.S. auto insurance confirms this magnitude: one speeding ticket raises a driver's annual premium by roughly 24% on average nationally [S7] — on Inland's $1,453 base premium, that is a $349 increase, consistent in magnitude with Inland's own stated $164.95 surcharge for a single violation. That same research shows mph-over-limit severity barely moves the number (its own rate table varies by less than 1.5% across brackets from "under 5 over" to "21–25 over") — what actually drives a bigger increase is the </w:t>
      </w:r>
      <w:r>
        <w:rPr>
          <w:i/>
          <w:iCs/>
        </w:rPr>
        <w:t xml:space="preserve">count</w:t>
      </w:r>
      <w:r>
        <w:t xml:space="preserve"> of tickets on record: a second ticket on record raises the premium by roughly 45%, and a third by roughly 60% [S7].</w:t>
      </w:r>
    </w:p>
    <w:p>
      <w:pPr>
        <w:pStyle w:val="Heading2"/>
        <w:spacing w:after="120" w:before="240"/>
      </w:pPr>
      <w:r>
        <w:t xml:space="preserve">Appendix F — Crash Risk Data</w:t>
      </w:r>
    </w:p>
    <w:p>
      <w:r>
        <w:t xml:space="preserve">The Nilsson/Elvik "Power Model," used by U.S. and international transportation-safety researchers to relate travel speed to crash outcomes, models the relationship as: for a given percent increase in average travel speed, crashes involving injury increase by roughly that percent squared (relative), serious-injury crashes by roughly that percent cubed (relative), and fatal crashes by roughly that percent to the fourth power (relative) [S8]. In practical terms across the range of speeds this case covers, researchers report that fatal-crash risk rises fastest, followed by serious-injury risk, then all-injury-crash risk [S8].</w:t>
      </w:r>
    </w:p>
    <w:p>
      <w:r>
        <w:t xml:space="preserve">Oregon recorded 539 traffic deaths in 2024 (587 in 2023), and speed remains one of the top contributing factors named in the state's own crash reporting [S10].</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Probability a driver is pulled over, given they are observed by an officer while driving 6–10 mph over the posted limit</w:t>
            </w:r>
          </w:p>
        </w:tc>
        <w:tc>
          <w:tcPr>
            <w:tcW w:type="dxa" w:w="1800"/>
          </w:tcPr>
          <w:p>
            <w:r>
              <w:t xml:space="preserve">25%</w:t>
            </w:r>
          </w:p>
        </w:tc>
        <w:tc>
          <w:tcPr>
            <w:tcW w:type="dxa" w:w="1800"/>
          </w:tcPr>
          <w:p>
            <w:r>
              <w:t xml:space="preserve">No current, attributable public study reports pull-over probability broken out by mph-over bracket; this value is carried forward from the case's own original (undated, unattributed) "recent studies" claim as a stated scenario assumption, not a cited fact.</w:t>
            </w:r>
          </w:p>
        </w:tc>
        <w:tc>
          <w:tcPr>
            <w:tcW w:type="dxa" w:w="1800"/>
          </w:tcPr>
          <w:p>
            <w:r>
              <w:t xml:space="preserve">The dilemma's cost comparison is sensitive to this value.</w:t>
            </w:r>
          </w:p>
        </w:tc>
      </w:tr>
      <w:tr>
        <w:tc>
          <w:tcPr>
            <w:tcW w:type="dxa" w:w="1800"/>
          </w:tcPr>
          <w:p>
            <w:r>
              <w:t xml:space="preserve">MA2</w:t>
            </w:r>
          </w:p>
        </w:tc>
        <w:tc>
          <w:tcPr>
            <w:tcW w:type="dxa" w:w="1800"/>
          </w:tcPr>
          <w:p>
            <w:r>
              <w:t xml:space="preserve">Number of times per year each vehicle is realistically observed by an officer positioned to act, while sustaining a 10-over habit on Inland's regular routes</w:t>
            </w:r>
          </w:p>
        </w:tc>
        <w:tc>
          <w:tcPr>
            <w:tcW w:type="dxa" w:w="1800"/>
          </w:tcPr>
          <w:p>
            <w:r>
              <w:t xml:space="preserve">8 per vehicle per year (roughly once every 6–7 weeks)</w:t>
            </w:r>
          </w:p>
        </w:tc>
        <w:tc>
          <w:tcPr>
            <w:tcW w:type="dxa" w:w="1800"/>
          </w:tcPr>
          <w:p>
            <w:r>
              <w:t xml:space="preserve">No public data measures "radar exposure frequency" for a specific commercial route; this is a modest, stated planning assumption, not a measured rate.</w:t>
            </w:r>
          </w:p>
        </w:tc>
        <w:tc>
          <w:tcPr>
            <w:tcW w:type="dxa" w:w="1800"/>
          </w:tcPr>
          <w:p>
            <w:r>
              <w:t xml:space="preserve">The dilemma's cost comparison is sensitive to this value.</w:t>
            </w:r>
          </w:p>
        </w:tc>
      </w:tr>
      <w:tr>
        <w:tc>
          <w:tcPr>
            <w:tcW w:type="dxa" w:w="1800"/>
          </w:tcPr>
          <w:p>
            <w:r>
              <w:t xml:space="preserve">MA3</w:t>
            </w:r>
          </w:p>
        </w:tc>
        <w:tc>
          <w:tcPr>
            <w:tcW w:type="dxa" w:w="1800"/>
          </w:tcPr>
          <w:p>
            <w:r>
              <w:t xml:space="preserve">Insurance surcharge duration</w:t>
            </w:r>
          </w:p>
        </w:tc>
        <w:tc>
          <w:tcPr>
            <w:tcW w:type="dxa" w:w="1800"/>
          </w:tcPr>
          <w:p>
            <w:r>
              <w:t xml:space="preserve">Modeled as a single year's surcharge per ticket earned that year (steady-state, not stacked across multiple years)</w:t>
            </w:r>
          </w:p>
        </w:tc>
        <w:tc>
          <w:tcPr>
            <w:tcW w:type="dxa" w:w="1800"/>
          </w:tcPr>
          <w:p>
            <w:r>
              <w:t xml:space="preserve">Simplifies a multi-year underwriting look-back into a single annual figure so the case's "per year" comparison stays apples-to-apples.</w:t>
            </w:r>
          </w:p>
        </w:tc>
        <w:tc>
          <w:tcPr>
            <w:tcW w:type="dxa" w:w="1800"/>
          </w:tcPr>
          <w:p>
            <w:r>
              <w:t xml:space="preserve">Understates Option B's true multi-year cost if a driver accumulates tickets faster than they roll off.</w:t>
            </w:r>
          </w:p>
        </w:tc>
      </w:tr>
      <w:tr>
        <w:tc>
          <w:tcPr>
            <w:tcW w:type="dxa" w:w="1800"/>
          </w:tcPr>
          <w:p>
            <w:r>
              <w:t xml:space="preserve">MA4</w:t>
            </w:r>
          </w:p>
        </w:tc>
        <w:tc>
          <w:tcPr>
            <w:tcW w:type="dxa" w:w="1800"/>
          </w:tcPr>
          <w:p>
            <w:r>
              <w:t xml:space="preserve">Portland-area city arterial posted speed</w:t>
            </w:r>
          </w:p>
        </w:tc>
        <w:tc>
          <w:tcPr>
            <w:tcW w:type="dxa" w:w="1800"/>
          </w:tcPr>
          <w:p>
            <w:r>
              <w:t xml:space="preserve">35 mph</w:t>
            </w:r>
          </w:p>
        </w:tc>
        <w:tc>
          <w:tcPr>
            <w:tcW w:type="dxa" w:w="1800"/>
          </w:tcPr>
          <w:p>
            <w:r>
              <w:t xml:space="preserve">Oregon's unposted default city speed is lower (20–25 mph), but PBOT's own engineering guidance documents 35–45 mph as the typical posted limit on the nonresidential arterials this fleet actually uses to reach hospitals and the airport [S3].</w:t>
            </w:r>
          </w:p>
        </w:tc>
        <w:tc>
          <w:tcPr>
            <w:tcW w:type="dxa" w:w="1800"/>
          </w:tcPr>
          <w:p>
            <w:r>
              <w:t xml:space="preserve">Low — 35 mph is a documented typical posted value, not a swept dial.</w:t>
            </w:r>
          </w:p>
        </w:tc>
      </w:tr>
    </w:tbl>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2018 Ford Focus (2.0L 4-cyl, automatic) EPA fuel economy</w:t>
            </w:r>
          </w:p>
        </w:tc>
        <w:tc>
          <w:tcPr>
            <w:tcW w:type="dxa" w:w="1500"/>
          </w:tcPr>
          <w:p>
            <w:r>
              <w:t xml:space="preserve">26 city / 38 highway mpg</w:t>
            </w:r>
          </w:p>
        </w:tc>
        <w:tc>
          <w:tcPr>
            <w:tcW w:type="dxa" w:w="1500"/>
          </w:tcPr>
          <w:p>
            <w:r>
              <w:t xml:space="preserve">U.S. EPA / fueleconomy.gov, "Gas Mileage of 2018 Ford Focus" (</w:t>
            </w:r>
            <w:hyperlink w:history="1" r:id="rIdipd46z8su4c95p8zrwpbp">
              <w:r>
                <w:rPr>
                  <w:rStyle w:val="Hyperlink"/>
                </w:rPr>
                <w:t xml:space="preserve">link</w:t>
              </w:r>
            </w:hyperlink>
            <w:r>
              <w:t xml:space="preserve">)</w:t>
            </w:r>
          </w:p>
        </w:tc>
        <w:tc>
          <w:tcPr>
            <w:tcW w:type="dxa" w:w="1500"/>
          </w:tcPr>
          <w:p>
            <w:r>
              <w:t xml:space="preserve">model year 2018 (static)</w:t>
            </w:r>
          </w:p>
        </w:tc>
        <w:tc>
          <w:tcPr>
            <w:tcW w:type="dxa" w:w="1500"/>
          </w:tcPr>
          <w:p>
            <w:r>
              <w:t xml:space="preserve">HIGH</w:t>
            </w:r>
          </w:p>
        </w:tc>
      </w:tr>
      <w:tr>
        <w:tc>
          <w:tcPr>
            <w:tcW w:type="dxa" w:w="1500"/>
          </w:tcPr>
          <w:p>
            <w:r>
              <w:t xml:space="preserve">S2</w:t>
            </w:r>
          </w:p>
        </w:tc>
        <w:tc>
          <w:tcPr>
            <w:tcW w:type="dxa" w:w="1500"/>
          </w:tcPr>
          <w:p>
            <w:r>
              <w:t xml:space="preserve">Effect of speed above 50 mph on fuel economy</w:t>
            </w:r>
          </w:p>
        </w:tc>
        <w:tc>
          <w:tcPr>
            <w:tcW w:type="dxa" w:w="1500"/>
          </w:tcPr>
          <w:p>
            <w:r>
              <w:t xml:space="preserve">"each 5 mph you drive over 50 mph is like paying an additional $0.29 per gallon"; mileage "decreases rapidly" above 50 mph</w:t>
            </w:r>
          </w:p>
        </w:tc>
        <w:tc>
          <w:tcPr>
            <w:tcW w:type="dxa" w:w="1500"/>
          </w:tcPr>
          <w:p>
            <w:r>
              <w:t xml:space="preserve">U.S. DOE / fueleconomy.gov, "Save Money and Fuel by Driving Efficiently" (</w:t>
            </w:r>
            <w:hyperlink w:history="1" r:id="rIdmhn7tpq21rioa8kro82r7">
              <w:r>
                <w:rPr>
                  <w:rStyle w:val="Hyperlink"/>
                </w:rPr>
                <w:t xml:space="preserve">link</w:t>
              </w:r>
            </w:hyperlink>
            <w:r>
              <w:t xml:space="preserve">)</w:t>
            </w:r>
          </w:p>
        </w:tc>
        <w:tc>
          <w:tcPr>
            <w:tcW w:type="dxa" w:w="1500"/>
          </w:tcPr>
          <w:p>
            <w:r>
              <w:t xml:space="preserve">accessed 2026-08-20</w:t>
            </w:r>
          </w:p>
        </w:tc>
        <w:tc>
          <w:tcPr>
            <w:tcW w:type="dxa" w:w="1500"/>
          </w:tcPr>
          <w:p>
            <w:r>
              <w:t xml:space="preserve">HIGH</w:t>
            </w:r>
          </w:p>
        </w:tc>
      </w:tr>
      <w:tr>
        <w:tc>
          <w:tcPr>
            <w:tcW w:type="dxa" w:w="1500"/>
          </w:tcPr>
          <w:p>
            <w:r>
              <w:t xml:space="preserve">S3</w:t>
            </w:r>
          </w:p>
        </w:tc>
        <w:tc>
          <w:tcPr>
            <w:tcW w:type="dxa" w:w="1500"/>
          </w:tcPr>
          <w:p>
            <w:r>
              <w:t xml:space="preserve">Portland-area nonresidential arterial streets are typically posted 35–45 mph</w:t>
            </w:r>
          </w:p>
        </w:tc>
        <w:tc>
          <w:tcPr>
            <w:tcW w:type="dxa" w:w="1500"/>
          </w:tcPr>
          <w:p>
            <w:r>
              <w:t xml:space="preserve">35–45 mph</w:t>
            </w:r>
          </w:p>
        </w:tc>
        <w:tc>
          <w:tcPr>
            <w:tcW w:type="dxa" w:w="1500"/>
          </w:tcPr>
          <w:p>
            <w:r>
              <w:t xml:space="preserve">City of Portland Bureau of Transportation, "Setting Safe Speed Limits on Portland Streets" (</w:t>
            </w:r>
            <w:hyperlink w:history="1" r:id="rIdzhqipp5iux4xn0hgcxtar">
              <w:r>
                <w:rPr>
                  <w:rStyle w:val="Hyperlink"/>
                </w:rPr>
                <w:t xml:space="preserve">link</w:t>
              </w:r>
            </w:hyperlink>
            <w:r>
              <w:t xml:space="preserve">)</w:t>
            </w:r>
          </w:p>
        </w:tc>
        <w:tc>
          <w:tcPr>
            <w:tcW w:type="dxa" w:w="1500"/>
          </w:tcPr>
          <w:p>
            <w:r>
              <w:t xml:space="preserve">accessed 2026-08-20</w:t>
            </w:r>
          </w:p>
        </w:tc>
        <w:tc>
          <w:tcPr>
            <w:tcW w:type="dxa" w:w="1500"/>
          </w:tcPr>
          <w:p>
            <w:r>
              <w:t xml:space="preserve">MEDIUM</w:t>
            </w:r>
          </w:p>
        </w:tc>
      </w:tr>
      <w:tr>
        <w:tc>
          <w:tcPr>
            <w:tcW w:type="dxa" w:w="1500"/>
          </w:tcPr>
          <w:p>
            <w:r>
              <w:t xml:space="preserve">S4</w:t>
            </w:r>
          </w:p>
        </w:tc>
        <w:tc>
          <w:tcPr>
            <w:tcW w:type="dxa" w:w="1500"/>
          </w:tcPr>
          <w:p>
            <w:r>
              <w:t xml:space="preserve">Oregon's default statutory highway and interstate speed limits</w:t>
            </w:r>
          </w:p>
        </w:tc>
        <w:tc>
          <w:tcPr>
            <w:tcW w:type="dxa" w:w="1500"/>
          </w:tcPr>
          <w:p>
            <w:r>
              <w:t xml:space="preserve">Highway 55 mph; interstate/freeway 65 mph</w:t>
            </w:r>
          </w:p>
        </w:tc>
        <w:tc>
          <w:tcPr>
            <w:tcW w:type="dxa" w:w="1500"/>
          </w:tcPr>
          <w:p>
            <w:r>
              <w:t xml:space="preserve">Oregon Revised Statutes, ORS 811.111 (</w:t>
            </w:r>
            <w:hyperlink w:history="1" r:id="rIdat7hfu9ftb91pgveutbb5">
              <w:r>
                <w:rPr>
                  <w:rStyle w:val="Hyperlink"/>
                </w:rPr>
                <w:t xml:space="preserve">link</w:t>
              </w:r>
            </w:hyperlink>
            <w:r>
              <w:t xml:space="preserve">)</w:t>
            </w:r>
          </w:p>
        </w:tc>
        <w:tc>
          <w:tcPr>
            <w:tcW w:type="dxa" w:w="1500"/>
          </w:tcPr>
          <w:p>
            <w:r>
              <w:t xml:space="preserve">current 2026</w:t>
            </w:r>
          </w:p>
        </w:tc>
        <w:tc>
          <w:tcPr>
            <w:tcW w:type="dxa" w:w="1500"/>
          </w:tcPr>
          <w:p>
            <w:r>
              <w:t xml:space="preserve">HIGH</w:t>
            </w:r>
          </w:p>
        </w:tc>
      </w:tr>
      <w:tr>
        <w:tc>
          <w:tcPr>
            <w:tcW w:type="dxa" w:w="1500"/>
          </w:tcPr>
          <w:p>
            <w:r>
              <w:t xml:space="preserve">S5</w:t>
            </w:r>
          </w:p>
        </w:tc>
        <w:tc>
          <w:tcPr>
            <w:tcW w:type="dxa" w:w="1500"/>
          </w:tcPr>
          <w:p>
            <w:r>
              <w:t xml:space="preserve">Oregon speeding-violation classification by mph over the limit, including the 65+ mph exception</w:t>
            </w:r>
          </w:p>
        </w:tc>
        <w:tc>
          <w:tcPr>
            <w:tcW w:type="dxa" w:w="1500"/>
          </w:tcPr>
          <w:p>
            <w:r>
              <w:t xml:space="preserve">1–10 over = Class D (Class C if posted ≥65); 11–20 = Class C (Class B if posted ≥65); 21–30 = Class B (Class A if posted ≥65); 31+ = Class A</w:t>
            </w:r>
          </w:p>
        </w:tc>
        <w:tc>
          <w:tcPr>
            <w:tcW w:type="dxa" w:w="1500"/>
          </w:tcPr>
          <w:p>
            <w:r>
              <w:t xml:space="preserve">Oregon Revised Statutes, ORS 811.109 (</w:t>
            </w:r>
            <w:hyperlink w:history="1" r:id="rId2ndruw-4ko3cwzvdumef0">
              <w:r>
                <w:rPr>
                  <w:rStyle w:val="Hyperlink"/>
                </w:rPr>
                <w:t xml:space="preserve">link</w:t>
              </w:r>
            </w:hyperlink>
            <w:r>
              <w:t xml:space="preserve">)</w:t>
            </w:r>
          </w:p>
        </w:tc>
        <w:tc>
          <w:tcPr>
            <w:tcW w:type="dxa" w:w="1500"/>
          </w:tcPr>
          <w:p>
            <w:r>
              <w:t xml:space="preserve">current 2026</w:t>
            </w:r>
          </w:p>
        </w:tc>
        <w:tc>
          <w:tcPr>
            <w:tcW w:type="dxa" w:w="1500"/>
          </w:tcPr>
          <w:p>
            <w:r>
              <w:t xml:space="preserve">HIGH</w:t>
            </w:r>
          </w:p>
        </w:tc>
      </w:tr>
      <w:tr>
        <w:tc>
          <w:tcPr>
            <w:tcW w:type="dxa" w:w="1500"/>
          </w:tcPr>
          <w:p>
            <w:r>
              <w:t xml:space="preserve">S6</w:t>
            </w:r>
          </w:p>
        </w:tc>
        <w:tc>
          <w:tcPr>
            <w:tcW w:type="dxa" w:w="1500"/>
          </w:tcPr>
          <w:p>
            <w:r>
              <w:t xml:space="preserve">Oregon presumptive fine dollar amounts by violation class</w:t>
            </w:r>
          </w:p>
        </w:tc>
        <w:tc>
          <w:tcPr>
            <w:tcW w:type="dxa" w:w="1500"/>
          </w:tcPr>
          <w:p>
            <w:r>
              <w:t xml:space="preserve">Class A $440; Class B $265; Class C $165; Class D $115</w:t>
            </w:r>
          </w:p>
        </w:tc>
        <w:tc>
          <w:tcPr>
            <w:tcW w:type="dxa" w:w="1500"/>
          </w:tcPr>
          <w:p>
            <w:r>
              <w:t xml:space="preserve">Oregon Revised Statutes, ORS 153.019 (</w:t>
            </w:r>
            <w:hyperlink w:history="1" r:id="rId3i38ehxuc4e4zug1_uhjh">
              <w:r>
                <w:rPr>
                  <w:rStyle w:val="Hyperlink"/>
                </w:rPr>
                <w:t xml:space="preserve">link</w:t>
              </w:r>
            </w:hyperlink>
            <w:r>
              <w:t xml:space="preserve">)</w:t>
            </w:r>
          </w:p>
        </w:tc>
        <w:tc>
          <w:tcPr>
            <w:tcW w:type="dxa" w:w="1500"/>
          </w:tcPr>
          <w:p>
            <w:r>
              <w:t xml:space="preserve">in effect since April 1, 2024 (HB 4002); current 2026</w:t>
            </w:r>
          </w:p>
        </w:tc>
        <w:tc>
          <w:tcPr>
            <w:tcW w:type="dxa" w:w="1500"/>
          </w:tcPr>
          <w:p>
            <w:r>
              <w:t xml:space="preserve">HIGH</w:t>
            </w:r>
          </w:p>
        </w:tc>
      </w:tr>
      <w:tr>
        <w:tc>
          <w:tcPr>
            <w:tcW w:type="dxa" w:w="1500"/>
          </w:tcPr>
          <w:p>
            <w:r>
              <w:t xml:space="preserve">S7</w:t>
            </w:r>
          </w:p>
        </w:tc>
        <w:tc>
          <w:tcPr>
            <w:tcW w:type="dxa" w:w="1500"/>
          </w:tcPr>
          <w:p>
            <w:r>
              <w:t xml:space="preserve">National average car-insurance premium increase after one speeding ticket</w:t>
            </w:r>
          </w:p>
        </w:tc>
        <w:tc>
          <w:tcPr>
            <w:tcW w:type="dxa" w:w="1500"/>
          </w:tcPr>
          <w:p>
            <w:r>
              <w:t xml:space="preserve">~24% average nationally; mph-over-bracket severity moves the rate by &lt;1.5%; ticket COUNT drives the real jump: ~45% at 2 tickets, ~60% at 3</w:t>
            </w:r>
          </w:p>
        </w:tc>
        <w:tc>
          <w:tcPr>
            <w:tcW w:type="dxa" w:w="1500"/>
          </w:tcPr>
          <w:p>
            <w:r>
              <w:t xml:space="preserve">ValuePenguin, "Car Insurance Rate Increases with a Speeding Ticket" (</w:t>
            </w:r>
            <w:hyperlink w:history="1" r:id="rIdsi3lyvpielnh3ietvu-rj">
              <w:r>
                <w:rPr>
                  <w:rStyle w:val="Hyperlink"/>
                </w:rPr>
                <w:t xml:space="preserve">link</w:t>
              </w:r>
            </w:hyperlink>
            <w:r>
              <w:t xml:space="preserve">)</w:t>
            </w:r>
          </w:p>
        </w:tc>
        <w:tc>
          <w:tcPr>
            <w:tcW w:type="dxa" w:w="1500"/>
          </w:tcPr>
          <w:p>
            <w:r>
              <w:t xml:space="preserve">updated 2026-06-30, accessed 2026-08-20</w:t>
            </w:r>
          </w:p>
        </w:tc>
        <w:tc>
          <w:tcPr>
            <w:tcW w:type="dxa" w:w="1500"/>
          </w:tcPr>
          <w:p>
            <w:r>
              <w:t xml:space="preserve">MEDIUM</w:t>
            </w:r>
          </w:p>
        </w:tc>
      </w:tr>
      <w:tr>
        <w:tc>
          <w:tcPr>
            <w:tcW w:type="dxa" w:w="1500"/>
          </w:tcPr>
          <w:p>
            <w:r>
              <w:t xml:space="preserve">S8</w:t>
            </w:r>
          </w:p>
        </w:tc>
        <w:tc>
          <w:tcPr>
            <w:tcW w:type="dxa" w:w="1500"/>
          </w:tcPr>
          <w:p>
            <w:r>
              <w:t xml:space="preserve">Nilsson/Elvik "Power Model" relating percent speed increase to percent change in crash/injury/fatality risk</w:t>
            </w:r>
          </w:p>
        </w:tc>
        <w:tc>
          <w:tcPr>
            <w:tcW w:type="dxa" w:w="1500"/>
          </w:tcPr>
          <w:p>
            <w:r>
              <w:t xml:space="preserve">fatal-crash exponent ≈4 (Nilsson) / 4.1 (Elvik); serious-injury exponent ≈3 (Nilsson) / 2.6 (Elvik); injury-crash exponent ≈2 (Nilsson) / 1.6 (Elvik)</w:t>
            </w:r>
          </w:p>
        </w:tc>
        <w:tc>
          <w:tcPr>
            <w:tcW w:type="dxa" w:w="1500"/>
          </w:tcPr>
          <w:p>
            <w:r>
              <w:t xml:space="preserve">Federal Highway Administration, "Self-Enforcing Roadways: A Guidance Report," Ch. 2 (</w:t>
            </w:r>
            <w:hyperlink w:history="1" r:id="rIdqo25wiqhypbpwoa5gzu73">
              <w:r>
                <w:rPr>
                  <w:rStyle w:val="Hyperlink"/>
                </w:rPr>
                <w:t xml:space="preserve">link</w:t>
              </w:r>
            </w:hyperlink>
            <w:r>
              <w:t xml:space="preserve">)</w:t>
            </w:r>
          </w:p>
        </w:tc>
        <w:tc>
          <w:tcPr>
            <w:tcW w:type="dxa" w:w="1500"/>
          </w:tcPr>
          <w:p>
            <w:r>
              <w:t xml:space="preserve">FHWA-HRT-17-098, Jan. 2018, accessed 2026-08-20</w:t>
            </w:r>
          </w:p>
        </w:tc>
        <w:tc>
          <w:tcPr>
            <w:tcW w:type="dxa" w:w="1500"/>
          </w:tcPr>
          <w:p>
            <w:r>
              <w:t xml:space="preserve">HIGH</w:t>
            </w:r>
          </w:p>
        </w:tc>
      </w:tr>
      <w:tr>
        <w:tc>
          <w:tcPr>
            <w:tcW w:type="dxa" w:w="1500"/>
          </w:tcPr>
          <w:p>
            <w:r>
              <w:t xml:space="preserve">S9</w:t>
            </w:r>
          </w:p>
        </w:tc>
        <w:tc>
          <w:tcPr>
            <w:tcW w:type="dxa" w:w="1500"/>
          </w:tcPr>
          <w:p>
            <w:r>
              <w:t xml:space="preserve">Driving distances, PDX to each hospital</w:t>
            </w:r>
          </w:p>
        </w:tc>
        <w:tc>
          <w:tcPr>
            <w:tcW w:type="dxa" w:w="1500"/>
          </w:tcPr>
          <w:p>
            <w:r>
              <w:t xml:space="preserve">Randall Children's (Legacy Emanuel) 7.8 mi; Hillsboro Medical Center 34 mi; PeaceHealth Sacred Heart (Eugene) 122 mi; Columbia Memorial (Astoria) 97 mi</w:t>
            </w:r>
          </w:p>
        </w:tc>
        <w:tc>
          <w:tcPr>
            <w:tcW w:type="dxa" w:w="1500"/>
          </w:tcPr>
          <w:p>
            <w:r>
              <w:t xml:space="preserve">Aggregated route-distance data (Waze/travelmath), cross-checked against ODOT highway mileposts</w:t>
            </w:r>
          </w:p>
        </w:tc>
        <w:tc>
          <w:tcPr>
            <w:tcW w:type="dxa" w:w="1500"/>
          </w:tcPr>
          <w:p>
            <w:r>
              <w:t xml:space="preserve">accessed 2026-08-20</w:t>
            </w:r>
          </w:p>
        </w:tc>
        <w:tc>
          <w:tcPr>
            <w:tcW w:type="dxa" w:w="1500"/>
          </w:tcPr>
          <w:p>
            <w:r>
              <w:t xml:space="preserve">MEDIUM</w:t>
            </w:r>
          </w:p>
        </w:tc>
      </w:tr>
      <w:tr>
        <w:tc>
          <w:tcPr>
            <w:tcW w:type="dxa" w:w="1500"/>
          </w:tcPr>
          <w:p>
            <w:r>
              <w:t xml:space="preserve">S10</w:t>
            </w:r>
          </w:p>
        </w:tc>
        <w:tc>
          <w:tcPr>
            <w:tcW w:type="dxa" w:w="1500"/>
          </w:tcPr>
          <w:p>
            <w:r>
              <w:t xml:space="preserve">Oregon annual traffic fatalities (statewide), with speed named as a top contributing factor</w:t>
            </w:r>
          </w:p>
        </w:tc>
        <w:tc>
          <w:tcPr>
            <w:tcW w:type="dxa" w:w="1500"/>
          </w:tcPr>
          <w:p>
            <w:r>
              <w:t xml:space="preserve">539 deaths in 2024; 587 in 2023 (statewide); speeding a factor in 25% of fatal/serious-injury crashes</w:t>
            </w:r>
          </w:p>
        </w:tc>
        <w:tc>
          <w:tcPr>
            <w:tcW w:type="dxa" w:w="1500"/>
          </w:tcPr>
          <w:p>
            <w:r>
              <w:t xml:space="preserve">Oregon Department of Transportation, "Safety -- State of the System" (</w:t>
            </w:r>
            <w:hyperlink w:history="1" r:id="rId6gvcteaovqebartjckdgb">
              <w:r>
                <w:rPr>
                  <w:rStyle w:val="Hyperlink"/>
                </w:rPr>
                <w:t xml:space="preserve">link</w:t>
              </w:r>
            </w:hyperlink>
            <w:r>
              <w:t xml:space="preserve">)</w:t>
            </w:r>
          </w:p>
        </w:tc>
        <w:tc>
          <w:tcPr>
            <w:tcW w:type="dxa" w:w="1500"/>
          </w:tcPr>
          <w:p>
            <w:r>
              <w:t xml:space="preserve">2024 data, accessed 2026-08-20</w:t>
            </w:r>
          </w:p>
        </w:tc>
        <w:tc>
          <w:tcPr>
            <w:tcW w:type="dxa" w:w="1500"/>
          </w:tcPr>
          <w:p>
            <w:r>
              <w:t xml:space="preserve">HIGH</w:t>
            </w:r>
          </w:p>
        </w:tc>
      </w:tr>
      <w:tr>
        <w:tc>
          <w:tcPr>
            <w:tcW w:type="dxa" w:w="1500"/>
          </w:tcPr>
          <w:p>
            <w:r>
              <w:t xml:space="preserve">S11</w:t>
            </w:r>
          </w:p>
        </w:tc>
        <w:tc>
          <w:tcPr>
            <w:tcW w:type="dxa" w:w="1500"/>
          </w:tcPr>
          <w:p>
            <w:r>
              <w:t xml:space="preserve">Current average regular-unleaded gasoline price, Oregon</w:t>
            </w:r>
          </w:p>
        </w:tc>
        <w:tc>
          <w:tcPr>
            <w:tcW w:type="dxa" w:w="1500"/>
          </w:tcPr>
          <w:p>
            <w:r>
              <w:t xml:space="preserve">$4.7593 / gallon</w:t>
            </w:r>
          </w:p>
        </w:tc>
        <w:tc>
          <w:tcPr>
            <w:tcW w:type="dxa" w:w="1500"/>
          </w:tcPr>
          <w:p>
            <w:r>
              <w:t xml:space="preserve">AAA, "Oregon Gas Prices" (</w:t>
            </w:r>
            <w:hyperlink w:history="1" r:id="rIdn_ptni97pzerjdolydp1d">
              <w:r>
                <w:rPr>
                  <w:rStyle w:val="Hyperlink"/>
                </w:rPr>
                <w:t xml:space="preserve">link</w:t>
              </w:r>
            </w:hyperlink>
            <w:r>
              <w:t xml:space="preserve">)</w:t>
            </w:r>
          </w:p>
        </w:tc>
        <w:tc>
          <w:tcPr>
            <w:tcW w:type="dxa" w:w="1500"/>
          </w:tcPr>
          <w:p>
            <w:r>
              <w:t xml:space="preserve">2026-08-20 (live snapshot)</w:t>
            </w:r>
          </w:p>
        </w:tc>
        <w:tc>
          <w:tcPr>
            <w:tcW w:type="dxa" w:w="1500"/>
          </w:tcPr>
          <w:p>
            <w:r>
              <w:t xml:space="preserve">HIGH</w:t>
            </w:r>
          </w:p>
        </w:tc>
      </w:tr>
    </w:tbl>
    <w:p/>
    <w:p>
      <w:pPr>
        <w:pStyle w:val="Heading2"/>
        <w:spacing w:after="120" w:before="240"/>
      </w:pPr>
      <w:r>
        <w:t xml:space="preserve">Appendix H — "How To…" Math Questions To Research</w:t>
      </w:r>
    </w:p>
    <w:p>
      <w:r>
        <w:rPr>
          <w:b/>
          <w:bCs/>
        </w:rPr>
        <w:t xml:space="preserve">Vocabulary terms</w:t>
      </w:r>
    </w:p>
    <w:p>
      <w:pPr>
        <w:ind w:left="360"/>
      </w:pPr>
      <w:r>
        <w:t xml:space="preserve">- Currency</w:t>
      </w:r>
    </w:p>
    <w:p>
      <w:pPr>
        <w:ind w:left="360"/>
      </w:pPr>
      <w:r>
        <w:t xml:space="preserve">- Decimal</w:t>
      </w:r>
    </w:p>
    <w:p>
      <w:pPr>
        <w:ind w:left="360"/>
      </w:pPr>
      <w:r>
        <w:t xml:space="preserve">- Percent</w:t>
      </w:r>
    </w:p>
    <w:p>
      <w:pPr>
        <w:ind w:left="360"/>
      </w:pPr>
      <w:r>
        <w:t xml:space="preserve">- Addition</w:t>
      </w:r>
    </w:p>
    <w:p>
      <w:pPr>
        <w:ind w:left="360"/>
      </w:pPr>
      <w:r>
        <w:t xml:space="preserve">- Multiplication</w:t>
      </w:r>
    </w:p>
    <w:p>
      <w:pPr>
        <w:ind w:left="360"/>
      </w:pPr>
      <w:r>
        <w:t xml:space="preserve">- Division</w:t>
      </w:r>
    </w:p>
    <w:p>
      <w:pPr>
        <w:ind w:left="360"/>
      </w:pPr>
      <w:r>
        <w:t xml:space="preserve">- Unit</w:t>
      </w:r>
    </w:p>
    <w:p>
      <w:pPr>
        <w:ind w:left="360"/>
      </w:pPr>
      <w:r>
        <w:t xml:space="preserve">- Ratio</w:t>
      </w:r>
    </w:p>
    <w:p>
      <w:pPr>
        <w:ind w:left="360"/>
      </w:pPr>
      <w:r>
        <w:t xml:space="preserve">- Proportion</w:t>
      </w:r>
    </w:p>
    <w:p>
      <w:pPr>
        <w:ind w:left="360"/>
      </w:pPr>
      <w:r>
        <w:t xml:space="preserve">- Rounding</w:t>
      </w:r>
    </w:p>
    <w:p>
      <w:pPr>
        <w:ind w:left="360"/>
      </w:pPr>
      <w:r>
        <w:t xml:space="preserve">- Mean</w:t>
      </w:r>
    </w:p>
    <w:p>
      <w:pPr>
        <w:ind w:left="360"/>
      </w:pPr>
      <w:r>
        <w:t xml:space="preserve">- Probability</w:t>
      </w:r>
    </w:p>
    <w:p>
      <w:pPr>
        <w:ind w:left="360"/>
      </w:pPr>
      <w:r>
        <w:t xml:space="preserve">- Event</w:t>
      </w:r>
    </w:p>
    <w:p>
      <w:pPr>
        <w:ind w:left="360"/>
      </w:pPr>
      <w:r>
        <w:t xml:space="preserve">- Outcome</w:t>
      </w:r>
    </w:p>
    <w:p>
      <w:pPr>
        <w:ind w:left="360"/>
      </w:pPr>
      <w:r>
        <w:t xml:space="preserve">- Bar Graph</w:t>
      </w:r>
    </w:p>
    <w:p>
      <w:pPr>
        <w:ind w:left="360"/>
      </w:pPr>
      <w:r>
        <w:t xml:space="preserve">- Data</w:t>
      </w:r>
    </w:p>
    <w:p>
      <w:pPr>
        <w:ind w:left="360"/>
      </w:pPr>
      <w:r>
        <w:t xml:space="preserve">- Pie Chart</w:t>
      </w:r>
    </w:p>
    <w:p>
      <w:r>
        <w:rPr>
          <w:b/>
          <w:bCs/>
        </w:rPr>
        <w:t xml:space="preserve">"How to…" questions</w:t>
      </w:r>
    </w:p>
    <w:p>
      <w:pPr>
        <w:ind w:left="360"/>
      </w:pPr>
      <w:r>
        <w:t xml:space="preserve">- How to add decimal numbers</w:t>
      </w:r>
    </w:p>
    <w:p>
      <w:pPr>
        <w:ind w:left="360"/>
      </w:pPr>
      <w:r>
        <w:t xml:space="preserve">- How to subtract decimal numbers</w:t>
      </w:r>
    </w:p>
    <w:p>
      <w:pPr>
        <w:ind w:left="360"/>
      </w:pPr>
      <w:r>
        <w:t xml:space="preserve">- How to multiply decimal numbers</w:t>
      </w:r>
    </w:p>
    <w:p>
      <w:pPr>
        <w:ind w:left="360"/>
      </w:pPr>
      <w:r>
        <w:t xml:space="preserve">- How to divide decimal numbers</w:t>
      </w:r>
    </w:p>
    <w:p>
      <w:pPr>
        <w:ind w:left="360"/>
      </w:pPr>
      <w:r>
        <w:t xml:space="preserve">- How to find the percent of a number</w:t>
      </w:r>
    </w:p>
    <w:p>
      <w:pPr>
        <w:ind w:left="360"/>
      </w:pPr>
      <w:r>
        <w:t xml:space="preserve">- How to convert numbers to percents</w:t>
      </w:r>
    </w:p>
    <w:p>
      <w:pPr>
        <w:ind w:left="360"/>
      </w:pPr>
      <w:r>
        <w:t xml:space="preserve">- How to add multi-digit numbers</w:t>
      </w:r>
    </w:p>
    <w:p>
      <w:pPr>
        <w:ind w:left="360"/>
      </w:pPr>
      <w:r>
        <w:t xml:space="preserve">- How to multiply any two numbers</w:t>
      </w:r>
    </w:p>
    <w:p>
      <w:pPr>
        <w:ind w:left="360"/>
      </w:pPr>
      <w:r>
        <w:t xml:space="preserve">- How to divide a multi-digit number by a 2-digit number</w:t>
      </w:r>
    </w:p>
    <w:p>
      <w:pPr>
        <w:ind w:left="360"/>
      </w:pPr>
      <w:r>
        <w:t xml:space="preserve">- How to convert an amount from one unit to another unit</w:t>
      </w:r>
    </w:p>
    <w:p>
      <w:pPr>
        <w:ind w:left="360"/>
      </w:pPr>
      <w:r>
        <w:t xml:space="preserve">- How to find elapsed time</w:t>
      </w:r>
    </w:p>
    <w:p>
      <w:pPr>
        <w:ind w:left="360"/>
      </w:pPr>
      <w:r>
        <w:t xml:space="preserve">- How to convert between units of time</w:t>
      </w:r>
    </w:p>
    <w:p>
      <w:pPr>
        <w:ind w:left="360"/>
      </w:pPr>
      <w:r>
        <w:t xml:space="preserve">- How to round a number to a specified place value</w:t>
      </w:r>
    </w:p>
    <w:p>
      <w:pPr>
        <w:ind w:left="360"/>
      </w:pPr>
      <w:r>
        <w:t xml:space="preserve">- How to find the mean of a set of data</w:t>
      </w:r>
    </w:p>
    <w:p>
      <w:pPr>
        <w:ind w:left="360"/>
      </w:pPr>
      <w:r>
        <w:t xml:space="preserve">- How to determine the probability of a single event</w:t>
      </w:r>
    </w:p>
    <w:p>
      <w:pPr>
        <w:ind w:left="360"/>
      </w:pPr>
      <w:r>
        <w:t xml:space="preserve">- How to compare two or more values</w:t>
      </w:r>
    </w:p>
    <w:p>
      <w:pPr>
        <w:ind w:left="360"/>
      </w:pPr>
      <w:r>
        <w:t xml:space="preserve">- How to create a pie chart given a set of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pd46z8su4c95p8zrwpbp" Type="http://schemas.openxmlformats.org/officeDocument/2006/relationships/hyperlink" Target="https://fueleconomy.gov/feg/bymodel/2018_Ford_Focus.shtml" TargetMode="External"/><Relationship Id="rIdmhn7tpq21rioa8kro82r7" Type="http://schemas.openxmlformats.org/officeDocument/2006/relationships/hyperlink" Target="https://www.fueleconomy.gov/feg/driveHabits.jsp" TargetMode="External"/><Relationship Id="rIdzhqipp5iux4xn0hgcxtar" Type="http://schemas.openxmlformats.org/officeDocument/2006/relationships/hyperlink" Target="https://www.portland.gov/transportation/engineering/documents/setting-safe-speed-limits-portland-streets-1/download" TargetMode="External"/><Relationship Id="rIdat7hfu9ftb91pgveutbb5" Type="http://schemas.openxmlformats.org/officeDocument/2006/relationships/hyperlink" Target="https://oregon.public.law/statutes/ors_811.111" TargetMode="External"/><Relationship Id="rId2ndruw-4ko3cwzvdumef0" Type="http://schemas.openxmlformats.org/officeDocument/2006/relationships/hyperlink" Target="https://oregon.public.law/statutes/ors_811.109" TargetMode="External"/><Relationship Id="rId3i38ehxuc4e4zug1_uhjh" Type="http://schemas.openxmlformats.org/officeDocument/2006/relationships/hyperlink" Target="https://oregon.public.law/statutes/ors_153.019" TargetMode="External"/><Relationship Id="rIdsi3lyvpielnh3ietvu-rj" Type="http://schemas.openxmlformats.org/officeDocument/2006/relationships/hyperlink" Target="https://www.valuepenguin.com/speeding-ticket-car-insurance-cost" TargetMode="External"/><Relationship Id="rIdqo25wiqhypbpwoa5gzu73" Type="http://schemas.openxmlformats.org/officeDocument/2006/relationships/hyperlink" Target="https://www.fhwa.dot.gov/publications/research/safety/17098/003.cfm" TargetMode="External"/><Relationship Id="rId6gvcteaovqebartjckdgb" Type="http://schemas.openxmlformats.org/officeDocument/2006/relationships/hyperlink" Target="https://www.oregon.gov/odot/state-of-the-system/pages/safety.aspx" TargetMode="External"/><Relationship Id="rIdn_ptni97pzerjdolydp1d" Type="http://schemas.openxmlformats.org/officeDocument/2006/relationships/hyperlink" Target="https://gasprices.aaa.com/?state=O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2026-08-20T22:11:03.213Z</dcterms:created>
  <dcterms:modified xsi:type="dcterms:W3CDTF">2026-08-20T22:11:03.216Z</dcterms:modified>
</cp:coreProperties>
</file>

<file path=docProps/custom.xml><?xml version="1.0" encoding="utf-8"?>
<Properties xmlns="http://schemas.openxmlformats.org/officeDocument/2006/custom-properties" xmlns:vt="http://schemas.openxmlformats.org/officeDocument/2006/docPropsVTypes"/>
</file>