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rPr>
          <w:b/>
          <w:bCs/>
        </w:rPr>
        <w:t xml:space="preserve">Case Study: Player Of The Year</w:t>
      </w:r>
    </w:p>
    <w:p>
      <w:pPr>
        <w:spacing w:after="160"/>
      </w:pPr>
      <w:r>
        <w:rPr>
          <w:color w:val="5b6472"/>
          <w:sz w:val="18"/>
          <w:szCs w:val="18"/>
        </w:rPr>
        <w:t xml:space="preserve">MS | Math | Case Study | 2026 | Heroes Academy Adventure</w:t>
      </w:r>
    </w:p>
    <w:p>
      <w:pPr>
        <w:pStyle w:val="Heading1"/>
        <w:spacing w:after="140" w:before="280"/>
      </w:pPr>
      <w:r>
        <w:t xml:space="preserve">Overview</w:t>
      </w:r>
    </w:p>
    <w:p>
      <w:pPr>
        <w:spacing w:after="160"/>
      </w:pPr>
      <w:r>
        <w:t xml:space="preserve">The green room smells like hairspray and cold coffee. Renata Voss checks her phone one more time — nothing new from either committee member — then sets it face-down on the table between two laptops, each one open to a spreadsheet she has rebuilt from scratch three times tonight. Through the wall, she can hear the crowd settling into their seats, the low hum of fourteen families who flew in not knowing which of their daughters is about to be called the best volleyball player in the country. Marcus, two seats down, is still muttering about block rates. Diane hasn't looked up from her laptop in twenty minutes. Both of them handed Renata a finished formula an hour ago, confident, printed, signed. Both formulas are honest. Both are defensible. And they don't agree.</w:t>
      </w:r>
    </w:p>
    <w:p>
      <w:pPr>
        <w:spacing w:after="160"/>
      </w:pPr>
      <w:r>
        <w:t xml:space="preserve">Renata is the chair of the AVCA Player Of The Year Committee, which means the split doesn't get to stay a disagreement — in eleven minutes, a name goes on a card, and Kerri Walsh-Jennings reads it out loud to a theater full of cameras. Renata pulls both spreadsheets toward her, scrolls to the bottom row of each, and stares at the two totals sitting side by side. A stagehand leans through the doorway. "Two minutes to places." Renata doesn't answer. She's still reading.</w:t>
      </w:r>
    </w:p>
    <w:p>
      <w:pPr>
        <w:pStyle w:val="Heading1"/>
        <w:spacing w:after="140" w:before="280"/>
      </w:pPr>
      <w:r>
        <w:t xml:space="preserve">Background</w:t>
      </w:r>
    </w:p>
    <w:p>
      <w:pPr>
        <w:spacing w:after="160"/>
      </w:pPr>
      <w:r>
        <w:t xml:space="preserve">The 2027-2028 NCAA Division I Women's Volleyball season ended with the University of Wisconsin upsetting the heavily favored University of Louisville for the national championship. With the season closed, the American Volleyball Coaches Association (AVCA) runs the sport's most prestigious postseason honors. The process happens in two stages. First, a nationwide committee of coaches reviews the season and names 14 players — the best of the more than 340 Division I women's volleyball programs — to the AVCA First-Team All-American squad. The AVCA's own published materials describe this as a multi-stage process (preseason watch list, midseason additions, semifinalists, and finalists) run by a standing Awards Committee (see Appendix F). Once the 14 are set, a second body, the AVCA Player Of The Year Committee, meets to select one name from among them.</w:t>
      </w:r>
    </w:p>
    <w:p>
      <w:pPr>
        <w:spacing w:after="160"/>
      </w:pPr>
      <w:r>
        <w:t xml:space="preserve">Renata Voss chairs that second committee. Its instructions, inherited from decades of past committees, are deliberately loose: weigh the players' individual statistics, and also "weigh the quality of the teams" behind them (see Appendix F). Two of Renata's committee members took that instruction and built two different, fully-worked scoring systems from it.</w:t>
      </w:r>
    </w:p>
    <w:p>
      <w:pPr>
        <w:spacing w:after="160"/>
      </w:pPr>
      <w:r>
        <w:rPr>
          <w:b/>
          <w:bCs/>
        </w:rPr>
        <w:t xml:space="preserve">Marcus's system — the All-Purpose Production Index — </w:t>
      </w:r>
      <w:r>
        <w:t xml:space="preserve">scores all 14 finalists identically, position blind, as an unweighted average of how many standard deviations above or below the national field each player sits across five countable per-set categories: kills, aces, blocks, assists, and digs (see Appendix B, Appendix D).</w:t>
      </w:r>
    </w:p>
    <w:p>
      <w:pPr>
        <w:spacing w:after="160"/>
      </w:pPr>
      <w:r>
        <w:rPr>
          <w:b/>
          <w:bCs/>
        </w:rPr>
        <w:t xml:space="preserve">Diane's system — the Role-Weighted × Team-Success Composite — </w:t>
      </w:r>
      <w:r>
        <w:t xml:space="preserve">scores each finalist only on the categories that define excellence at her specific position, then multiplies that score by a bonus tied to how far her team ran in the national rankings (see Appendix D).</w:t>
      </w:r>
    </w:p>
    <w:p>
      <w:pPr>
        <w:spacing w:after="160"/>
      </w:pPr>
      <w:r>
        <w:t xml:space="preserve">Both systems must be run, in full, consistently, across all 14 named finalists (see Appendix A) using the same real, published national statistics and the stat definitions both committee members work from (see Appendix A, Appendix B, Appendix C). The committee cannot pick a favorite player and then choose whichever formula gets her there — it must adopt one methodology and let that methodology name the winner, whoever that turns out to be. Both formulas also rest on a short list of scenario-level design choices that a rigorous committee discloses rather than buries (see Appendix E).</w:t>
      </w:r>
    </w:p>
    <w:p>
      <w:pPr>
        <w:pStyle w:val="Heading1"/>
        <w:spacing w:after="140" w:before="280"/>
      </w:pPr>
      <w:r>
        <w:t xml:space="preserve">Dilemma</w:t>
      </w:r>
    </w:p>
    <w:p>
      <w:pPr>
        <w:spacing w:after="160"/>
      </w:pPr>
      <w:r>
        <w:t xml:space="preserve">You are Renata Voss, Chair of the AVCA Player Of The Year Committee.</w:t>
      </w:r>
    </w:p>
    <w:p>
      <w:pPr>
        <w:spacing w:after="160"/>
      </w:pPr>
      <w:r>
        <w:t xml:space="preserve">Do you:</w:t>
      </w:r>
    </w:p>
    <w:p>
      <w:pPr>
        <w:spacing w:after="160"/>
      </w:pPr>
      <w:r>
        <w:rPr>
          <w:b/>
          <w:bCs/>
        </w:rPr>
        <w:t xml:space="preserve">A.) </w:t>
      </w:r>
      <w:r>
        <w:t xml:space="preserve">Adopt Marcus's All-Purpose Production Index — under this system, Anna Stevenson (MB, Louisville) is the 2027-2028 AVCA Player Of The Year</w:t>
      </w:r>
    </w:p>
    <w:p>
      <w:pPr>
        <w:spacing w:after="160"/>
      </w:pPr>
      <w:r>
        <w:rPr>
          <w:b/>
          <w:bCs/>
        </w:rPr>
        <w:t xml:space="preserve">OR</w:t>
      </w:r>
    </w:p>
    <w:p>
      <w:pPr>
        <w:spacing w:after="160"/>
      </w:pPr>
      <w:r>
        <w:rPr>
          <w:b/>
          <w:bCs/>
        </w:rPr>
        <w:t xml:space="preserve">B.) </w:t>
      </w:r>
      <w:r>
        <w:t xml:space="preserve">Adopt Diane's Role-Weighted × Team-Success Composite — under this system, Sydney Hilley (S, Wisconsin) is the 2027-2028 AVCA Player Of The Year</w:t>
      </w:r>
    </w:p>
    <w:p>
      <w:pPr>
        <w:pStyle w:val="Heading1"/>
        <w:spacing w:after="140" w:before="280"/>
      </w:pPr>
      <w:r>
        <w:t xml:space="preserve">Challenges</w:t>
      </w:r>
    </w:p>
    <w:p>
      <w:pPr>
        <w:pStyle w:val="ListParagraph"/>
        <w:numPr>
          <w:ilvl w:val="0"/>
          <w:numId w:val="2"/>
        </w:numPr>
        <w:spacing w:after="100"/>
      </w:pPr>
      <w:r>
        <w:t xml:space="preserve">Research and find an online resource that answers one of the "how to…" questions from the case study launch. Post a link to the resource as your submission.</w:t>
      </w:r>
    </w:p>
    <w:p>
      <w:pPr>
        <w:pStyle w:val="ListParagraph"/>
        <w:numPr>
          <w:ilvl w:val="0"/>
          <w:numId w:val="2"/>
        </w:numPr>
        <w:spacing w:after="100"/>
      </w:pPr>
      <w:r>
        <w:t xml:space="preserve">Post 250 or more "excellent" words pitching a firm stance to your audience on which you would choose and why. Your pitch must include: (a) use of the “how to…” resource you researched in Challenge 1; (b) at least one original visual display of the data.</w:t>
      </w:r>
    </w:p>
    <w:p>
      <w:pPr>
        <w:pStyle w:val="ListParagraph"/>
        <w:numPr>
          <w:ilvl w:val="0"/>
          <w:numId w:val="2"/>
        </w:numPr>
        <w:spacing w:after="60"/>
      </w:pPr>
      <w:r>
        <w:t xml:space="preserve">Your pitch must include:</w:t>
      </w:r>
    </w:p>
    <w:p>
      <w:pPr>
        <w:spacing w:after="60"/>
        <w:ind w:left="500"/>
      </w:pPr>
      <w:r>
        <w:t xml:space="preserve">D1. A completed Methodology A composite table for all 14 finalists: each finalist's z-score in every one of the five production categories (Kills/Set, Aces/Set, Blocks/Set, Assists/Set, Digs/Set — scoring any category a finalist isn't nationally ranked in at z = 0), and her final average CompositeA score.</w:t>
      </w:r>
    </w:p>
    <w:p>
      <w:pPr>
        <w:spacing w:after="60"/>
        <w:ind w:left="500"/>
      </w:pPr>
      <w:r>
        <w:t xml:space="preserve">D2. A completed Methodology B composite table for all 14 finalists: each finalist's role-relevant category z-scores, her RoleZ average, her team's TeamMult value computed from the RPI formula in Appendix D, and her final CompositeB score.</w:t>
      </w:r>
    </w:p>
    <w:p>
      <w:pPr>
        <w:spacing w:after="60"/>
        <w:ind w:left="500"/>
      </w:pPr>
      <w:r>
        <w:t xml:space="preserve">D3. A force ranking of all 14 finalists, 1 through 14, under each methodology, side by side, so a reader can see exactly where the two systems agree and where they diverge.</w:t>
      </w:r>
    </w:p>
    <w:p>
      <w:pPr>
        <w:spacing w:after="60"/>
        <w:ind w:left="500"/>
      </w:pPr>
      <w:r>
        <w:t xml:space="preserve">D4. At least two original visual displays comparing the two methodologies — for example, a bar graph of all 14 finalists' CompositeA vs. CompositeB scores, or a scatter plot of each finalist's Methodology-A rank against her Methodology-B rank.</w:t>
      </w:r>
    </w:p>
    <w:p>
      <w:pPr>
        <w:spacing w:after="100"/>
        <w:ind w:left="500"/>
      </w:pPr>
      <w:r>
        <w:t xml:space="preserve">D5. A written comparison of the margin between the #1- and #2-ranked finalist under each methodology (in composite points, and as a percent gap), and what that margin implies about how close — or how decisive — each system's verdict really is.</w:t>
      </w:r>
    </w:p>
    <w:p>
      <w:pPr>
        <w:pStyle w:val="ListParagraph"/>
        <w:numPr>
          <w:ilvl w:val="0"/>
          <w:numId w:val="2"/>
        </w:numPr>
        <w:spacing w:after="100"/>
      </w:pPr>
      <w:r>
        <w:t xml:space="preserve">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100"/>
      </w:pPr>
      <w:r>
        <w:t xml:space="preserve">Participate twice or more in the Case Study discussion. If you are absent the day of a discussion post 500 "excellent" words on the questions above.</w:t>
      </w:r>
    </w:p>
    <w:p>
      <w:pPr>
        <w:pStyle w:val="Heading1"/>
        <w:spacing w:after="140" w:before="280"/>
      </w:pPr>
      <w:r>
        <w:t xml:space="preserve">Appendix A — 2027-2028 AVCA First-Team All-American Finalists: Full Season Statistics</w:t>
      </w:r>
    </w:p>
    <w:p>
      <w:pPr>
        <w:spacing w:after="160"/>
      </w:pPr>
      <w:r>
        <w:t xml:space="preserve">Every stat below is per set (or a percentage), pulled from the 2027-2028 NCAA Division I Women's Volleyball season's national statistical leaderboards. NR means the player did not rank nationally in that category — not that she scored a zero, but that the category isn't part of her role (a setter's kill total, a libero's hitting percentage). Cells marked (d) were derived by back-computing from a different leaderboard's raw counts rather than read directly off that stat's own ranked list (see Appendix E, Note 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50"/>
        <w:gridCol w:w="500"/>
        <w:gridCol w:w="1550"/>
        <w:gridCol w:w="750"/>
        <w:gridCol w:w="750"/>
        <w:gridCol w:w="800"/>
        <w:gridCol w:w="700"/>
        <w:gridCol w:w="800"/>
        <w:gridCol w:w="700"/>
        <w:gridCol w:w="800"/>
        <w:gridCol w:w="700"/>
        <w:gridCol w:w="800"/>
      </w:tblGrid>
      <w:tr>
        <w:trPr>
          <w:tblHeader/>
        </w:trPr>
        <w:tc>
          <w:tcPr>
            <w:tcW w:type="dxa" w:w="1150"/>
            <w:shd w:fill="1a3a5c" w:color="auto" w:val="clear"/>
            <w:vAlign w:val="center"/>
          </w:tcPr>
          <w:p>
            <w:r>
              <w:rPr>
                <w:b/>
                <w:bCs/>
                <w:color w:val="FFFFFF"/>
                <w:sz w:val="17"/>
                <w:szCs w:val="17"/>
              </w:rPr>
              <w:t xml:space="preserve">Player</w:t>
            </w:r>
          </w:p>
        </w:tc>
        <w:tc>
          <w:tcPr>
            <w:tcW w:type="dxa" w:w="500"/>
            <w:shd w:fill="1a3a5c" w:color="auto" w:val="clear"/>
            <w:vAlign w:val="center"/>
          </w:tcPr>
          <w:p>
            <w:r>
              <w:rPr>
                <w:b/>
                <w:bCs/>
                <w:color w:val="FFFFFF"/>
                <w:sz w:val="17"/>
                <w:szCs w:val="17"/>
              </w:rPr>
              <w:t xml:space="preserve">Pos</w:t>
            </w:r>
          </w:p>
        </w:tc>
        <w:tc>
          <w:tcPr>
            <w:tcW w:type="dxa" w:w="1550"/>
            <w:shd w:fill="1a3a5c" w:color="auto" w:val="clear"/>
            <w:vAlign w:val="center"/>
          </w:tcPr>
          <w:p>
            <w:r>
              <w:rPr>
                <w:b/>
                <w:bCs/>
                <w:color w:val="FFFFFF"/>
                <w:sz w:val="17"/>
                <w:szCs w:val="17"/>
              </w:rPr>
              <w:t xml:space="preserve">School (Conf.)</w:t>
            </w:r>
          </w:p>
        </w:tc>
        <w:tc>
          <w:tcPr>
            <w:tcW w:type="dxa" w:w="750"/>
            <w:shd w:fill="1a3a5c" w:color="auto" w:val="clear"/>
            <w:vAlign w:val="center"/>
          </w:tcPr>
          <w:p>
            <w:r>
              <w:rPr>
                <w:b/>
                <w:bCs/>
                <w:color w:val="FFFFFF"/>
                <w:sz w:val="17"/>
                <w:szCs w:val="17"/>
              </w:rPr>
              <w:t xml:space="preserve">Hit %</w:t>
            </w:r>
          </w:p>
        </w:tc>
        <w:tc>
          <w:tcPr>
            <w:tcW w:type="dxa" w:w="750"/>
            <w:shd w:fill="1a3a5c" w:color="auto" w:val="clear"/>
            <w:vAlign w:val="center"/>
          </w:tcPr>
          <w:p>
            <w:r>
              <w:rPr>
                <w:b/>
                <w:bCs/>
                <w:color w:val="FFFFFF"/>
                <w:sz w:val="17"/>
                <w:szCs w:val="17"/>
              </w:rPr>
              <w:t xml:space="preserve">Kills/Set</w:t>
            </w:r>
          </w:p>
        </w:tc>
        <w:tc>
          <w:tcPr>
            <w:tcW w:type="dxa" w:w="800"/>
            <w:shd w:fill="1a3a5c" w:color="auto" w:val="clear"/>
            <w:vAlign w:val="center"/>
          </w:tcPr>
          <w:p>
            <w:r>
              <w:rPr>
                <w:b/>
                <w:bCs/>
                <w:color w:val="FFFFFF"/>
                <w:sz w:val="17"/>
                <w:szCs w:val="17"/>
              </w:rPr>
              <w:t xml:space="preserve">Attacks/Set</w:t>
            </w:r>
          </w:p>
        </w:tc>
        <w:tc>
          <w:tcPr>
            <w:tcW w:type="dxa" w:w="700"/>
            <w:shd w:fill="1a3a5c" w:color="auto" w:val="clear"/>
            <w:vAlign w:val="center"/>
          </w:tcPr>
          <w:p>
            <w:r>
              <w:rPr>
                <w:b/>
                <w:bCs/>
                <w:color w:val="FFFFFF"/>
                <w:sz w:val="17"/>
                <w:szCs w:val="17"/>
              </w:rPr>
              <w:t xml:space="preserve">Digs/Set</w:t>
            </w:r>
          </w:p>
        </w:tc>
        <w:tc>
          <w:tcPr>
            <w:tcW w:type="dxa" w:w="800"/>
            <w:shd w:fill="1a3a5c" w:color="auto" w:val="clear"/>
            <w:vAlign w:val="center"/>
          </w:tcPr>
          <w:p>
            <w:r>
              <w:rPr>
                <w:b/>
                <w:bCs/>
                <w:color w:val="FFFFFF"/>
                <w:sz w:val="17"/>
                <w:szCs w:val="17"/>
              </w:rPr>
              <w:t xml:space="preserve">Assists/Set</w:t>
            </w:r>
          </w:p>
        </w:tc>
        <w:tc>
          <w:tcPr>
            <w:tcW w:type="dxa" w:w="700"/>
            <w:shd w:fill="1a3a5c" w:color="auto" w:val="clear"/>
            <w:vAlign w:val="center"/>
          </w:tcPr>
          <w:p>
            <w:r>
              <w:rPr>
                <w:b/>
                <w:bCs/>
                <w:color w:val="FFFFFF"/>
                <w:sz w:val="17"/>
                <w:szCs w:val="17"/>
              </w:rPr>
              <w:t xml:space="preserve">Aces/Set</w:t>
            </w:r>
          </w:p>
        </w:tc>
        <w:tc>
          <w:tcPr>
            <w:tcW w:type="dxa" w:w="800"/>
            <w:shd w:fill="1a3a5c" w:color="auto" w:val="clear"/>
            <w:vAlign w:val="center"/>
          </w:tcPr>
          <w:p>
            <w:r>
              <w:rPr>
                <w:b/>
                <w:bCs/>
                <w:color w:val="FFFFFF"/>
                <w:sz w:val="17"/>
                <w:szCs w:val="17"/>
              </w:rPr>
              <w:t xml:space="preserve">Blocks/Set</w:t>
            </w:r>
          </w:p>
        </w:tc>
        <w:tc>
          <w:tcPr>
            <w:tcW w:type="dxa" w:w="700"/>
            <w:shd w:fill="1a3a5c" w:color="auto" w:val="clear"/>
            <w:vAlign w:val="center"/>
          </w:tcPr>
          <w:p>
            <w:r>
              <w:rPr>
                <w:b/>
                <w:bCs/>
                <w:color w:val="FFFFFF"/>
                <w:sz w:val="17"/>
                <w:szCs w:val="17"/>
              </w:rPr>
              <w:t xml:space="preserve">Team RPI</w:t>
            </w:r>
          </w:p>
        </w:tc>
        <w:tc>
          <w:tcPr>
            <w:tcW w:type="dxa" w:w="800"/>
            <w:shd w:fill="1a3a5c" w:color="auto" w:val="clear"/>
            <w:vAlign w:val="center"/>
          </w:tcPr>
          <w:p>
            <w:r>
              <w:rPr>
                <w:b/>
                <w:bCs/>
                <w:color w:val="FFFFFF"/>
                <w:sz w:val="17"/>
                <w:szCs w:val="17"/>
              </w:rPr>
              <w:t xml:space="preserve">Team W-L</w:t>
            </w:r>
          </w:p>
        </w:tc>
      </w:tr>
      <w:tr>
        <w:tc>
          <w:tcPr>
            <w:tcW w:type="dxa" w:w="1150"/>
            <w:vAlign w:val="center"/>
          </w:tcPr>
          <w:p>
            <w:r>
              <w:rPr>
                <w:b w:val="false"/>
                <w:bCs w:val="false"/>
                <w:sz w:val="17"/>
                <w:szCs w:val="17"/>
              </w:rPr>
              <w:t xml:space="preserve">Betsy Torres</w:t>
            </w:r>
          </w:p>
        </w:tc>
        <w:tc>
          <w:tcPr>
            <w:tcW w:type="dxa" w:w="500"/>
            <w:vAlign w:val="center"/>
          </w:tcPr>
          <w:p>
            <w:r>
              <w:rPr>
                <w:b w:val="false"/>
                <w:bCs w:val="false"/>
                <w:sz w:val="17"/>
                <w:szCs w:val="17"/>
              </w:rPr>
              <w:t xml:space="preserve">OH</w:t>
            </w:r>
          </w:p>
        </w:tc>
        <w:tc>
          <w:tcPr>
            <w:tcW w:type="dxa" w:w="1550"/>
            <w:vAlign w:val="center"/>
          </w:tcPr>
          <w:p>
            <w:r>
              <w:rPr>
                <w:b w:val="false"/>
                <w:bCs w:val="false"/>
                <w:sz w:val="17"/>
                <w:szCs w:val="17"/>
              </w:rPr>
              <w:t xml:space="preserve">Texas (Big 12)</w:t>
            </w:r>
          </w:p>
        </w:tc>
        <w:tc>
          <w:tcPr>
            <w:tcW w:type="dxa" w:w="750"/>
            <w:vAlign w:val="center"/>
          </w:tcPr>
          <w:p>
            <w:r>
              <w:rPr>
                <w:b w:val="false"/>
                <w:bCs w:val="false"/>
                <w:sz w:val="17"/>
                <w:szCs w:val="17"/>
              </w:rPr>
              <w:t xml:space="preserve">NR</w:t>
            </w:r>
          </w:p>
        </w:tc>
        <w:tc>
          <w:tcPr>
            <w:tcW w:type="dxa" w:w="750"/>
            <w:vAlign w:val="center"/>
          </w:tcPr>
          <w:p>
            <w:r>
              <w:rPr>
                <w:b w:val="false"/>
                <w:bCs w:val="false"/>
                <w:sz w:val="17"/>
                <w:szCs w:val="17"/>
              </w:rPr>
              <w:t xml:space="preserve">3.91</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0.44</w:t>
            </w:r>
          </w:p>
        </w:tc>
        <w:tc>
          <w:tcPr>
            <w:tcW w:type="dxa" w:w="800"/>
            <w:vAlign w:val="center"/>
          </w:tcPr>
          <w:p>
            <w:r>
              <w:rPr>
                <w:b w:val="false"/>
                <w:bCs w:val="false"/>
                <w:sz w:val="17"/>
                <w:szCs w:val="17"/>
              </w:rPr>
              <w:t xml:space="preserve">0.65 (d)</w:t>
            </w:r>
          </w:p>
        </w:tc>
        <w:tc>
          <w:tcPr>
            <w:tcW w:type="dxa" w:w="700"/>
            <w:vAlign w:val="center"/>
          </w:tcPr>
          <w:p>
            <w:r>
              <w:rPr>
                <w:b w:val="false"/>
                <w:bCs w:val="false"/>
                <w:sz w:val="17"/>
                <w:szCs w:val="17"/>
              </w:rPr>
              <w:t xml:space="preserve">4</w:t>
            </w:r>
          </w:p>
        </w:tc>
        <w:tc>
          <w:tcPr>
            <w:tcW w:type="dxa" w:w="800"/>
            <w:vAlign w:val="center"/>
          </w:tcPr>
          <w:p>
            <w:r>
              <w:rPr>
                <w:b w:val="false"/>
                <w:bCs w:val="false"/>
                <w:sz w:val="17"/>
                <w:szCs w:val="17"/>
              </w:rPr>
              <w:t xml:space="preserve">27-2</w:t>
            </w:r>
          </w:p>
        </w:tc>
      </w:tr>
      <w:tr>
        <w:tc>
          <w:tcPr>
            <w:tcW w:type="dxa" w:w="1150"/>
            <w:shd w:fill="F7F9FB" w:color="auto" w:val="clear"/>
            <w:vAlign w:val="center"/>
          </w:tcPr>
          <w:p>
            <w:r>
              <w:rPr>
                <w:b w:val="false"/>
                <w:bCs w:val="false"/>
                <w:sz w:val="17"/>
                <w:szCs w:val="17"/>
              </w:rPr>
              <w:t xml:space="preserve">Nicole Peterson</w:t>
            </w:r>
          </w:p>
        </w:tc>
        <w:tc>
          <w:tcPr>
            <w:tcW w:type="dxa" w:w="500"/>
            <w:shd w:fill="F7F9FB" w:color="auto" w:val="clear"/>
            <w:vAlign w:val="center"/>
          </w:tcPr>
          <w:p>
            <w:r>
              <w:rPr>
                <w:b w:val="false"/>
                <w:bCs w:val="false"/>
                <w:sz w:val="17"/>
                <w:szCs w:val="17"/>
              </w:rPr>
              <w:t xml:space="preserve">MB</w:t>
            </w:r>
          </w:p>
        </w:tc>
        <w:tc>
          <w:tcPr>
            <w:tcW w:type="dxa" w:w="1550"/>
            <w:shd w:fill="F7F9FB" w:color="auto" w:val="clear"/>
            <w:vAlign w:val="center"/>
          </w:tcPr>
          <w:p>
            <w:r>
              <w:rPr>
                <w:b w:val="false"/>
                <w:bCs w:val="false"/>
                <w:sz w:val="17"/>
                <w:szCs w:val="17"/>
              </w:rPr>
              <w:t xml:space="preserve">Wisconsin (Big Ten)</w:t>
            </w:r>
          </w:p>
        </w:tc>
        <w:tc>
          <w:tcPr>
            <w:tcW w:type="dxa" w:w="750"/>
            <w:shd w:fill="F7F9FB" w:color="auto" w:val="clear"/>
            <w:vAlign w:val="center"/>
          </w:tcPr>
          <w:p>
            <w:r>
              <w:rPr>
                <w:b w:val="false"/>
                <w:bCs w:val="false"/>
                <w:sz w:val="17"/>
                <w:szCs w:val="17"/>
              </w:rPr>
              <w:t xml:space="preserve">0.430</w:t>
            </w:r>
          </w:p>
        </w:tc>
        <w:tc>
          <w:tcPr>
            <w:tcW w:type="dxa" w:w="750"/>
            <w:shd w:fill="F7F9FB" w:color="auto" w:val="clear"/>
            <w:vAlign w:val="center"/>
          </w:tcPr>
          <w:p>
            <w:r>
              <w:rPr>
                <w:b w:val="false"/>
                <w:bCs w:val="false"/>
                <w:sz w:val="17"/>
                <w:szCs w:val="17"/>
              </w:rPr>
              <w:t xml:space="preserve">3.41</w:t>
            </w:r>
          </w:p>
        </w:tc>
        <w:tc>
          <w:tcPr>
            <w:tcW w:type="dxa" w:w="800"/>
            <w:shd w:fill="F7F9FB" w:color="auto" w:val="clear"/>
            <w:vAlign w:val="center"/>
          </w:tcPr>
          <w:p>
            <w:r>
              <w:rPr>
                <w:b w:val="false"/>
                <w:bCs w:val="false"/>
                <w:sz w:val="17"/>
                <w:szCs w:val="17"/>
              </w:rPr>
              <w:t xml:space="preserve">6.40 (d)</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0.01 (d)</w:t>
            </w:r>
          </w:p>
        </w:tc>
        <w:tc>
          <w:tcPr>
            <w:tcW w:type="dxa" w:w="800"/>
            <w:shd w:fill="F7F9FB" w:color="auto" w:val="clear"/>
            <w:vAlign w:val="center"/>
          </w:tcPr>
          <w:p>
            <w:r>
              <w:rPr>
                <w:b w:val="false"/>
                <w:bCs w:val="false"/>
                <w:sz w:val="17"/>
                <w:szCs w:val="17"/>
              </w:rPr>
              <w:t xml:space="preserve">1.43</w:t>
            </w:r>
          </w:p>
        </w:tc>
        <w:tc>
          <w:tcPr>
            <w:tcW w:type="dxa" w:w="700"/>
            <w:shd w:fill="F7F9FB" w:color="auto" w:val="clear"/>
            <w:vAlign w:val="center"/>
          </w:tcPr>
          <w:p>
            <w:r>
              <w:rPr>
                <w:b w:val="false"/>
                <w:bCs w:val="false"/>
                <w:sz w:val="17"/>
                <w:szCs w:val="17"/>
              </w:rPr>
              <w:t xml:space="preserve">2</w:t>
            </w:r>
          </w:p>
        </w:tc>
        <w:tc>
          <w:tcPr>
            <w:tcW w:type="dxa" w:w="800"/>
            <w:shd w:fill="F7F9FB" w:color="auto" w:val="clear"/>
            <w:vAlign w:val="center"/>
          </w:tcPr>
          <w:p>
            <w:r>
              <w:rPr>
                <w:b w:val="false"/>
                <w:bCs w:val="false"/>
                <w:sz w:val="17"/>
                <w:szCs w:val="17"/>
              </w:rPr>
              <w:t xml:space="preserve">31-3</w:t>
            </w:r>
          </w:p>
        </w:tc>
      </w:tr>
      <w:tr>
        <w:tc>
          <w:tcPr>
            <w:tcW w:type="dxa" w:w="1150"/>
            <w:vAlign w:val="center"/>
          </w:tcPr>
          <w:p>
            <w:r>
              <w:rPr>
                <w:b w:val="false"/>
                <w:bCs w:val="false"/>
                <w:sz w:val="17"/>
                <w:szCs w:val="17"/>
              </w:rPr>
              <w:t xml:space="preserve">Stephanie Roberts</w:t>
            </w:r>
          </w:p>
        </w:tc>
        <w:tc>
          <w:tcPr>
            <w:tcW w:type="dxa" w:w="500"/>
            <w:vAlign w:val="center"/>
          </w:tcPr>
          <w:p>
            <w:r>
              <w:rPr>
                <w:b w:val="false"/>
                <w:bCs w:val="false"/>
                <w:sz w:val="17"/>
                <w:szCs w:val="17"/>
              </w:rPr>
              <w:t xml:space="preserve">RS</w:t>
            </w:r>
          </w:p>
        </w:tc>
        <w:tc>
          <w:tcPr>
            <w:tcW w:type="dxa" w:w="1550"/>
            <w:vAlign w:val="center"/>
          </w:tcPr>
          <w:p>
            <w:r>
              <w:rPr>
                <w:b w:val="false"/>
                <w:bCs w:val="false"/>
                <w:sz w:val="17"/>
                <w:szCs w:val="17"/>
              </w:rPr>
              <w:t xml:space="preserve">Minnesota (Big Ten)</w:t>
            </w:r>
          </w:p>
        </w:tc>
        <w:tc>
          <w:tcPr>
            <w:tcW w:type="dxa" w:w="750"/>
            <w:vAlign w:val="center"/>
          </w:tcPr>
          <w:p>
            <w:r>
              <w:rPr>
                <w:b w:val="false"/>
                <w:bCs w:val="false"/>
                <w:sz w:val="17"/>
                <w:szCs w:val="17"/>
              </w:rPr>
              <w:t xml:space="preserve">0.254 (d)</w:t>
            </w:r>
          </w:p>
        </w:tc>
        <w:tc>
          <w:tcPr>
            <w:tcW w:type="dxa" w:w="750"/>
            <w:vAlign w:val="center"/>
          </w:tcPr>
          <w:p>
            <w:r>
              <w:rPr>
                <w:b w:val="false"/>
                <w:bCs w:val="false"/>
                <w:sz w:val="17"/>
                <w:szCs w:val="17"/>
              </w:rPr>
              <w:t xml:space="preserve">4.75</w:t>
            </w:r>
          </w:p>
        </w:tc>
        <w:tc>
          <w:tcPr>
            <w:tcW w:type="dxa" w:w="800"/>
            <w:vAlign w:val="center"/>
          </w:tcPr>
          <w:p>
            <w:r>
              <w:rPr>
                <w:b w:val="false"/>
                <w:bCs w:val="false"/>
                <w:sz w:val="17"/>
                <w:szCs w:val="17"/>
              </w:rPr>
              <w:t xml:space="preserve">12.58</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0.19 (d)</w:t>
            </w:r>
          </w:p>
        </w:tc>
        <w:tc>
          <w:tcPr>
            <w:tcW w:type="dxa" w:w="800"/>
            <w:vAlign w:val="center"/>
          </w:tcPr>
          <w:p>
            <w:r>
              <w:rPr>
                <w:b w:val="false"/>
                <w:bCs w:val="false"/>
                <w:sz w:val="17"/>
                <w:szCs w:val="17"/>
              </w:rPr>
              <w:t xml:space="preserve">0.72 (d)</w:t>
            </w:r>
          </w:p>
        </w:tc>
        <w:tc>
          <w:tcPr>
            <w:tcW w:type="dxa" w:w="700"/>
            <w:vAlign w:val="center"/>
          </w:tcPr>
          <w:p>
            <w:r>
              <w:rPr>
                <w:b w:val="false"/>
                <w:bCs w:val="false"/>
                <w:sz w:val="17"/>
                <w:szCs w:val="17"/>
              </w:rPr>
              <w:t xml:space="preserve">13</w:t>
            </w:r>
          </w:p>
        </w:tc>
        <w:tc>
          <w:tcPr>
            <w:tcW w:type="dxa" w:w="800"/>
            <w:vAlign w:val="center"/>
          </w:tcPr>
          <w:p>
            <w:r>
              <w:rPr>
                <w:b w:val="false"/>
                <w:bCs w:val="false"/>
                <w:sz w:val="17"/>
                <w:szCs w:val="17"/>
              </w:rPr>
              <w:t xml:space="preserve">22-9</w:t>
            </w:r>
          </w:p>
        </w:tc>
      </w:tr>
      <w:tr>
        <w:tc>
          <w:tcPr>
            <w:tcW w:type="dxa" w:w="1150"/>
            <w:shd w:fill="F7F9FB" w:color="auto" w:val="clear"/>
            <w:vAlign w:val="center"/>
          </w:tcPr>
          <w:p>
            <w:r>
              <w:rPr>
                <w:b w:val="false"/>
                <w:bCs w:val="false"/>
                <w:sz w:val="17"/>
                <w:szCs w:val="17"/>
              </w:rPr>
              <w:t xml:space="preserve">Shawna Capellen</w:t>
            </w:r>
          </w:p>
        </w:tc>
        <w:tc>
          <w:tcPr>
            <w:tcW w:type="dxa" w:w="500"/>
            <w:shd w:fill="F7F9FB" w:color="auto" w:val="clear"/>
            <w:vAlign w:val="center"/>
          </w:tcPr>
          <w:p>
            <w:r>
              <w:rPr>
                <w:b w:val="false"/>
                <w:bCs w:val="false"/>
                <w:sz w:val="17"/>
                <w:szCs w:val="17"/>
              </w:rPr>
              <w:t xml:space="preserve">OH</w:t>
            </w:r>
          </w:p>
        </w:tc>
        <w:tc>
          <w:tcPr>
            <w:tcW w:type="dxa" w:w="1550"/>
            <w:shd w:fill="F7F9FB" w:color="auto" w:val="clear"/>
            <w:vAlign w:val="center"/>
          </w:tcPr>
          <w:p>
            <w:r>
              <w:rPr>
                <w:b w:val="false"/>
                <w:bCs w:val="false"/>
                <w:sz w:val="17"/>
                <w:szCs w:val="17"/>
              </w:rPr>
              <w:t xml:space="preserve">Utah (Pac-12)</w:t>
            </w:r>
          </w:p>
        </w:tc>
        <w:tc>
          <w:tcPr>
            <w:tcW w:type="dxa" w:w="750"/>
            <w:shd w:fill="F7F9FB" w:color="auto" w:val="clear"/>
            <w:vAlign w:val="center"/>
          </w:tcPr>
          <w:p>
            <w:r>
              <w:rPr>
                <w:b w:val="false"/>
                <w:bCs w:val="false"/>
                <w:sz w:val="17"/>
                <w:szCs w:val="17"/>
              </w:rPr>
              <w:t xml:space="preserve">0.276 (d)</w:t>
            </w:r>
          </w:p>
        </w:tc>
        <w:tc>
          <w:tcPr>
            <w:tcW w:type="dxa" w:w="750"/>
            <w:shd w:fill="F7F9FB" w:color="auto" w:val="clear"/>
            <w:vAlign w:val="center"/>
          </w:tcPr>
          <w:p>
            <w:r>
              <w:rPr>
                <w:b w:val="false"/>
                <w:bCs w:val="false"/>
                <w:sz w:val="17"/>
                <w:szCs w:val="17"/>
              </w:rPr>
              <w:t xml:space="preserve">5.19</w:t>
            </w:r>
          </w:p>
        </w:tc>
        <w:tc>
          <w:tcPr>
            <w:tcW w:type="dxa" w:w="800"/>
            <w:shd w:fill="F7F9FB" w:color="auto" w:val="clear"/>
            <w:vAlign w:val="center"/>
          </w:tcPr>
          <w:p>
            <w:r>
              <w:rPr>
                <w:b w:val="false"/>
                <w:bCs w:val="false"/>
                <w:sz w:val="17"/>
                <w:szCs w:val="17"/>
              </w:rPr>
              <w:t xml:space="preserve">12.50</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0.31 (d)</w:t>
            </w:r>
          </w:p>
        </w:tc>
        <w:tc>
          <w:tcPr>
            <w:tcW w:type="dxa" w:w="800"/>
            <w:shd w:fill="F7F9FB" w:color="auto" w:val="clear"/>
            <w:vAlign w:val="center"/>
          </w:tcPr>
          <w:p>
            <w:r>
              <w:rPr>
                <w:b w:val="false"/>
                <w:bCs w:val="false"/>
                <w:sz w:val="17"/>
                <w:szCs w:val="17"/>
              </w:rPr>
              <w:t xml:space="preserve">0.49 (d)</w:t>
            </w:r>
          </w:p>
        </w:tc>
        <w:tc>
          <w:tcPr>
            <w:tcW w:type="dxa" w:w="700"/>
            <w:shd w:fill="F7F9FB" w:color="auto" w:val="clear"/>
            <w:vAlign w:val="center"/>
          </w:tcPr>
          <w:p>
            <w:r>
              <w:rPr>
                <w:b w:val="false"/>
                <w:bCs w:val="false"/>
                <w:sz w:val="17"/>
                <w:szCs w:val="17"/>
              </w:rPr>
              <w:t xml:space="preserve">23</w:t>
            </w:r>
          </w:p>
        </w:tc>
        <w:tc>
          <w:tcPr>
            <w:tcW w:type="dxa" w:w="800"/>
            <w:shd w:fill="F7F9FB" w:color="auto" w:val="clear"/>
            <w:vAlign w:val="center"/>
          </w:tcPr>
          <w:p>
            <w:r>
              <w:rPr>
                <w:b w:val="false"/>
                <w:bCs w:val="false"/>
                <w:sz w:val="17"/>
                <w:szCs w:val="17"/>
              </w:rPr>
              <w:t xml:space="preserve">22-9</w:t>
            </w:r>
          </w:p>
        </w:tc>
      </w:tr>
      <w:tr>
        <w:tc>
          <w:tcPr>
            <w:tcW w:type="dxa" w:w="1150"/>
            <w:vAlign w:val="center"/>
          </w:tcPr>
          <w:p>
            <w:r>
              <w:rPr>
                <w:b w:val="false"/>
                <w:bCs w:val="false"/>
                <w:sz w:val="17"/>
                <w:szCs w:val="17"/>
              </w:rPr>
              <w:t xml:space="preserve">Lauren Bates</w:t>
            </w:r>
          </w:p>
        </w:tc>
        <w:tc>
          <w:tcPr>
            <w:tcW w:type="dxa" w:w="500"/>
            <w:vAlign w:val="center"/>
          </w:tcPr>
          <w:p>
            <w:r>
              <w:rPr>
                <w:b w:val="false"/>
                <w:bCs w:val="false"/>
                <w:sz w:val="17"/>
                <w:szCs w:val="17"/>
              </w:rPr>
              <w:t xml:space="preserve">L/DS</w:t>
            </w:r>
          </w:p>
        </w:tc>
        <w:tc>
          <w:tcPr>
            <w:tcW w:type="dxa" w:w="1550"/>
            <w:vAlign w:val="center"/>
          </w:tcPr>
          <w:p>
            <w:r>
              <w:rPr>
                <w:b w:val="false"/>
                <w:bCs w:val="false"/>
                <w:sz w:val="17"/>
                <w:szCs w:val="17"/>
              </w:rPr>
              <w:t xml:space="preserve">Wisconsin (Big Ten)</w:t>
            </w:r>
          </w:p>
        </w:tc>
        <w:tc>
          <w:tcPr>
            <w:tcW w:type="dxa" w:w="750"/>
            <w:vAlign w:val="center"/>
          </w:tcPr>
          <w:p>
            <w:r>
              <w:rPr>
                <w:b w:val="false"/>
                <w:bCs w:val="false"/>
                <w:sz w:val="17"/>
                <w:szCs w:val="17"/>
              </w:rPr>
              <w:t xml:space="preserve">NR</w:t>
            </w:r>
          </w:p>
        </w:tc>
        <w:tc>
          <w:tcPr>
            <w:tcW w:type="dxa" w:w="75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4.35</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2</w:t>
            </w:r>
          </w:p>
        </w:tc>
        <w:tc>
          <w:tcPr>
            <w:tcW w:type="dxa" w:w="800"/>
            <w:vAlign w:val="center"/>
          </w:tcPr>
          <w:p>
            <w:r>
              <w:rPr>
                <w:b w:val="false"/>
                <w:bCs w:val="false"/>
                <w:sz w:val="17"/>
                <w:szCs w:val="17"/>
              </w:rPr>
              <w:t xml:space="preserve">31-3</w:t>
            </w:r>
          </w:p>
        </w:tc>
      </w:tr>
      <w:tr>
        <w:tc>
          <w:tcPr>
            <w:tcW w:type="dxa" w:w="1150"/>
            <w:shd w:fill="F7F9FB" w:color="auto" w:val="clear"/>
            <w:vAlign w:val="center"/>
          </w:tcPr>
          <w:p>
            <w:r>
              <w:rPr>
                <w:b w:val="false"/>
                <w:bCs w:val="false"/>
                <w:sz w:val="17"/>
                <w:szCs w:val="17"/>
              </w:rPr>
              <w:t xml:space="preserve">Julia Bergmann</w:t>
            </w:r>
          </w:p>
        </w:tc>
        <w:tc>
          <w:tcPr>
            <w:tcW w:type="dxa" w:w="500"/>
            <w:shd w:fill="F7F9FB" w:color="auto" w:val="clear"/>
            <w:vAlign w:val="center"/>
          </w:tcPr>
          <w:p>
            <w:r>
              <w:rPr>
                <w:b w:val="false"/>
                <w:bCs w:val="false"/>
                <w:sz w:val="17"/>
                <w:szCs w:val="17"/>
              </w:rPr>
              <w:t xml:space="preserve">OH</w:t>
            </w:r>
          </w:p>
        </w:tc>
        <w:tc>
          <w:tcPr>
            <w:tcW w:type="dxa" w:w="1550"/>
            <w:shd w:fill="F7F9FB" w:color="auto" w:val="clear"/>
            <w:vAlign w:val="center"/>
          </w:tcPr>
          <w:p>
            <w:r>
              <w:rPr>
                <w:b w:val="false"/>
                <w:bCs w:val="false"/>
                <w:sz w:val="17"/>
                <w:szCs w:val="17"/>
              </w:rPr>
              <w:t xml:space="preserve">Georgia Tech (ACC)</w:t>
            </w:r>
          </w:p>
        </w:tc>
        <w:tc>
          <w:tcPr>
            <w:tcW w:type="dxa" w:w="750"/>
            <w:shd w:fill="F7F9FB" w:color="auto" w:val="clear"/>
            <w:vAlign w:val="center"/>
          </w:tcPr>
          <w:p>
            <w:r>
              <w:rPr>
                <w:b w:val="false"/>
                <w:bCs w:val="false"/>
                <w:sz w:val="17"/>
                <w:szCs w:val="17"/>
              </w:rPr>
              <w:t xml:space="preserve">0.284 (d)</w:t>
            </w:r>
          </w:p>
        </w:tc>
        <w:tc>
          <w:tcPr>
            <w:tcW w:type="dxa" w:w="750"/>
            <w:shd w:fill="F7F9FB" w:color="auto" w:val="clear"/>
            <w:vAlign w:val="center"/>
          </w:tcPr>
          <w:p>
            <w:r>
              <w:rPr>
                <w:b w:val="false"/>
                <w:bCs w:val="false"/>
                <w:sz w:val="17"/>
                <w:szCs w:val="17"/>
              </w:rPr>
              <w:t xml:space="preserve">4.44</w:t>
            </w:r>
          </w:p>
        </w:tc>
        <w:tc>
          <w:tcPr>
            <w:tcW w:type="dxa" w:w="800"/>
            <w:shd w:fill="F7F9FB" w:color="auto" w:val="clear"/>
            <w:vAlign w:val="center"/>
          </w:tcPr>
          <w:p>
            <w:r>
              <w:rPr>
                <w:b w:val="false"/>
                <w:bCs w:val="false"/>
                <w:sz w:val="17"/>
                <w:szCs w:val="17"/>
              </w:rPr>
              <w:t xml:space="preserve">9.95</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0.32 (d)</w:t>
            </w:r>
          </w:p>
        </w:tc>
        <w:tc>
          <w:tcPr>
            <w:tcW w:type="dxa" w:w="800"/>
            <w:shd w:fill="F7F9FB" w:color="auto" w:val="clear"/>
            <w:vAlign w:val="center"/>
          </w:tcPr>
          <w:p>
            <w:r>
              <w:rPr>
                <w:b w:val="false"/>
                <w:bCs w:val="false"/>
                <w:sz w:val="17"/>
                <w:szCs w:val="17"/>
              </w:rPr>
              <w:t xml:space="preserve">0.60 (d)</w:t>
            </w:r>
          </w:p>
        </w:tc>
        <w:tc>
          <w:tcPr>
            <w:tcW w:type="dxa" w:w="700"/>
            <w:shd w:fill="F7F9FB" w:color="auto" w:val="clear"/>
            <w:vAlign w:val="center"/>
          </w:tcPr>
          <w:p>
            <w:r>
              <w:rPr>
                <w:b w:val="false"/>
                <w:bCs w:val="false"/>
                <w:sz w:val="17"/>
                <w:szCs w:val="17"/>
              </w:rPr>
              <w:t xml:space="preserve">5</w:t>
            </w:r>
          </w:p>
        </w:tc>
        <w:tc>
          <w:tcPr>
            <w:tcW w:type="dxa" w:w="800"/>
            <w:shd w:fill="F7F9FB" w:color="auto" w:val="clear"/>
            <w:vAlign w:val="center"/>
          </w:tcPr>
          <w:p>
            <w:r>
              <w:rPr>
                <w:b w:val="false"/>
                <w:bCs w:val="false"/>
                <w:sz w:val="17"/>
                <w:szCs w:val="17"/>
              </w:rPr>
              <w:t xml:space="preserve">26-6</w:t>
            </w:r>
          </w:p>
        </w:tc>
      </w:tr>
      <w:tr>
        <w:tc>
          <w:tcPr>
            <w:tcW w:type="dxa" w:w="1150"/>
            <w:vAlign w:val="center"/>
          </w:tcPr>
          <w:p>
            <w:r>
              <w:rPr>
                <w:b w:val="false"/>
                <w:bCs w:val="false"/>
                <w:sz w:val="17"/>
                <w:szCs w:val="17"/>
              </w:rPr>
              <w:t xml:space="preserve">Mastana Brambilla</w:t>
            </w:r>
          </w:p>
        </w:tc>
        <w:tc>
          <w:tcPr>
            <w:tcW w:type="dxa" w:w="500"/>
            <w:vAlign w:val="center"/>
          </w:tcPr>
          <w:p>
            <w:r>
              <w:rPr>
                <w:b w:val="false"/>
                <w:bCs w:val="false"/>
                <w:sz w:val="17"/>
                <w:szCs w:val="17"/>
              </w:rPr>
              <w:t xml:space="preserve">OH</w:t>
            </w:r>
          </w:p>
        </w:tc>
        <w:tc>
          <w:tcPr>
            <w:tcW w:type="dxa" w:w="1550"/>
            <w:vAlign w:val="center"/>
          </w:tcPr>
          <w:p>
            <w:r>
              <w:rPr>
                <w:b w:val="false"/>
                <w:bCs w:val="false"/>
                <w:sz w:val="17"/>
                <w:szCs w:val="17"/>
              </w:rPr>
              <w:t xml:space="preserve">Georgia Tech (ACC)</w:t>
            </w:r>
          </w:p>
        </w:tc>
        <w:tc>
          <w:tcPr>
            <w:tcW w:type="dxa" w:w="750"/>
            <w:vAlign w:val="center"/>
          </w:tcPr>
          <w:p>
            <w:r>
              <w:rPr>
                <w:b w:val="false"/>
                <w:bCs w:val="false"/>
                <w:sz w:val="17"/>
                <w:szCs w:val="17"/>
              </w:rPr>
              <w:t xml:space="preserve">0.286 (d)</w:t>
            </w:r>
          </w:p>
        </w:tc>
        <w:tc>
          <w:tcPr>
            <w:tcW w:type="dxa" w:w="750"/>
            <w:vAlign w:val="center"/>
          </w:tcPr>
          <w:p>
            <w:r>
              <w:rPr>
                <w:b w:val="false"/>
                <w:bCs w:val="false"/>
                <w:sz w:val="17"/>
                <w:szCs w:val="17"/>
              </w:rPr>
              <w:t xml:space="preserve">4.34</w:t>
            </w:r>
          </w:p>
        </w:tc>
        <w:tc>
          <w:tcPr>
            <w:tcW w:type="dxa" w:w="800"/>
            <w:vAlign w:val="center"/>
          </w:tcPr>
          <w:p>
            <w:r>
              <w:rPr>
                <w:b w:val="false"/>
                <w:bCs w:val="false"/>
                <w:sz w:val="17"/>
                <w:szCs w:val="17"/>
              </w:rPr>
              <w:t xml:space="preserve">10.14</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0.21 (d)</w:t>
            </w:r>
          </w:p>
        </w:tc>
        <w:tc>
          <w:tcPr>
            <w:tcW w:type="dxa" w:w="800"/>
            <w:vAlign w:val="center"/>
          </w:tcPr>
          <w:p>
            <w:r>
              <w:rPr>
                <w:b w:val="false"/>
                <w:bCs w:val="false"/>
                <w:sz w:val="17"/>
                <w:szCs w:val="17"/>
              </w:rPr>
              <w:t xml:space="preserve">0.44 (d)</w:t>
            </w:r>
          </w:p>
        </w:tc>
        <w:tc>
          <w:tcPr>
            <w:tcW w:type="dxa" w:w="700"/>
            <w:vAlign w:val="center"/>
          </w:tcPr>
          <w:p>
            <w:r>
              <w:rPr>
                <w:b w:val="false"/>
                <w:bCs w:val="false"/>
                <w:sz w:val="17"/>
                <w:szCs w:val="17"/>
              </w:rPr>
              <w:t xml:space="preserve">5</w:t>
            </w:r>
          </w:p>
        </w:tc>
        <w:tc>
          <w:tcPr>
            <w:tcW w:type="dxa" w:w="800"/>
            <w:vAlign w:val="center"/>
          </w:tcPr>
          <w:p>
            <w:r>
              <w:rPr>
                <w:b w:val="false"/>
                <w:bCs w:val="false"/>
                <w:sz w:val="17"/>
                <w:szCs w:val="17"/>
              </w:rPr>
              <w:t xml:space="preserve">26-6</w:t>
            </w:r>
          </w:p>
        </w:tc>
      </w:tr>
      <w:tr>
        <w:tc>
          <w:tcPr>
            <w:tcW w:type="dxa" w:w="1150"/>
            <w:shd w:fill="F7F9FB" w:color="auto" w:val="clear"/>
            <w:vAlign w:val="center"/>
          </w:tcPr>
          <w:p>
            <w:r>
              <w:rPr>
                <w:b w:val="false"/>
                <w:bCs w:val="false"/>
                <w:sz w:val="17"/>
                <w:szCs w:val="17"/>
              </w:rPr>
              <w:t xml:space="preserve">Anna DeFluer</w:t>
            </w:r>
          </w:p>
        </w:tc>
        <w:tc>
          <w:tcPr>
            <w:tcW w:type="dxa" w:w="500"/>
            <w:shd w:fill="F7F9FB" w:color="auto" w:val="clear"/>
            <w:vAlign w:val="center"/>
          </w:tcPr>
          <w:p>
            <w:r>
              <w:rPr>
                <w:b w:val="false"/>
                <w:bCs w:val="false"/>
                <w:sz w:val="17"/>
                <w:szCs w:val="17"/>
              </w:rPr>
              <w:t xml:space="preserve">OH</w:t>
            </w:r>
          </w:p>
        </w:tc>
        <w:tc>
          <w:tcPr>
            <w:tcW w:type="dxa" w:w="1550"/>
            <w:shd w:fill="F7F9FB" w:color="auto" w:val="clear"/>
            <w:vAlign w:val="center"/>
          </w:tcPr>
          <w:p>
            <w:r>
              <w:rPr>
                <w:b w:val="false"/>
                <w:bCs w:val="false"/>
                <w:sz w:val="17"/>
                <w:szCs w:val="17"/>
              </w:rPr>
              <w:t xml:space="preserve">Louisville (ACC)</w:t>
            </w:r>
          </w:p>
        </w:tc>
        <w:tc>
          <w:tcPr>
            <w:tcW w:type="dxa" w:w="750"/>
            <w:shd w:fill="F7F9FB" w:color="auto" w:val="clear"/>
            <w:vAlign w:val="center"/>
          </w:tcPr>
          <w:p>
            <w:r>
              <w:rPr>
                <w:b w:val="false"/>
                <w:bCs w:val="false"/>
                <w:sz w:val="17"/>
                <w:szCs w:val="17"/>
              </w:rPr>
              <w:t xml:space="preserve">NR</w:t>
            </w:r>
          </w:p>
        </w:tc>
        <w:tc>
          <w:tcPr>
            <w:tcW w:type="dxa" w:w="750"/>
            <w:shd w:fill="F7F9FB" w:color="auto" w:val="clear"/>
            <w:vAlign w:val="center"/>
          </w:tcPr>
          <w:p>
            <w:r>
              <w:rPr>
                <w:b w:val="false"/>
                <w:bCs w:val="false"/>
                <w:sz w:val="17"/>
                <w:szCs w:val="17"/>
              </w:rPr>
              <w:t xml:space="preserve">3.27</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1</w:t>
            </w:r>
          </w:p>
        </w:tc>
        <w:tc>
          <w:tcPr>
            <w:tcW w:type="dxa" w:w="800"/>
            <w:shd w:fill="F7F9FB" w:color="auto" w:val="clear"/>
            <w:vAlign w:val="center"/>
          </w:tcPr>
          <w:p>
            <w:r>
              <w:rPr>
                <w:b w:val="false"/>
                <w:bCs w:val="false"/>
                <w:sz w:val="17"/>
                <w:szCs w:val="17"/>
              </w:rPr>
              <w:t xml:space="preserve">32-1</w:t>
            </w:r>
          </w:p>
        </w:tc>
      </w:tr>
      <w:tr>
        <w:tc>
          <w:tcPr>
            <w:tcW w:type="dxa" w:w="1150"/>
            <w:vAlign w:val="center"/>
          </w:tcPr>
          <w:p>
            <w:r>
              <w:rPr>
                <w:b w:val="false"/>
                <w:bCs w:val="false"/>
                <w:sz w:val="17"/>
                <w:szCs w:val="17"/>
              </w:rPr>
              <w:t xml:space="preserve">Tori Dent</w:t>
            </w:r>
          </w:p>
        </w:tc>
        <w:tc>
          <w:tcPr>
            <w:tcW w:type="dxa" w:w="500"/>
            <w:vAlign w:val="center"/>
          </w:tcPr>
          <w:p>
            <w:r>
              <w:rPr>
                <w:b w:val="false"/>
                <w:bCs w:val="false"/>
                <w:sz w:val="17"/>
                <w:szCs w:val="17"/>
              </w:rPr>
              <w:t xml:space="preserve">S</w:t>
            </w:r>
          </w:p>
        </w:tc>
        <w:tc>
          <w:tcPr>
            <w:tcW w:type="dxa" w:w="1550"/>
            <w:vAlign w:val="center"/>
          </w:tcPr>
          <w:p>
            <w:r>
              <w:rPr>
                <w:b w:val="false"/>
                <w:bCs w:val="false"/>
                <w:sz w:val="17"/>
                <w:szCs w:val="17"/>
              </w:rPr>
              <w:t xml:space="preserve">Louisville (ACC)</w:t>
            </w:r>
          </w:p>
        </w:tc>
        <w:tc>
          <w:tcPr>
            <w:tcW w:type="dxa" w:w="750"/>
            <w:vAlign w:val="center"/>
          </w:tcPr>
          <w:p>
            <w:r>
              <w:rPr>
                <w:b w:val="false"/>
                <w:bCs w:val="false"/>
                <w:sz w:val="17"/>
                <w:szCs w:val="17"/>
              </w:rPr>
              <w:t xml:space="preserve">NR</w:t>
            </w:r>
          </w:p>
        </w:tc>
        <w:tc>
          <w:tcPr>
            <w:tcW w:type="dxa" w:w="75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10.74</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1</w:t>
            </w:r>
          </w:p>
        </w:tc>
        <w:tc>
          <w:tcPr>
            <w:tcW w:type="dxa" w:w="800"/>
            <w:vAlign w:val="center"/>
          </w:tcPr>
          <w:p>
            <w:r>
              <w:rPr>
                <w:b w:val="false"/>
                <w:bCs w:val="false"/>
                <w:sz w:val="17"/>
                <w:szCs w:val="17"/>
              </w:rPr>
              <w:t xml:space="preserve">32-1</w:t>
            </w:r>
          </w:p>
        </w:tc>
      </w:tr>
      <w:tr>
        <w:tc>
          <w:tcPr>
            <w:tcW w:type="dxa" w:w="1150"/>
            <w:shd w:fill="F7F9FB" w:color="auto" w:val="clear"/>
            <w:vAlign w:val="center"/>
          </w:tcPr>
          <w:p>
            <w:r>
              <w:rPr>
                <w:b w:val="false"/>
                <w:bCs w:val="false"/>
                <w:sz w:val="17"/>
                <w:szCs w:val="17"/>
              </w:rPr>
              <w:t xml:space="preserve">Samantha Drechsel</w:t>
            </w:r>
          </w:p>
        </w:tc>
        <w:tc>
          <w:tcPr>
            <w:tcW w:type="dxa" w:w="500"/>
            <w:shd w:fill="F7F9FB" w:color="auto" w:val="clear"/>
            <w:vAlign w:val="center"/>
          </w:tcPr>
          <w:p>
            <w:r>
              <w:rPr>
                <w:b w:val="false"/>
                <w:bCs w:val="false"/>
                <w:sz w:val="17"/>
                <w:szCs w:val="17"/>
              </w:rPr>
              <w:t xml:space="preserve">OH</w:t>
            </w:r>
          </w:p>
        </w:tc>
        <w:tc>
          <w:tcPr>
            <w:tcW w:type="dxa" w:w="1550"/>
            <w:shd w:fill="F7F9FB" w:color="auto" w:val="clear"/>
            <w:vAlign w:val="center"/>
          </w:tcPr>
          <w:p>
            <w:r>
              <w:rPr>
                <w:b w:val="false"/>
                <w:bCs w:val="false"/>
                <w:sz w:val="17"/>
                <w:szCs w:val="17"/>
              </w:rPr>
              <w:t xml:space="preserve">Washington (Pac-12)</w:t>
            </w:r>
          </w:p>
        </w:tc>
        <w:tc>
          <w:tcPr>
            <w:tcW w:type="dxa" w:w="750"/>
            <w:shd w:fill="F7F9FB" w:color="auto" w:val="clear"/>
            <w:vAlign w:val="center"/>
          </w:tcPr>
          <w:p>
            <w:r>
              <w:rPr>
                <w:b w:val="false"/>
                <w:bCs w:val="false"/>
                <w:sz w:val="17"/>
                <w:szCs w:val="17"/>
              </w:rPr>
              <w:t xml:space="preserve">NR</w:t>
            </w:r>
          </w:p>
        </w:tc>
        <w:tc>
          <w:tcPr>
            <w:tcW w:type="dxa" w:w="750"/>
            <w:shd w:fill="F7F9FB" w:color="auto" w:val="clear"/>
            <w:vAlign w:val="center"/>
          </w:tcPr>
          <w:p>
            <w:r>
              <w:rPr>
                <w:b w:val="false"/>
                <w:bCs w:val="false"/>
                <w:sz w:val="17"/>
                <w:szCs w:val="17"/>
              </w:rPr>
              <w:t xml:space="preserve">3.48</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0.27 (d)</w:t>
            </w:r>
          </w:p>
        </w:tc>
        <w:tc>
          <w:tcPr>
            <w:tcW w:type="dxa" w:w="800"/>
            <w:shd w:fill="F7F9FB" w:color="auto" w:val="clear"/>
            <w:vAlign w:val="center"/>
          </w:tcPr>
          <w:p>
            <w:r>
              <w:rPr>
                <w:b w:val="false"/>
                <w:bCs w:val="false"/>
                <w:sz w:val="17"/>
                <w:szCs w:val="17"/>
              </w:rPr>
              <w:t xml:space="preserve">0.57 (d)</w:t>
            </w:r>
          </w:p>
        </w:tc>
        <w:tc>
          <w:tcPr>
            <w:tcW w:type="dxa" w:w="700"/>
            <w:shd w:fill="F7F9FB" w:color="auto" w:val="clear"/>
            <w:vAlign w:val="center"/>
          </w:tcPr>
          <w:p>
            <w:r>
              <w:rPr>
                <w:b w:val="false"/>
                <w:bCs w:val="false"/>
                <w:sz w:val="17"/>
                <w:szCs w:val="17"/>
              </w:rPr>
              <w:t xml:space="preserve">16</w:t>
            </w:r>
          </w:p>
        </w:tc>
        <w:tc>
          <w:tcPr>
            <w:tcW w:type="dxa" w:w="800"/>
            <w:shd w:fill="F7F9FB" w:color="auto" w:val="clear"/>
            <w:vAlign w:val="center"/>
          </w:tcPr>
          <w:p>
            <w:r>
              <w:rPr>
                <w:b w:val="false"/>
                <w:bCs w:val="false"/>
                <w:sz w:val="17"/>
                <w:szCs w:val="17"/>
              </w:rPr>
              <w:t xml:space="preserve">26-5</w:t>
            </w:r>
          </w:p>
        </w:tc>
      </w:tr>
      <w:tr>
        <w:tc>
          <w:tcPr>
            <w:tcW w:type="dxa" w:w="1150"/>
            <w:vAlign w:val="center"/>
          </w:tcPr>
          <w:p>
            <w:r>
              <w:rPr>
                <w:b w:val="false"/>
                <w:bCs w:val="false"/>
                <w:sz w:val="17"/>
                <w:szCs w:val="17"/>
              </w:rPr>
              <w:t xml:space="preserve">Sydney Hilley</w:t>
            </w:r>
          </w:p>
        </w:tc>
        <w:tc>
          <w:tcPr>
            <w:tcW w:type="dxa" w:w="500"/>
            <w:vAlign w:val="center"/>
          </w:tcPr>
          <w:p>
            <w:r>
              <w:rPr>
                <w:b w:val="false"/>
                <w:bCs w:val="false"/>
                <w:sz w:val="17"/>
                <w:szCs w:val="17"/>
              </w:rPr>
              <w:t xml:space="preserve">S</w:t>
            </w:r>
          </w:p>
        </w:tc>
        <w:tc>
          <w:tcPr>
            <w:tcW w:type="dxa" w:w="1550"/>
            <w:vAlign w:val="center"/>
          </w:tcPr>
          <w:p>
            <w:r>
              <w:rPr>
                <w:b w:val="false"/>
                <w:bCs w:val="false"/>
                <w:sz w:val="17"/>
                <w:szCs w:val="17"/>
              </w:rPr>
              <w:t xml:space="preserve">Wisconsin (Big Ten)</w:t>
            </w:r>
          </w:p>
        </w:tc>
        <w:tc>
          <w:tcPr>
            <w:tcW w:type="dxa" w:w="750"/>
            <w:vAlign w:val="center"/>
          </w:tcPr>
          <w:p>
            <w:r>
              <w:rPr>
                <w:b w:val="false"/>
                <w:bCs w:val="false"/>
                <w:sz w:val="17"/>
                <w:szCs w:val="17"/>
              </w:rPr>
              <w:t xml:space="preserve">NR</w:t>
            </w:r>
          </w:p>
        </w:tc>
        <w:tc>
          <w:tcPr>
            <w:tcW w:type="dxa" w:w="75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11.95</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2</w:t>
            </w:r>
          </w:p>
        </w:tc>
        <w:tc>
          <w:tcPr>
            <w:tcW w:type="dxa" w:w="800"/>
            <w:vAlign w:val="center"/>
          </w:tcPr>
          <w:p>
            <w:r>
              <w:rPr>
                <w:b w:val="false"/>
                <w:bCs w:val="false"/>
                <w:sz w:val="17"/>
                <w:szCs w:val="17"/>
              </w:rPr>
              <w:t xml:space="preserve">31-3</w:t>
            </w:r>
          </w:p>
        </w:tc>
      </w:tr>
      <w:tr>
        <w:tc>
          <w:tcPr>
            <w:tcW w:type="dxa" w:w="1150"/>
            <w:shd w:fill="F7F9FB" w:color="auto" w:val="clear"/>
            <w:vAlign w:val="center"/>
          </w:tcPr>
          <w:p>
            <w:r>
              <w:rPr>
                <w:b w:val="false"/>
                <w:bCs w:val="false"/>
                <w:sz w:val="17"/>
                <w:szCs w:val="17"/>
              </w:rPr>
              <w:t xml:space="preserve">Mac May</w:t>
            </w:r>
          </w:p>
        </w:tc>
        <w:tc>
          <w:tcPr>
            <w:tcW w:type="dxa" w:w="500"/>
            <w:shd w:fill="F7F9FB" w:color="auto" w:val="clear"/>
            <w:vAlign w:val="center"/>
          </w:tcPr>
          <w:p>
            <w:r>
              <w:rPr>
                <w:b w:val="false"/>
                <w:bCs w:val="false"/>
                <w:sz w:val="17"/>
                <w:szCs w:val="17"/>
              </w:rPr>
              <w:t xml:space="preserve">OH</w:t>
            </w:r>
          </w:p>
        </w:tc>
        <w:tc>
          <w:tcPr>
            <w:tcW w:type="dxa" w:w="1550"/>
            <w:shd w:fill="F7F9FB" w:color="auto" w:val="clear"/>
            <w:vAlign w:val="center"/>
          </w:tcPr>
          <w:p>
            <w:r>
              <w:rPr>
                <w:b w:val="false"/>
                <w:bCs w:val="false"/>
                <w:sz w:val="17"/>
                <w:szCs w:val="17"/>
              </w:rPr>
              <w:t xml:space="preserve">UCLA (Pac-12)</w:t>
            </w:r>
          </w:p>
        </w:tc>
        <w:tc>
          <w:tcPr>
            <w:tcW w:type="dxa" w:w="750"/>
            <w:shd w:fill="F7F9FB" w:color="auto" w:val="clear"/>
            <w:vAlign w:val="center"/>
          </w:tcPr>
          <w:p>
            <w:r>
              <w:rPr>
                <w:b w:val="false"/>
                <w:bCs w:val="false"/>
                <w:sz w:val="17"/>
                <w:szCs w:val="17"/>
              </w:rPr>
              <w:t xml:space="preserve">0.268 (d)</w:t>
            </w:r>
          </w:p>
        </w:tc>
        <w:tc>
          <w:tcPr>
            <w:tcW w:type="dxa" w:w="750"/>
            <w:shd w:fill="F7F9FB" w:color="auto" w:val="clear"/>
            <w:vAlign w:val="center"/>
          </w:tcPr>
          <w:p>
            <w:r>
              <w:rPr>
                <w:b w:val="false"/>
                <w:bCs w:val="false"/>
                <w:sz w:val="17"/>
                <w:szCs w:val="17"/>
              </w:rPr>
              <w:t xml:space="preserve">4.85</w:t>
            </w:r>
          </w:p>
        </w:tc>
        <w:tc>
          <w:tcPr>
            <w:tcW w:type="dxa" w:w="800"/>
            <w:shd w:fill="F7F9FB" w:color="auto" w:val="clear"/>
            <w:vAlign w:val="center"/>
          </w:tcPr>
          <w:p>
            <w:r>
              <w:rPr>
                <w:b w:val="false"/>
                <w:bCs w:val="false"/>
                <w:sz w:val="17"/>
                <w:szCs w:val="17"/>
              </w:rPr>
              <w:t xml:space="preserve">11.66</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0.39</w:t>
            </w:r>
          </w:p>
        </w:tc>
        <w:tc>
          <w:tcPr>
            <w:tcW w:type="dxa" w:w="800"/>
            <w:shd w:fill="F7F9FB" w:color="auto" w:val="clear"/>
            <w:vAlign w:val="center"/>
          </w:tcPr>
          <w:p>
            <w:r>
              <w:rPr>
                <w:b w:val="false"/>
                <w:bCs w:val="false"/>
                <w:sz w:val="17"/>
                <w:szCs w:val="17"/>
              </w:rPr>
              <w:t xml:space="preserve">0.45 (d)</w:t>
            </w:r>
          </w:p>
        </w:tc>
        <w:tc>
          <w:tcPr>
            <w:tcW w:type="dxa" w:w="700"/>
            <w:shd w:fill="F7F9FB" w:color="auto" w:val="clear"/>
            <w:vAlign w:val="center"/>
          </w:tcPr>
          <w:p>
            <w:r>
              <w:rPr>
                <w:b w:val="false"/>
                <w:bCs w:val="false"/>
                <w:sz w:val="17"/>
                <w:szCs w:val="17"/>
              </w:rPr>
              <w:t xml:space="preserve">17</w:t>
            </w:r>
          </w:p>
        </w:tc>
        <w:tc>
          <w:tcPr>
            <w:tcW w:type="dxa" w:w="800"/>
            <w:shd w:fill="F7F9FB" w:color="auto" w:val="clear"/>
            <w:vAlign w:val="center"/>
          </w:tcPr>
          <w:p>
            <w:r>
              <w:rPr>
                <w:b w:val="false"/>
                <w:bCs w:val="false"/>
                <w:sz w:val="17"/>
                <w:szCs w:val="17"/>
              </w:rPr>
              <w:t xml:space="preserve">25-6</w:t>
            </w:r>
          </w:p>
        </w:tc>
      </w:tr>
      <w:tr>
        <w:tc>
          <w:tcPr>
            <w:tcW w:type="dxa" w:w="1150"/>
            <w:vAlign w:val="center"/>
          </w:tcPr>
          <w:p>
            <w:r>
              <w:rPr>
                <w:b w:val="false"/>
                <w:bCs w:val="false"/>
                <w:sz w:val="17"/>
                <w:szCs w:val="17"/>
              </w:rPr>
              <w:t xml:space="preserve">Yossiana Pressley</w:t>
            </w:r>
          </w:p>
        </w:tc>
        <w:tc>
          <w:tcPr>
            <w:tcW w:type="dxa" w:w="500"/>
            <w:vAlign w:val="center"/>
          </w:tcPr>
          <w:p>
            <w:r>
              <w:rPr>
                <w:b w:val="false"/>
                <w:bCs w:val="false"/>
                <w:sz w:val="17"/>
                <w:szCs w:val="17"/>
              </w:rPr>
              <w:t xml:space="preserve">OH</w:t>
            </w:r>
          </w:p>
        </w:tc>
        <w:tc>
          <w:tcPr>
            <w:tcW w:type="dxa" w:w="1550"/>
            <w:vAlign w:val="center"/>
          </w:tcPr>
          <w:p>
            <w:r>
              <w:rPr>
                <w:b w:val="false"/>
                <w:bCs w:val="false"/>
                <w:sz w:val="17"/>
                <w:szCs w:val="17"/>
              </w:rPr>
              <w:t xml:space="preserve">Baylor (Big 12)</w:t>
            </w:r>
          </w:p>
        </w:tc>
        <w:tc>
          <w:tcPr>
            <w:tcW w:type="dxa" w:w="750"/>
            <w:vAlign w:val="center"/>
          </w:tcPr>
          <w:p>
            <w:r>
              <w:rPr>
                <w:b w:val="false"/>
                <w:bCs w:val="false"/>
                <w:sz w:val="17"/>
                <w:szCs w:val="17"/>
              </w:rPr>
              <w:t xml:space="preserve">0.280 (d)</w:t>
            </w:r>
          </w:p>
        </w:tc>
        <w:tc>
          <w:tcPr>
            <w:tcW w:type="dxa" w:w="750"/>
            <w:vAlign w:val="center"/>
          </w:tcPr>
          <w:p>
            <w:r>
              <w:rPr>
                <w:b w:val="false"/>
                <w:bCs w:val="false"/>
                <w:sz w:val="17"/>
                <w:szCs w:val="17"/>
              </w:rPr>
              <w:t xml:space="preserve">4.53</w:t>
            </w:r>
          </w:p>
        </w:tc>
        <w:tc>
          <w:tcPr>
            <w:tcW w:type="dxa" w:w="800"/>
            <w:vAlign w:val="center"/>
          </w:tcPr>
          <w:p>
            <w:r>
              <w:rPr>
                <w:b w:val="false"/>
                <w:bCs w:val="false"/>
                <w:sz w:val="17"/>
                <w:szCs w:val="17"/>
              </w:rPr>
              <w:t xml:space="preserve">10.37</w:t>
            </w:r>
          </w:p>
        </w:tc>
        <w:tc>
          <w:tcPr>
            <w:tcW w:type="dxa" w:w="700"/>
            <w:vAlign w:val="center"/>
          </w:tcPr>
          <w:p>
            <w:r>
              <w:rPr>
                <w:b w:val="false"/>
                <w:bCs w:val="false"/>
                <w:sz w:val="17"/>
                <w:szCs w:val="17"/>
              </w:rPr>
              <w:t xml:space="preserve">NR</w:t>
            </w:r>
          </w:p>
        </w:tc>
        <w:tc>
          <w:tcPr>
            <w:tcW w:type="dxa" w:w="800"/>
            <w:vAlign w:val="center"/>
          </w:tcPr>
          <w:p>
            <w:r>
              <w:rPr>
                <w:b w:val="false"/>
                <w:bCs w:val="false"/>
                <w:sz w:val="17"/>
                <w:szCs w:val="17"/>
              </w:rPr>
              <w:t xml:space="preserve">NR</w:t>
            </w:r>
          </w:p>
        </w:tc>
        <w:tc>
          <w:tcPr>
            <w:tcW w:type="dxa" w:w="700"/>
            <w:vAlign w:val="center"/>
          </w:tcPr>
          <w:p>
            <w:r>
              <w:rPr>
                <w:b w:val="false"/>
                <w:bCs w:val="false"/>
                <w:sz w:val="17"/>
                <w:szCs w:val="17"/>
              </w:rPr>
              <w:t xml:space="preserve">0.15 (d)</w:t>
            </w:r>
          </w:p>
        </w:tc>
        <w:tc>
          <w:tcPr>
            <w:tcW w:type="dxa" w:w="800"/>
            <w:vAlign w:val="center"/>
          </w:tcPr>
          <w:p>
            <w:r>
              <w:rPr>
                <w:b w:val="false"/>
                <w:bCs w:val="false"/>
                <w:sz w:val="17"/>
                <w:szCs w:val="17"/>
              </w:rPr>
              <w:t xml:space="preserve">0.55 (d)</w:t>
            </w:r>
          </w:p>
        </w:tc>
        <w:tc>
          <w:tcPr>
            <w:tcW w:type="dxa" w:w="700"/>
            <w:vAlign w:val="center"/>
          </w:tcPr>
          <w:p>
            <w:r>
              <w:rPr>
                <w:b w:val="false"/>
                <w:bCs w:val="false"/>
                <w:sz w:val="17"/>
                <w:szCs w:val="17"/>
              </w:rPr>
              <w:t xml:space="preserve">6</w:t>
            </w:r>
          </w:p>
        </w:tc>
        <w:tc>
          <w:tcPr>
            <w:tcW w:type="dxa" w:w="800"/>
            <w:vAlign w:val="center"/>
          </w:tcPr>
          <w:p>
            <w:r>
              <w:rPr>
                <w:b w:val="false"/>
                <w:bCs w:val="false"/>
                <w:sz w:val="17"/>
                <w:szCs w:val="17"/>
              </w:rPr>
              <w:t xml:space="preserve">22-6</w:t>
            </w:r>
          </w:p>
        </w:tc>
      </w:tr>
      <w:tr>
        <w:tc>
          <w:tcPr>
            <w:tcW w:type="dxa" w:w="1150"/>
            <w:shd w:fill="F7F9FB" w:color="auto" w:val="clear"/>
            <w:vAlign w:val="center"/>
          </w:tcPr>
          <w:p>
            <w:r>
              <w:rPr>
                <w:b w:val="false"/>
                <w:bCs w:val="false"/>
                <w:sz w:val="17"/>
                <w:szCs w:val="17"/>
              </w:rPr>
              <w:t xml:space="preserve">Anna Stevenson</w:t>
            </w:r>
          </w:p>
        </w:tc>
        <w:tc>
          <w:tcPr>
            <w:tcW w:type="dxa" w:w="500"/>
            <w:shd w:fill="F7F9FB" w:color="auto" w:val="clear"/>
            <w:vAlign w:val="center"/>
          </w:tcPr>
          <w:p>
            <w:r>
              <w:rPr>
                <w:b w:val="false"/>
                <w:bCs w:val="false"/>
                <w:sz w:val="17"/>
                <w:szCs w:val="17"/>
              </w:rPr>
              <w:t xml:space="preserve">MB</w:t>
            </w:r>
          </w:p>
        </w:tc>
        <w:tc>
          <w:tcPr>
            <w:tcW w:type="dxa" w:w="1550"/>
            <w:shd w:fill="F7F9FB" w:color="auto" w:val="clear"/>
            <w:vAlign w:val="center"/>
          </w:tcPr>
          <w:p>
            <w:r>
              <w:rPr>
                <w:b w:val="false"/>
                <w:bCs w:val="false"/>
                <w:sz w:val="17"/>
                <w:szCs w:val="17"/>
              </w:rPr>
              <w:t xml:space="preserve">Louisville (ACC)</w:t>
            </w:r>
          </w:p>
        </w:tc>
        <w:tc>
          <w:tcPr>
            <w:tcW w:type="dxa" w:w="750"/>
            <w:shd w:fill="F7F9FB" w:color="auto" w:val="clear"/>
            <w:vAlign w:val="center"/>
          </w:tcPr>
          <w:p>
            <w:r>
              <w:rPr>
                <w:b w:val="false"/>
                <w:bCs w:val="false"/>
                <w:sz w:val="17"/>
                <w:szCs w:val="17"/>
              </w:rPr>
              <w:t xml:space="preserve">0.427</w:t>
            </w:r>
          </w:p>
        </w:tc>
        <w:tc>
          <w:tcPr>
            <w:tcW w:type="dxa" w:w="750"/>
            <w:shd w:fill="F7F9FB" w:color="auto" w:val="clear"/>
            <w:vAlign w:val="center"/>
          </w:tcPr>
          <w:p>
            <w:r>
              <w:rPr>
                <w:b w:val="false"/>
                <w:bCs w:val="false"/>
                <w:sz w:val="17"/>
                <w:szCs w:val="17"/>
              </w:rPr>
              <w:t xml:space="preserve">2.79</w:t>
            </w:r>
          </w:p>
        </w:tc>
        <w:tc>
          <w:tcPr>
            <w:tcW w:type="dxa" w:w="800"/>
            <w:shd w:fill="F7F9FB" w:color="auto" w:val="clear"/>
            <w:vAlign w:val="center"/>
          </w:tcPr>
          <w:p>
            <w:r>
              <w:rPr>
                <w:b w:val="false"/>
                <w:bCs w:val="false"/>
                <w:sz w:val="17"/>
                <w:szCs w:val="17"/>
              </w:rPr>
              <w:t xml:space="preserve">5.23 (d)</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NR</w:t>
            </w:r>
          </w:p>
        </w:tc>
        <w:tc>
          <w:tcPr>
            <w:tcW w:type="dxa" w:w="700"/>
            <w:shd w:fill="F7F9FB" w:color="auto" w:val="clear"/>
            <w:vAlign w:val="center"/>
          </w:tcPr>
          <w:p>
            <w:r>
              <w:rPr>
                <w:b w:val="false"/>
                <w:bCs w:val="false"/>
                <w:sz w:val="17"/>
                <w:szCs w:val="17"/>
              </w:rPr>
              <w:t xml:space="preserve">NR</w:t>
            </w:r>
          </w:p>
        </w:tc>
        <w:tc>
          <w:tcPr>
            <w:tcW w:type="dxa" w:w="800"/>
            <w:shd w:fill="F7F9FB" w:color="auto" w:val="clear"/>
            <w:vAlign w:val="center"/>
          </w:tcPr>
          <w:p>
            <w:r>
              <w:rPr>
                <w:b w:val="false"/>
                <w:bCs w:val="false"/>
                <w:sz w:val="17"/>
                <w:szCs w:val="17"/>
              </w:rPr>
              <w:t xml:space="preserve">1.35</w:t>
            </w:r>
          </w:p>
        </w:tc>
        <w:tc>
          <w:tcPr>
            <w:tcW w:type="dxa" w:w="700"/>
            <w:shd w:fill="F7F9FB" w:color="auto" w:val="clear"/>
            <w:vAlign w:val="center"/>
          </w:tcPr>
          <w:p>
            <w:r>
              <w:rPr>
                <w:b w:val="false"/>
                <w:bCs w:val="false"/>
                <w:sz w:val="17"/>
                <w:szCs w:val="17"/>
              </w:rPr>
              <w:t xml:space="preserve">1</w:t>
            </w:r>
          </w:p>
        </w:tc>
        <w:tc>
          <w:tcPr>
            <w:tcW w:type="dxa" w:w="800"/>
            <w:shd w:fill="F7F9FB" w:color="auto" w:val="clear"/>
            <w:vAlign w:val="center"/>
          </w:tcPr>
          <w:p>
            <w:r>
              <w:rPr>
                <w:b w:val="false"/>
                <w:bCs w:val="false"/>
                <w:sz w:val="17"/>
                <w:szCs w:val="17"/>
              </w:rPr>
              <w:t xml:space="preserve">32-1</w:t>
            </w:r>
          </w:p>
        </w:tc>
      </w:tr>
    </w:tbl>
    <w:p>
      <w:pPr>
        <w:spacing w:after="160"/>
      </w:pPr>
      <w:r>
        <w:rPr>
          <w:i/>
          <w:iCs/>
          <w:sz w:val="18"/>
          <w:szCs w:val="18"/>
        </w:rPr>
        <w:t xml:space="preserve">Sets played and Points/Set are provided in the accompanying data workbook for completeness but are not used by either proposed formula — deciding what to ignore is part of the work.</w:t>
      </w:r>
    </w:p>
    <w:p>
      <w:pPr>
        <w:spacing w:after="160"/>
      </w:pPr>
      <w:r>
        <w:rPr>
          <w:color w:val="5b6472"/>
          <w:sz w:val="16"/>
          <w:szCs w:val="16"/>
        </w:rPr>
        <w:t xml:space="preserve">Source: 2027-2028 NCAA Division I Women's Volleyball Statistics.xlsx, 9-tab national statistical leaderboard (Hitting %, Kills/Set, Blocks/Set, Assists/Set, Points/Set, Digs/Set, Aces/Set, Attacks/Set, and Season Final Team RPI Rankings tabs), provided with the case materials.</w:t>
      </w:r>
    </w:p>
    <w:p>
      <w:pPr>
        <w:pStyle w:val="Heading1"/>
        <w:spacing w:after="140" w:before="280"/>
      </w:pPr>
      <w:r>
        <w:t xml:space="preserve">Appendix B — National Reference Population (for computing z-scores)</w:t>
      </w:r>
    </w:p>
    <w:p>
      <w:pPr>
        <w:spacing w:after="160"/>
      </w:pPr>
      <w:r>
        <w:t xml:space="preserve">Both proposed methodologies compare each finalist to the national field. The table below is the mean and standard deviation of each stat, computed across every player who appeared on that stat's own national ranked leaderboard (not just the 14 finalists) — the honest "how does this player compare to the field" baseline both committee members agreed to use.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500"/>
      </w:tblGrid>
      <w:tr>
        <w:trPr>
          <w:tblHeader/>
        </w:trPr>
        <w:tc>
          <w:tcPr>
            <w:tcW w:type="dxa" w:w="2600"/>
            <w:shd w:fill="1a3a5c" w:color="auto" w:val="clear"/>
            <w:vAlign w:val="center"/>
          </w:tcPr>
          <w:p>
            <w:r>
              <w:rPr>
                <w:b/>
                <w:bCs/>
                <w:color w:val="FFFFFF"/>
                <w:sz w:val="17"/>
                <w:szCs w:val="17"/>
              </w:rPr>
              <w:t xml:space="preserve">Category</w:t>
            </w:r>
          </w:p>
        </w:tc>
        <w:tc>
          <w:tcPr>
            <w:tcW w:type="dxa" w:w="2200"/>
            <w:shd w:fill="1a3a5c" w:color="auto" w:val="clear"/>
            <w:vAlign w:val="center"/>
          </w:tcPr>
          <w:p>
            <w:r>
              <w:rPr>
                <w:b/>
                <w:bCs/>
                <w:color w:val="FFFFFF"/>
                <w:sz w:val="17"/>
                <w:szCs w:val="17"/>
              </w:rPr>
              <w:t xml:space="preserve">National Mean</w:t>
            </w:r>
          </w:p>
        </w:tc>
        <w:tc>
          <w:tcPr>
            <w:tcW w:type="dxa" w:w="2200"/>
            <w:shd w:fill="1a3a5c" w:color="auto" w:val="clear"/>
            <w:vAlign w:val="center"/>
          </w:tcPr>
          <w:p>
            <w:r>
              <w:rPr>
                <w:b/>
                <w:bCs/>
                <w:color w:val="FFFFFF"/>
                <w:sz w:val="17"/>
                <w:szCs w:val="17"/>
              </w:rPr>
              <w:t xml:space="preserve">National SD</w:t>
            </w:r>
          </w:p>
        </w:tc>
        <w:tc>
          <w:tcPr>
            <w:tcW w:type="dxa" w:w="2500"/>
            <w:shd w:fill="1a3a5c" w:color="auto" w:val="clear"/>
            <w:vAlign w:val="center"/>
          </w:tcPr>
          <w:p>
            <w:r>
              <w:rPr>
                <w:b/>
                <w:bCs/>
                <w:color w:val="FFFFFF"/>
                <w:sz w:val="17"/>
                <w:szCs w:val="17"/>
              </w:rPr>
              <w:t xml:space="preserve">n (players ranked)</w:t>
            </w:r>
          </w:p>
        </w:tc>
      </w:tr>
      <w:tr>
        <w:tc>
          <w:tcPr>
            <w:tcW w:type="dxa" w:w="2600"/>
            <w:vAlign w:val="center"/>
          </w:tcPr>
          <w:p>
            <w:r>
              <w:rPr>
                <w:b w:val="false"/>
                <w:bCs w:val="false"/>
                <w:sz w:val="17"/>
                <w:szCs w:val="17"/>
              </w:rPr>
              <w:t xml:space="preserve">Hitting %</w:t>
            </w:r>
          </w:p>
        </w:tc>
        <w:tc>
          <w:tcPr>
            <w:tcW w:type="dxa" w:w="2200"/>
            <w:vAlign w:val="center"/>
          </w:tcPr>
          <w:p>
            <w:r>
              <w:rPr>
                <w:b w:val="false"/>
                <w:bCs w:val="false"/>
                <w:sz w:val="17"/>
                <w:szCs w:val="17"/>
              </w:rPr>
              <w:t xml:space="preserve">0.356</w:t>
            </w:r>
          </w:p>
        </w:tc>
        <w:tc>
          <w:tcPr>
            <w:tcW w:type="dxa" w:w="2200"/>
            <w:vAlign w:val="center"/>
          </w:tcPr>
          <w:p>
            <w:r>
              <w:rPr>
                <w:b w:val="false"/>
                <w:bCs w:val="false"/>
                <w:sz w:val="17"/>
                <w:szCs w:val="17"/>
              </w:rPr>
              <w:t xml:space="preserve">0.033</w:t>
            </w:r>
          </w:p>
        </w:tc>
        <w:tc>
          <w:tcPr>
            <w:tcW w:type="dxa" w:w="2500"/>
            <w:vAlign w:val="center"/>
          </w:tcPr>
          <w:p>
            <w:r>
              <w:rPr>
                <w:b w:val="false"/>
                <w:bCs w:val="false"/>
                <w:sz w:val="17"/>
                <w:szCs w:val="17"/>
              </w:rPr>
              <w:t xml:space="preserve">150</w:t>
            </w:r>
          </w:p>
        </w:tc>
      </w:tr>
      <w:tr>
        <w:tc>
          <w:tcPr>
            <w:tcW w:type="dxa" w:w="2600"/>
            <w:shd w:fill="F7F9FB" w:color="auto" w:val="clear"/>
            <w:vAlign w:val="center"/>
          </w:tcPr>
          <w:p>
            <w:r>
              <w:rPr>
                <w:b w:val="false"/>
                <w:bCs w:val="false"/>
                <w:sz w:val="17"/>
                <w:szCs w:val="17"/>
              </w:rPr>
              <w:t xml:space="preserve">Kills/Set</w:t>
            </w:r>
          </w:p>
        </w:tc>
        <w:tc>
          <w:tcPr>
            <w:tcW w:type="dxa" w:w="2200"/>
            <w:shd w:fill="F7F9FB" w:color="auto" w:val="clear"/>
            <w:vAlign w:val="center"/>
          </w:tcPr>
          <w:p>
            <w:r>
              <w:rPr>
                <w:b w:val="false"/>
                <w:bCs w:val="false"/>
                <w:sz w:val="17"/>
                <w:szCs w:val="17"/>
              </w:rPr>
              <w:t xml:space="preserve">2.333</w:t>
            </w:r>
          </w:p>
        </w:tc>
        <w:tc>
          <w:tcPr>
            <w:tcW w:type="dxa" w:w="2200"/>
            <w:shd w:fill="F7F9FB" w:color="auto" w:val="clear"/>
            <w:vAlign w:val="center"/>
          </w:tcPr>
          <w:p>
            <w:r>
              <w:rPr>
                <w:b w:val="false"/>
                <w:bCs w:val="false"/>
                <w:sz w:val="17"/>
                <w:szCs w:val="17"/>
              </w:rPr>
              <w:t xml:space="preserve">0.784</w:t>
            </w:r>
          </w:p>
        </w:tc>
        <w:tc>
          <w:tcPr>
            <w:tcW w:type="dxa" w:w="2500"/>
            <w:shd w:fill="F7F9FB" w:color="auto" w:val="clear"/>
            <w:vAlign w:val="center"/>
          </w:tcPr>
          <w:p>
            <w:r>
              <w:rPr>
                <w:b w:val="false"/>
                <w:bCs w:val="false"/>
                <w:sz w:val="17"/>
                <w:szCs w:val="17"/>
              </w:rPr>
              <w:t xml:space="preserve">1,500</w:t>
            </w:r>
          </w:p>
        </w:tc>
      </w:tr>
      <w:tr>
        <w:tc>
          <w:tcPr>
            <w:tcW w:type="dxa" w:w="2600"/>
            <w:vAlign w:val="center"/>
          </w:tcPr>
          <w:p>
            <w:r>
              <w:rPr>
                <w:b w:val="false"/>
                <w:bCs w:val="false"/>
                <w:sz w:val="17"/>
                <w:szCs w:val="17"/>
              </w:rPr>
              <w:t xml:space="preserve">Blocks/Set</w:t>
            </w:r>
          </w:p>
        </w:tc>
        <w:tc>
          <w:tcPr>
            <w:tcW w:type="dxa" w:w="2200"/>
            <w:vAlign w:val="center"/>
          </w:tcPr>
          <w:p>
            <w:r>
              <w:rPr>
                <w:b w:val="false"/>
                <w:bCs w:val="false"/>
                <w:sz w:val="17"/>
                <w:szCs w:val="17"/>
              </w:rPr>
              <w:t xml:space="preserve">1.084</w:t>
            </w:r>
          </w:p>
        </w:tc>
        <w:tc>
          <w:tcPr>
            <w:tcW w:type="dxa" w:w="2200"/>
            <w:vAlign w:val="center"/>
          </w:tcPr>
          <w:p>
            <w:r>
              <w:rPr>
                <w:b w:val="false"/>
                <w:bCs w:val="false"/>
                <w:sz w:val="17"/>
                <w:szCs w:val="17"/>
              </w:rPr>
              <w:t xml:space="preserve">0.130</w:t>
            </w:r>
          </w:p>
        </w:tc>
        <w:tc>
          <w:tcPr>
            <w:tcW w:type="dxa" w:w="2500"/>
            <w:vAlign w:val="center"/>
          </w:tcPr>
          <w:p>
            <w:r>
              <w:rPr>
                <w:b w:val="false"/>
                <w:bCs w:val="false"/>
                <w:sz w:val="17"/>
                <w:szCs w:val="17"/>
              </w:rPr>
              <w:t xml:space="preserve">301</w:t>
            </w:r>
          </w:p>
        </w:tc>
      </w:tr>
      <w:tr>
        <w:tc>
          <w:tcPr>
            <w:tcW w:type="dxa" w:w="2600"/>
            <w:shd w:fill="F7F9FB" w:color="auto" w:val="clear"/>
            <w:vAlign w:val="center"/>
          </w:tcPr>
          <w:p>
            <w:r>
              <w:rPr>
                <w:b w:val="false"/>
                <w:bCs w:val="false"/>
                <w:sz w:val="17"/>
                <w:szCs w:val="17"/>
              </w:rPr>
              <w:t xml:space="preserve">Assists/Set</w:t>
            </w:r>
          </w:p>
        </w:tc>
        <w:tc>
          <w:tcPr>
            <w:tcW w:type="dxa" w:w="2200"/>
            <w:shd w:fill="F7F9FB" w:color="auto" w:val="clear"/>
            <w:vAlign w:val="center"/>
          </w:tcPr>
          <w:p>
            <w:r>
              <w:rPr>
                <w:b w:val="false"/>
                <w:bCs w:val="false"/>
                <w:sz w:val="17"/>
                <w:szCs w:val="17"/>
              </w:rPr>
              <w:t xml:space="preserve">9.997</w:t>
            </w:r>
          </w:p>
        </w:tc>
        <w:tc>
          <w:tcPr>
            <w:tcW w:type="dxa" w:w="2200"/>
            <w:shd w:fill="F7F9FB" w:color="auto" w:val="clear"/>
            <w:vAlign w:val="center"/>
          </w:tcPr>
          <w:p>
            <w:r>
              <w:rPr>
                <w:b w:val="false"/>
                <w:bCs w:val="false"/>
                <w:sz w:val="17"/>
                <w:szCs w:val="17"/>
              </w:rPr>
              <w:t xml:space="preserve">0.756</w:t>
            </w:r>
          </w:p>
        </w:tc>
        <w:tc>
          <w:tcPr>
            <w:tcW w:type="dxa" w:w="2500"/>
            <w:shd w:fill="F7F9FB" w:color="auto" w:val="clear"/>
            <w:vAlign w:val="center"/>
          </w:tcPr>
          <w:p>
            <w:r>
              <w:rPr>
                <w:b w:val="false"/>
                <w:bCs w:val="false"/>
                <w:sz w:val="17"/>
                <w:szCs w:val="17"/>
              </w:rPr>
              <w:t xml:space="preserve">150</w:t>
            </w:r>
          </w:p>
        </w:tc>
      </w:tr>
      <w:tr>
        <w:tc>
          <w:tcPr>
            <w:tcW w:type="dxa" w:w="2600"/>
            <w:vAlign w:val="center"/>
          </w:tcPr>
          <w:p>
            <w:r>
              <w:rPr>
                <w:b w:val="false"/>
                <w:bCs w:val="false"/>
                <w:sz w:val="17"/>
                <w:szCs w:val="17"/>
              </w:rPr>
              <w:t xml:space="preserve">Digs/Set</w:t>
            </w:r>
          </w:p>
        </w:tc>
        <w:tc>
          <w:tcPr>
            <w:tcW w:type="dxa" w:w="2200"/>
            <w:vAlign w:val="center"/>
          </w:tcPr>
          <w:p>
            <w:r>
              <w:rPr>
                <w:b w:val="false"/>
                <w:bCs w:val="false"/>
                <w:sz w:val="17"/>
                <w:szCs w:val="17"/>
              </w:rPr>
              <w:t xml:space="preserve">4.617</w:t>
            </w:r>
          </w:p>
        </w:tc>
        <w:tc>
          <w:tcPr>
            <w:tcW w:type="dxa" w:w="2200"/>
            <w:vAlign w:val="center"/>
          </w:tcPr>
          <w:p>
            <w:r>
              <w:rPr>
                <w:b w:val="false"/>
                <w:bCs w:val="false"/>
                <w:sz w:val="17"/>
                <w:szCs w:val="17"/>
              </w:rPr>
              <w:t xml:space="preserve">0.426</w:t>
            </w:r>
          </w:p>
        </w:tc>
        <w:tc>
          <w:tcPr>
            <w:tcW w:type="dxa" w:w="2500"/>
            <w:vAlign w:val="center"/>
          </w:tcPr>
          <w:p>
            <w:r>
              <w:rPr>
                <w:b w:val="false"/>
                <w:bCs w:val="false"/>
                <w:sz w:val="17"/>
                <w:szCs w:val="17"/>
              </w:rPr>
              <w:t xml:space="preserve">150</w:t>
            </w:r>
          </w:p>
        </w:tc>
      </w:tr>
      <w:tr>
        <w:tc>
          <w:tcPr>
            <w:tcW w:type="dxa" w:w="2600"/>
            <w:shd w:fill="F7F9FB" w:color="auto" w:val="clear"/>
            <w:vAlign w:val="center"/>
          </w:tcPr>
          <w:p>
            <w:r>
              <w:rPr>
                <w:b w:val="false"/>
                <w:bCs w:val="false"/>
                <w:sz w:val="17"/>
                <w:szCs w:val="17"/>
              </w:rPr>
              <w:t xml:space="preserve">Aces/Set</w:t>
            </w:r>
          </w:p>
        </w:tc>
        <w:tc>
          <w:tcPr>
            <w:tcW w:type="dxa" w:w="2200"/>
            <w:shd w:fill="F7F9FB" w:color="auto" w:val="clear"/>
            <w:vAlign w:val="center"/>
          </w:tcPr>
          <w:p>
            <w:r>
              <w:rPr>
                <w:b w:val="false"/>
                <w:bCs w:val="false"/>
                <w:sz w:val="17"/>
                <w:szCs w:val="17"/>
              </w:rPr>
              <w:t xml:space="preserve">0.405</w:t>
            </w:r>
          </w:p>
        </w:tc>
        <w:tc>
          <w:tcPr>
            <w:tcW w:type="dxa" w:w="2200"/>
            <w:shd w:fill="F7F9FB" w:color="auto" w:val="clear"/>
            <w:vAlign w:val="center"/>
          </w:tcPr>
          <w:p>
            <w:r>
              <w:rPr>
                <w:b w:val="false"/>
                <w:bCs w:val="false"/>
                <w:sz w:val="17"/>
                <w:szCs w:val="17"/>
              </w:rPr>
              <w:t xml:space="preserve">0.061</w:t>
            </w:r>
          </w:p>
        </w:tc>
        <w:tc>
          <w:tcPr>
            <w:tcW w:type="dxa" w:w="2500"/>
            <w:shd w:fill="F7F9FB" w:color="auto" w:val="clear"/>
            <w:vAlign w:val="center"/>
          </w:tcPr>
          <w:p>
            <w:r>
              <w:rPr>
                <w:b w:val="false"/>
                <w:bCs w:val="false"/>
                <w:sz w:val="17"/>
                <w:szCs w:val="17"/>
              </w:rPr>
              <w:t xml:space="preserve">150</w:t>
            </w:r>
          </w:p>
        </w:tc>
      </w:tr>
      <w:tr>
        <w:tc>
          <w:tcPr>
            <w:tcW w:type="dxa" w:w="2600"/>
            <w:vAlign w:val="center"/>
          </w:tcPr>
          <w:p>
            <w:r>
              <w:rPr>
                <w:b w:val="false"/>
                <w:bCs w:val="false"/>
                <w:sz w:val="17"/>
                <w:szCs w:val="17"/>
              </w:rPr>
              <w:t xml:space="preserve">Attacks/Set</w:t>
            </w:r>
          </w:p>
        </w:tc>
        <w:tc>
          <w:tcPr>
            <w:tcW w:type="dxa" w:w="2200"/>
            <w:vAlign w:val="center"/>
          </w:tcPr>
          <w:p>
            <w:r>
              <w:rPr>
                <w:b w:val="false"/>
                <w:bCs w:val="false"/>
                <w:sz w:val="17"/>
                <w:szCs w:val="17"/>
              </w:rPr>
              <w:t xml:space="preserve">10.844</w:t>
            </w:r>
          </w:p>
        </w:tc>
        <w:tc>
          <w:tcPr>
            <w:tcW w:type="dxa" w:w="2200"/>
            <w:vAlign w:val="center"/>
          </w:tcPr>
          <w:p>
            <w:r>
              <w:rPr>
                <w:b w:val="false"/>
                <w:bCs w:val="false"/>
                <w:sz w:val="17"/>
                <w:szCs w:val="17"/>
              </w:rPr>
              <w:t xml:space="preserve">0.925</w:t>
            </w:r>
          </w:p>
        </w:tc>
        <w:tc>
          <w:tcPr>
            <w:tcW w:type="dxa" w:w="2500"/>
            <w:vAlign w:val="center"/>
          </w:tcPr>
          <w:p>
            <w:r>
              <w:rPr>
                <w:b w:val="false"/>
                <w:bCs w:val="false"/>
                <w:sz w:val="17"/>
                <w:szCs w:val="17"/>
              </w:rPr>
              <w:t xml:space="preserve">150</w:t>
            </w:r>
          </w:p>
        </w:tc>
      </w:tr>
    </w:tbl>
    <w:p>
      <w:pPr>
        <w:spacing w:after="160"/>
      </w:pPr>
      <w:r>
        <w:rPr>
          <w:b w:val="false"/>
          <w:bCs w:val="false"/>
        </w:rPr>
        <w:t xml:space="preserve">z-score formula (used identically by both methodologies for every category they touch):</w:t>
      </w:r>
    </w:p>
    <w:p>
      <w:pPr>
        <w:spacing w:after="160"/>
      </w:pPr>
      <w:r>
        <w:rPr>
          <w:rFonts w:ascii="Courier New" w:cs="Courier New" w:eastAsia="Courier New" w:hAnsi="Courier New"/>
        </w:rPr>
        <w:t xml:space="preserve">z(player's value) = (player's value − national mean) / national SD</w:t>
      </w:r>
    </w:p>
    <w:p>
      <w:pPr>
        <w:spacing w:after="160"/>
      </w:pPr>
      <w:r>
        <w:rPr>
          <w:color w:val="5b6472"/>
          <w:sz w:val="16"/>
          <w:szCs w:val="16"/>
        </w:rPr>
        <w:t xml:space="preserve">Source: derived from the same national leaderboard tabs cited in Appendix A. Note that each leaderboard is itself only the top 150-1,500 nationally ranked players in that category (an already-elite subpopulation, not the full ~5,000-plus D-I roster) — see Appendix E, Note 2.</w:t>
      </w:r>
    </w:p>
    <w:p>
      <w:pPr>
        <w:pStyle w:val="Heading1"/>
        <w:spacing w:after="140" w:before="280"/>
      </w:pPr>
      <w:r>
        <w:t xml:space="preserve">Appendix C — Volleyball Statistics Glossary</w:t>
      </w:r>
    </w:p>
    <w:p>
      <w:pPr>
        <w:spacing w:after="160"/>
      </w:pPr>
      <w:r>
        <w:t xml:space="preserve">Definitions below are reproduced from the AVCA National Volleyball Statistics Manual (the same public glossary AVCA-affiliated broadcasts and stat sheets use).</w:t>
      </w:r>
    </w:p>
    <w:p>
      <w:pPr>
        <w:pStyle w:val="ListParagraph"/>
        <w:numPr>
          <w:ilvl w:val="0"/>
          <w:numId w:val="2"/>
        </w:numPr>
        <w:spacing w:after="80"/>
      </w:pPr>
      <w:r>
        <w:t xml:space="preserve">Kill — awarded any time a player's attack is unreturnable by the opposition, or leads directly to a blocking error by the opposition; results in a point or side-out.</w:t>
      </w:r>
    </w:p>
    <w:p>
      <w:pPr>
        <w:pStyle w:val="ListParagraph"/>
        <w:numPr>
          <w:ilvl w:val="0"/>
          <w:numId w:val="2"/>
        </w:numPr>
        <w:spacing w:after="80"/>
      </w:pPr>
      <w:r>
        <w:t xml:space="preserve">Attack Attempt — any ball played over the net in a genuine attempt to score a point or side-out (spiked, tipped, or hit overhead).</w:t>
      </w:r>
    </w:p>
    <w:p>
      <w:pPr>
        <w:pStyle w:val="ListParagraph"/>
        <w:numPr>
          <w:ilvl w:val="0"/>
          <w:numId w:val="2"/>
        </w:numPr>
        <w:spacing w:after="80"/>
      </w:pPr>
      <w:r>
        <w:t xml:space="preserve">Hitting Efficiency (Hitting %) — (Kills − Errors) / Total Attack Attempts. Compared on a similar scale to a batting average; a mark over .300 is considered elite.</w:t>
      </w:r>
    </w:p>
    <w:p>
      <w:pPr>
        <w:pStyle w:val="ListParagraph"/>
        <w:numPr>
          <w:ilvl w:val="0"/>
          <w:numId w:val="2"/>
        </w:numPr>
        <w:spacing w:after="80"/>
      </w:pPr>
      <w:r>
        <w:t xml:space="preserve">Ace — a serve that results directly in a point (untouched, unplayable, or the receiving team is caught out of rotation).</w:t>
      </w:r>
    </w:p>
    <w:p>
      <w:pPr>
        <w:pStyle w:val="ListParagraph"/>
        <w:numPr>
          <w:ilvl w:val="0"/>
          <w:numId w:val="2"/>
        </w:numPr>
        <w:spacing w:after="80"/>
      </w:pPr>
      <w:r>
        <w:t xml:space="preserve">Block — awarded whenever a player (alone or with a teammate) blocks the ball into the opponent's court, leading directly to a point or side-out. A Block Assist is credited to every player involved in a multi-player block; a Block Solo is one player alone.</w:t>
      </w:r>
    </w:p>
    <w:p>
      <w:pPr>
        <w:pStyle w:val="ListParagraph"/>
        <w:numPr>
          <w:ilvl w:val="0"/>
          <w:numId w:val="2"/>
        </w:numPr>
        <w:spacing w:after="80"/>
      </w:pPr>
      <w:r>
        <w:t xml:space="preserve">Assist — awarded whenever a player passes or sets the ball to a teammate who then attacks it for a Kill (not for any other outcome).</w:t>
      </w:r>
    </w:p>
    <w:p>
      <w:pPr>
        <w:pStyle w:val="ListParagraph"/>
        <w:numPr>
          <w:ilvl w:val="0"/>
          <w:numId w:val="2"/>
        </w:numPr>
        <w:spacing w:after="80"/>
      </w:pPr>
      <w:r>
        <w:t xml:space="preserve">Dig — awarded whenever a player passes a ball that the opposition has attacked, and keeps it in play.</w:t>
      </w:r>
    </w:p>
    <w:p>
      <w:pPr>
        <w:spacing w:after="160"/>
      </w:pPr>
      <w:r>
        <w:rPr>
          <w:color w:val="5b6472"/>
          <w:sz w:val="16"/>
          <w:szCs w:val="16"/>
        </w:rPr>
        <w:t xml:space="preserve">Source: Stat_Definitions.pdf, AVCA National Volleyball Statistics Manual excerpt, provided with the case materials (also published at avca.org).</w:t>
      </w:r>
    </w:p>
    <w:p>
      <w:pPr>
        <w:pStyle w:val="Heading1"/>
        <w:spacing w:after="140" w:before="280"/>
      </w:pPr>
      <w:r>
        <w:t xml:space="preserve">Appendix D — The Two Proposed Scoring Methodologies</w:t>
      </w:r>
    </w:p>
    <w:p>
      <w:pPr>
        <w:spacing w:after="160"/>
      </w:pPr>
      <w:r>
        <w:rPr>
          <w:b/>
          <w:bCs/>
          <w:sz w:val="22"/>
          <w:szCs w:val="22"/>
        </w:rPr>
        <w:t xml:space="preserve">Methodology A — Marcus's "All-Purpose Production Index"</w:t>
      </w:r>
    </w:p>
    <w:p>
      <w:pPr>
        <w:spacing w:after="160"/>
      </w:pPr>
      <w:r>
        <w:t xml:space="preserve">Score every finalist identically, position blind, across the same five per-set categories every rally can generate: Kills, Aces, Blocks, Assists, Digs. Convert each to a z-score against the national field (Appendix B), then average the five z-scores with equal weight. If a finalist isn't nationally ranked in a category, that category is scored at league average (z = 0) rather than penalized — see Appendix E, Note 1 for why.</w:t>
      </w:r>
    </w:p>
    <w:p>
      <w:pPr>
        <w:spacing w:after="160"/>
      </w:pPr>
      <w:r>
        <w:rPr>
          <w:rFonts w:ascii="Courier New" w:cs="Courier New" w:eastAsia="Courier New" w:hAnsi="Courier New"/>
          <w:sz w:val="18"/>
          <w:szCs w:val="18"/>
        </w:rPr>
        <w:t xml:space="preserve">CompositeA(player) = mean( z(Kills/Set), z(Aces/Set), z(Blocks/Set), z(Assists/Set), z(Digs/Set) ), where any category the player isn't nationally ranked in contributes z = 0</w:t>
      </w:r>
    </w:p>
    <w:p>
      <w:pPr>
        <w:spacing w:after="160"/>
      </w:pPr>
      <w:r>
        <w:rPr>
          <w:b/>
          <w:bCs/>
          <w:sz w:val="22"/>
          <w:szCs w:val="22"/>
        </w:rPr>
        <w:t xml:space="preserve">Methodology B — Diane's "Role-Weighted × Team-Success Composite"</w:t>
      </w:r>
    </w:p>
    <w:p>
      <w:pPr>
        <w:spacing w:after="160"/>
      </w:pPr>
      <w:r>
        <w:t xml:space="preserve">Score each finalist only on the categories that define excellence at her position, then multiply by a team-success factor tied to her team's final national RPI rank.</w:t>
      </w:r>
    </w:p>
    <w:p>
      <w:pPr>
        <w:spacing w:after="160"/>
      </w:pPr>
      <w:r>
        <w:t xml:space="preserve">Role-relevant categories, by position: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rPr>
          <w:tblHeader/>
        </w:trPr>
        <w:tc>
          <w:tcPr>
            <w:tcW w:type="dxa" w:w="3200"/>
            <w:shd w:fill="1a3a5c" w:color="auto" w:val="clear"/>
            <w:vAlign w:val="center"/>
          </w:tcPr>
          <w:p>
            <w:r>
              <w:rPr>
                <w:b/>
                <w:bCs/>
                <w:color w:val="FFFFFF"/>
                <w:sz w:val="17"/>
                <w:szCs w:val="17"/>
              </w:rPr>
              <w:t xml:space="preserve">Position</w:t>
            </w:r>
          </w:p>
        </w:tc>
        <w:tc>
          <w:tcPr>
            <w:tcW w:type="dxa" w:w="5400"/>
            <w:shd w:fill="1a3a5c" w:color="auto" w:val="clear"/>
            <w:vAlign w:val="center"/>
          </w:tcPr>
          <w:p>
            <w:r>
              <w:rPr>
                <w:b/>
                <w:bCs/>
                <w:color w:val="FFFFFF"/>
                <w:sz w:val="17"/>
                <w:szCs w:val="17"/>
              </w:rPr>
              <w:t xml:space="preserve">Categories scored</w:t>
            </w:r>
          </w:p>
        </w:tc>
      </w:tr>
      <w:tr>
        <w:tc>
          <w:tcPr>
            <w:tcW w:type="dxa" w:w="3200"/>
            <w:vAlign w:val="center"/>
          </w:tcPr>
          <w:p>
            <w:r>
              <w:rPr>
                <w:b w:val="false"/>
                <w:bCs w:val="false"/>
                <w:sz w:val="17"/>
                <w:szCs w:val="17"/>
              </w:rPr>
              <w:t xml:space="preserve">OH / RS (pin hitters)</w:t>
            </w:r>
          </w:p>
        </w:tc>
        <w:tc>
          <w:tcPr>
            <w:tcW w:type="dxa" w:w="5400"/>
            <w:vAlign w:val="center"/>
          </w:tcPr>
          <w:p>
            <w:r>
              <w:rPr>
                <w:b w:val="false"/>
                <w:bCs w:val="false"/>
                <w:sz w:val="17"/>
                <w:szCs w:val="17"/>
              </w:rPr>
              <w:t xml:space="preserve">Kills/Set, Hitting %, Aces/Set</w:t>
            </w:r>
          </w:p>
        </w:tc>
      </w:tr>
      <w:tr>
        <w:tc>
          <w:tcPr>
            <w:tcW w:type="dxa" w:w="3200"/>
            <w:shd w:fill="F7F9FB" w:color="auto" w:val="clear"/>
            <w:vAlign w:val="center"/>
          </w:tcPr>
          <w:p>
            <w:r>
              <w:rPr>
                <w:b w:val="false"/>
                <w:bCs w:val="false"/>
                <w:sz w:val="17"/>
                <w:szCs w:val="17"/>
              </w:rPr>
              <w:t xml:space="preserve">MB (middle blocker)</w:t>
            </w:r>
          </w:p>
        </w:tc>
        <w:tc>
          <w:tcPr>
            <w:tcW w:type="dxa" w:w="5400"/>
            <w:shd w:fill="F7F9FB" w:color="auto" w:val="clear"/>
            <w:vAlign w:val="center"/>
          </w:tcPr>
          <w:p>
            <w:r>
              <w:rPr>
                <w:b w:val="false"/>
                <w:bCs w:val="false"/>
                <w:sz w:val="17"/>
                <w:szCs w:val="17"/>
              </w:rPr>
              <w:t xml:space="preserve">Blocks/Set, Hitting %, Kills/Set</w:t>
            </w:r>
          </w:p>
        </w:tc>
      </w:tr>
      <w:tr>
        <w:tc>
          <w:tcPr>
            <w:tcW w:type="dxa" w:w="3200"/>
            <w:vAlign w:val="center"/>
          </w:tcPr>
          <w:p>
            <w:r>
              <w:rPr>
                <w:b w:val="false"/>
                <w:bCs w:val="false"/>
                <w:sz w:val="17"/>
                <w:szCs w:val="17"/>
              </w:rPr>
              <w:t xml:space="preserve">S (setter)</w:t>
            </w:r>
          </w:p>
        </w:tc>
        <w:tc>
          <w:tcPr>
            <w:tcW w:type="dxa" w:w="5400"/>
            <w:vAlign w:val="center"/>
          </w:tcPr>
          <w:p>
            <w:r>
              <w:rPr>
                <w:b w:val="false"/>
                <w:bCs w:val="false"/>
                <w:sz w:val="17"/>
                <w:szCs w:val="17"/>
              </w:rPr>
              <w:t xml:space="preserve">Assists/Set</w:t>
            </w:r>
          </w:p>
        </w:tc>
      </w:tr>
      <w:tr>
        <w:tc>
          <w:tcPr>
            <w:tcW w:type="dxa" w:w="3200"/>
            <w:shd w:fill="F7F9FB" w:color="auto" w:val="clear"/>
            <w:vAlign w:val="center"/>
          </w:tcPr>
          <w:p>
            <w:r>
              <w:rPr>
                <w:b w:val="false"/>
                <w:bCs w:val="false"/>
                <w:sz w:val="17"/>
                <w:szCs w:val="17"/>
              </w:rPr>
              <w:t xml:space="preserve">L/DS (libero / defensive specialist)</w:t>
            </w:r>
          </w:p>
        </w:tc>
        <w:tc>
          <w:tcPr>
            <w:tcW w:type="dxa" w:w="5400"/>
            <w:shd w:fill="F7F9FB" w:color="auto" w:val="clear"/>
            <w:vAlign w:val="center"/>
          </w:tcPr>
          <w:p>
            <w:r>
              <w:rPr>
                <w:b w:val="false"/>
                <w:bCs w:val="false"/>
                <w:sz w:val="17"/>
                <w:szCs w:val="17"/>
              </w:rPr>
              <w:t xml:space="preserve">Digs/Set</w:t>
            </w:r>
          </w:p>
        </w:tc>
      </w:tr>
    </w:tbl>
    <w:p>
      <w:pPr>
        <w:spacing w:after="160"/>
      </w:pPr>
      <w:r>
        <w:t xml:space="preserve">Team-success multiplier, based on the team's final-season RPI rank (out of roughly 340 Division I programs; see Appendix A for each finalist's Team RPI):</w:t>
      </w:r>
    </w:p>
    <w:p>
      <w:pPr>
        <w:spacing w:after="160"/>
      </w:pPr>
      <w:r>
        <w:rPr>
          <w:rFonts w:ascii="Courier New" w:cs="Courier New" w:eastAsia="Courier New" w:hAnsi="Courier New"/>
          <w:sz w:val="18"/>
          <w:szCs w:val="18"/>
        </w:rPr>
        <w:t xml:space="preserve">RoleZ(player) = mean( z(category) for each category in that player's role-category list )</w:t>
      </w:r>
    </w:p>
    <w:p>
      <w:pPr>
        <w:spacing w:after="160"/>
      </w:pPr>
      <w:r>
        <w:rPr>
          <w:rFonts w:ascii="Courier New" w:cs="Courier New" w:eastAsia="Courier New" w:hAnsi="Courier New"/>
          <w:sz w:val="18"/>
          <w:szCs w:val="18"/>
        </w:rPr>
        <w:t xml:space="preserve">TeamMult(RPI) = 1 + 0.5 × (1 − (RPI − 1) / 49)     if RPI ≤ 50</w:t>
      </w:r>
    </w:p>
    <w:p>
      <w:pPr>
        <w:spacing w:after="160"/>
      </w:pPr>
      <w:r>
        <w:rPr>
          <w:rFonts w:ascii="Courier New" w:cs="Courier New" w:eastAsia="Courier New" w:hAnsi="Courier New"/>
          <w:sz w:val="18"/>
          <w:szCs w:val="18"/>
        </w:rPr>
        <w:t xml:space="preserve">TeamMult(RPI) = 1.0                                  if RPI &gt; 50</w:t>
      </w:r>
    </w:p>
    <w:p>
      <w:pPr>
        <w:spacing w:after="160"/>
      </w:pPr>
      <w:r>
        <w:rPr>
          <w:rFonts w:ascii="Courier New" w:cs="Courier New" w:eastAsia="Courier New" w:hAnsi="Courier New"/>
          <w:sz w:val="18"/>
          <w:szCs w:val="18"/>
        </w:rPr>
        <w:t xml:space="preserve">CompositeB(player) = RoleZ(player) × TeamMult(Team RPI)</w:t>
      </w:r>
    </w:p>
    <w:p>
      <w:pPr>
        <w:spacing w:after="160"/>
      </w:pPr>
      <w:r>
        <w:t xml:space="preserve">For example, the nation's #1-RPI team's players receive the maximum +50% bonus (TeamMult = 1.50); a team ranked exactly 50th receives no bonus at all (TeamMult = 1.00); a team ranked outside the top 50 also receives no bonus.</w:t>
      </w:r>
    </w:p>
    <w:p>
      <w:pPr>
        <w:pStyle w:val="Heading1"/>
        <w:spacing w:after="140" w:before="280"/>
      </w:pPr>
      <w:r>
        <w:t xml:space="preserve">Appendix E — Modeling Assumptions</w:t>
      </w:r>
    </w:p>
    <w:p>
      <w:pPr>
        <w:spacing w:after="160"/>
      </w:pPr>
      <w:r>
        <w:t xml:space="preserve">Every real formula still requires a few scenario-level design choices. Both are stated here, with the reasoning behind them — not their effect on the outcome. Both are worth stress-testing: try flexing each one by ±50% and see whether your recommendation changes.</w:t>
      </w:r>
    </w:p>
    <w:p>
      <w:pPr>
        <w:spacing w:after="160"/>
      </w:pPr>
      <w:r>
        <w:rPr>
          <w:b/>
          <w:bCs/>
        </w:rPr>
        <w:t xml:space="preserve">Note 1 — the z = 0 convention (both methodologies). </w:t>
      </w:r>
      <w:r>
        <w:t xml:space="preserve">A finalist who isn't nationally ranked in a category is scored at league average (z = 0) for that category, not penalized as if she failed at it. The reasoning: a setter's missing kill total reflects "this isn't her job," not "she attempted kills and scored zero." Scoring it as a hard zero would systematically punish every specialist position (setters, liberos) purely for not doing something outside their role. This convention applies identically under Methodology B when one of a player's own role categories (Appendix D's table) is unranked for her — for example, Betsy Torres (OH) has no ranked Hit%, one of the three OH/RS role categories, and scores z = 0 for it under Methodology B just as she would under Methodology A. Some of the "not nationally ranked" cells in Appendix A were still recoverable by back-computing from raw counts in a different leaderboard tab rather than that stat's own ranked list (marked (d)) — those are real, derived numbers, not assumptions.</w:t>
      </w:r>
    </w:p>
    <w:p>
      <w:pPr>
        <w:spacing w:after="160"/>
      </w:pPr>
      <w:r>
        <w:rPr>
          <w:b/>
          <w:bCs/>
        </w:rPr>
        <w:t xml:space="preserve">Note 2 — the national reference population (both methodologies). </w:t>
      </w:r>
      <w:r>
        <w:t xml:space="preserve">The mean/SD baseline in Appendix B is computed only from each stat's own national leaderboard (the top 150-1,500 ranked players), not the full D-I field of roughly 5,000-plus players. This is the only publicly published national ranking data available, and using it as "the field" is a reasonable modeling choice — but it means a z-score of 0 represents "average among an already elite subset," not "average among every D-I player."</w:t>
      </w:r>
    </w:p>
    <w:p>
      <w:pPr>
        <w:spacing w:after="160"/>
      </w:pPr>
      <w:r>
        <w:rPr>
          <w:b/>
          <w:bCs/>
        </w:rPr>
        <w:t xml:space="preserve">Note 3 — the team-success multiplier curve (Methodology B). </w:t>
      </w:r>
      <w:r>
        <w:t xml:space="preserve">The specific shape of TeamMult(RPI) — linear decay from RPI 1 to RPI 50, capped at +50%, with zero bonus beyond RPI 50 — is a scenario assumption representing "weigh the quality of the teams," not a universal formula every analyst would agree on. A steeper curve, a different cutoff, or a cap other than 50% would change how much team success counts relative to individual production.</w:t>
      </w:r>
    </w:p>
    <w:p>
      <w:pPr>
        <w:pStyle w:val="Heading1"/>
        <w:spacing w:after="140" w:before="280"/>
      </w:pPr>
      <w:r>
        <w:t xml:space="preserve">Appendix F — How the AVCA Selects Its Player Of The Year</w:t>
      </w:r>
    </w:p>
    <w:p>
      <w:pPr>
        <w:spacing w:after="160"/>
      </w:pPr>
      <w:r>
        <w:t xml:space="preserve">The American Volleyball Coaches Association's Division I Women's Volleyball Awards Committee is responsible for the entire multi-stage postseason honors process each year: a preseason watch list, midseason watch-list additions, a semifinalist announcement, and a final group of finalists before the Player Of The Year is named. The Awards Committee — not any single coach — runs every phase of that process.</w:t>
      </w:r>
    </w:p>
    <w:p>
      <w:pPr>
        <w:spacing w:after="120"/>
      </w:pPr>
      <w:hyperlink w:history="1" r:id="rIdj8fc94ncaortp5knolv0d">
        <w:r>
          <w:rPr>
            <w:rStyle w:val="Hyperlink"/>
          </w:rPr>
          <w:t xml:space="preserve">Source: American Volleyball Coaches Association, "2025 AVCA Division I Player of the Year" award page, avca.org, accessed 2026-08-20. https://www.avca.org/award/2025-avca-player-of-the-year-award-watch-list/</w:t>
        </w:r>
      </w:hyperlink>
    </w:p>
    <w:p>
      <w:pPr>
        <w:pStyle w:val="Heading1"/>
        <w:spacing w:after="140" w:before="280"/>
      </w:pPr>
      <w:r>
        <w:t xml:space="preserve">Appendix G — "How To…" Math Questions To Research</w:t>
      </w:r>
    </w:p>
    <w:p>
      <w:pPr>
        <w:spacing w:after="160"/>
      </w:pPr>
      <w:r>
        <w:rPr>
          <w:b/>
          <w:bCs/>
        </w:rPr>
        <w:t xml:space="preserve">Vocabulary terms</w:t>
      </w:r>
    </w:p>
    <w:p>
      <w:pPr>
        <w:pStyle w:val="ListParagraph"/>
        <w:numPr>
          <w:ilvl w:val="0"/>
          <w:numId w:val="2"/>
        </w:numPr>
        <w:spacing w:after="80"/>
      </w:pPr>
      <w:r>
        <w:t xml:space="preserve">Mean</w:t>
      </w:r>
    </w:p>
    <w:p>
      <w:pPr>
        <w:pStyle w:val="ListParagraph"/>
        <w:numPr>
          <w:ilvl w:val="0"/>
          <w:numId w:val="2"/>
        </w:numPr>
        <w:spacing w:after="80"/>
      </w:pPr>
      <w:r>
        <w:t xml:space="preserve">Negative Number</w:t>
      </w:r>
    </w:p>
    <w:p>
      <w:pPr>
        <w:pStyle w:val="ListParagraph"/>
        <w:numPr>
          <w:ilvl w:val="0"/>
          <w:numId w:val="2"/>
        </w:numPr>
        <w:spacing w:after="80"/>
      </w:pPr>
      <w:r>
        <w:t xml:space="preserve">Rounding</w:t>
      </w:r>
    </w:p>
    <w:p>
      <w:pPr>
        <w:pStyle w:val="ListParagraph"/>
        <w:numPr>
          <w:ilvl w:val="0"/>
          <w:numId w:val="2"/>
        </w:numPr>
        <w:spacing w:after="80"/>
      </w:pPr>
      <w:r>
        <w:t xml:space="preserve">Bar Graph</w:t>
      </w:r>
    </w:p>
    <w:p>
      <w:pPr>
        <w:spacing w:after="160"/>
      </w:pPr>
      <w:r>
        <w:rPr>
          <w:b/>
          <w:bCs/>
        </w:rPr>
        <w:t xml:space="preserve">"How to…" questions</w:t>
      </w:r>
    </w:p>
    <w:p>
      <w:pPr>
        <w:pStyle w:val="ListParagraph"/>
        <w:numPr>
          <w:ilvl w:val="0"/>
          <w:numId w:val="2"/>
        </w:numPr>
        <w:spacing w:after="80"/>
      </w:pPr>
      <w:r>
        <w:t xml:space="preserve">How to find the mean of a set of data</w:t>
      </w:r>
    </w:p>
    <w:p>
      <w:pPr>
        <w:pStyle w:val="ListParagraph"/>
        <w:numPr>
          <w:ilvl w:val="0"/>
          <w:numId w:val="2"/>
        </w:numPr>
        <w:spacing w:after="80"/>
      </w:pPr>
      <w:r>
        <w:t xml:space="preserve">How to subtract with negative numbers</w:t>
      </w:r>
    </w:p>
    <w:p>
      <w:pPr>
        <w:pStyle w:val="ListParagraph"/>
        <w:numPr>
          <w:ilvl w:val="0"/>
          <w:numId w:val="2"/>
        </w:numPr>
        <w:spacing w:after="80"/>
      </w:pPr>
      <w:r>
        <w:t xml:space="preserve">How to divide with negative numbers</w:t>
      </w:r>
    </w:p>
    <w:p>
      <w:pPr>
        <w:pStyle w:val="ListParagraph"/>
        <w:numPr>
          <w:ilvl w:val="0"/>
          <w:numId w:val="2"/>
        </w:numPr>
        <w:spacing w:after="80"/>
      </w:pPr>
      <w:r>
        <w:t xml:space="preserve">How to multiply with negative numbers</w:t>
      </w:r>
    </w:p>
    <w:p>
      <w:pPr>
        <w:pStyle w:val="ListParagraph"/>
        <w:numPr>
          <w:ilvl w:val="0"/>
          <w:numId w:val="2"/>
        </w:numPr>
        <w:spacing w:after="80"/>
      </w:pPr>
      <w:r>
        <w:t xml:space="preserve">How to divide decimal numbers</w:t>
      </w:r>
    </w:p>
    <w:p>
      <w:pPr>
        <w:pStyle w:val="ListParagraph"/>
        <w:numPr>
          <w:ilvl w:val="0"/>
          <w:numId w:val="2"/>
        </w:numPr>
        <w:spacing w:after="80"/>
      </w:pPr>
      <w:r>
        <w:t xml:space="preserve">How to multiply decimal numbers</w:t>
      </w:r>
    </w:p>
    <w:p>
      <w:pPr>
        <w:pStyle w:val="ListParagraph"/>
        <w:numPr>
          <w:ilvl w:val="0"/>
          <w:numId w:val="2"/>
        </w:numPr>
        <w:spacing w:after="80"/>
      </w:pPr>
      <w:r>
        <w:t xml:space="preserve">How to round a number to a specified place value</w:t>
      </w:r>
    </w:p>
    <w:p>
      <w:pPr>
        <w:pStyle w:val="ListParagraph"/>
        <w:numPr>
          <w:ilvl w:val="0"/>
          <w:numId w:val="2"/>
        </w:numPr>
        <w:spacing w:after="80"/>
      </w:pPr>
      <w:r>
        <w:t xml:space="preserve">How to compare two or more values</w:t>
      </w:r>
    </w:p>
    <w:p>
      <w:pPr>
        <w:pStyle w:val="ListParagraph"/>
        <w:numPr>
          <w:ilvl w:val="0"/>
          <w:numId w:val="2"/>
        </w:numPr>
        <w:spacing w:after="80"/>
      </w:pPr>
      <w:r>
        <w:t xml:space="preserve">How to evaluate an expression with multiple operations without exponents (Order of Operations)</w:t>
      </w:r>
    </w:p>
    <w:p>
      <w:pPr>
        <w:pStyle w:val="ListParagraph"/>
        <w:numPr>
          <w:ilvl w:val="0"/>
          <w:numId w:val="2"/>
        </w:numPr>
        <w:spacing w:after="80"/>
      </w:pPr>
      <w:r>
        <w:t xml:space="preserve">How to create a scatter plot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a3a5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8fc94ncaortp5knolv0d" Type="http://schemas.openxmlformats.org/officeDocument/2006/relationships/hyperlink" Target="https://www.avca.org/award/2025-avca-player-of-the-year-award-watch-lis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2026-08-21T04:05:11.008Z</dcterms:created>
  <dcterms:modified xsi:type="dcterms:W3CDTF">2026-08-21T04:05:11.012Z</dcterms:modified>
</cp:coreProperties>
</file>

<file path=docProps/custom.xml><?xml version="1.0" encoding="utf-8"?>
<Properties xmlns="http://schemas.openxmlformats.org/officeDocument/2006/custom-properties" xmlns:vt="http://schemas.openxmlformats.org/officeDocument/2006/docPropsVTypes"/>
</file>