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rPr>
          <w:b/>
          <w:bCs/>
        </w:rPr>
        <w:t xml:space="preserve">Facilitator Guide: Player Of The Year</w:t>
      </w:r>
    </w:p>
    <w:p>
      <w:pPr>
        <w:spacing w:after="140"/>
      </w:pPr>
      <w:r>
        <w:rPr>
          <w:b/>
          <w:bCs/>
          <w:color w:val="a3312a"/>
          <w:sz w:val="18"/>
          <w:szCs w:val="18"/>
        </w:rPr>
        <w:t xml:space="preserve">MS | Math | Case Study | 2026 | Heroes Academy Adventure — FACILITATOR-ONLY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7edcf" w:color="auto" w:val="clear"/>
          </w:tcPr>
          <w:p>
            <w:pPr>
              <w:spacing w:after="100"/>
            </w:pPr>
            <w:r>
              <w:rPr>
                <w:b/>
                <w:bCs/>
              </w:rPr>
              <w:t xml:space="preserve">Sensitivity note (SPEC §6 / case.json.balance)</w:t>
            </w:r>
          </w:p>
          <w:p>
            <w:pPr>
              <w:spacing w:after="80"/>
            </w:pPr>
            <w:r>
              <w:rPr>
                <w:sz w:val="19"/>
                <w:szCs w:val="19"/>
              </w:rPr>
              <w:t xml:space="preserve">Both MA1 (the z=0 unranked-category convention) and MA3 (the TeamMult curve shape) are load-bearing to which methodology looks more defensible.</w:t>
            </w:r>
          </w:p>
          <w:p>
            <w:pPr>
              <w:spacing w:after="80"/>
            </w:pPr>
            <w:r>
              <w:rPr>
                <w:sz w:val="19"/>
                <w:szCs w:val="19"/>
              </w:rPr>
              <w:t xml:space="preserve">Flex either by ±50% (standard sensitivity test) and re-check whether Methodology A's razor-thin margin or Methodology B's comfortable margin moves, and by how much.</w:t>
            </w:r>
          </w:p>
          <w:p>
            <w:pPr>
              <w:spacing w:after="80"/>
            </w:pPr>
            <w:r>
              <w:rPr>
                <w:sz w:val="19"/>
                <w:szCs w:val="19"/>
              </w:rPr>
              <w:t xml:space="preserve">MA3's +50% cap changes Hilley's and Peterson's composites (both Wisconsin, both getting the top-tier bonus) without changing their z-scores — worth having a pair actually recompute CompositeB under a different cap live during the discussion.</w:t>
            </w:r>
          </w:p>
        </w:tc>
      </w:tr>
    </w:tbl>
    <w:p>
      <w:pPr>
        <w:pStyle w:val="Heading1"/>
        <w:spacing w:after="120" w:before="260"/>
      </w:pPr>
      <w:r>
        <w:t xml:space="preserve">Sensitive-content flag</w:t>
      </w:r>
    </w:p>
    <w:p>
      <w:pPr>
        <w:spacing w:after="140"/>
      </w:pPr>
      <w:r>
        <w:t xml:space="preserve">None. This case carries no illness/death/money-stress/family-hardship weight — the stakes are reputational/professional (an award, a committee's credibility), not personal hardship.</w:t>
      </w:r>
    </w:p>
    <w:p>
      <w:pPr>
        <w:pStyle w:val="Heading1"/>
        <w:spacing w:after="120" w:before="260"/>
      </w:pPr>
      <w:r>
        <w:t xml:space="preserve">Argument for A — Adopt the All-Purpose Production Index</w:t>
      </w:r>
    </w:p>
    <w:p>
      <w:pPr>
        <w:spacing w:after="140"/>
      </w:pPr>
      <w:r>
        <w:t xml:space="preserve">Anna Stevenson posts the single highest average z-score of any of the 14 finalists, built almost entirely on two categories: a .427 hitting percentage and 1.35 blocks/set, both elite even against the already-elite national leaderboard population (Appendix B). The strongest version of this argument is philosophical as much as numeric: Methodology A treats every finalist by the exact same yardstick, with no position-based curve-fitting — nobody's score depends on which categories got chosen for her role. That consistency is itself a defensible value. The numeric case is real but fragile: Stevenson beats Sydney Hilley by a very thin composite margin. Whoever argues for A has to be honest that they are defending a near-tie, not a landslide.</w:t>
      </w:r>
    </w:p>
    <w:p>
      <w:pPr>
        <w:pStyle w:val="Heading1"/>
        <w:spacing w:after="120" w:before="260"/>
      </w:pPr>
      <w:r>
        <w:t xml:space="preserve">Argument for B — Adopt the Role-Weighted × Team-Success Composite</w:t>
      </w:r>
    </w:p>
    <w:p>
      <w:pPr>
        <w:spacing w:after="140"/>
      </w:pPr>
      <w:r>
        <w:t xml:space="preserve">Sydney Hilley's 11.95 assists/set is the single largest z-score anywhere in the dataset — more standard deviations above her positional peers than any other stat, for any other player, in either methodology. Diluting that dominance by averaging it against four categories she structurally cannot contribute to (kills, aces, blocks, digs) — which is exactly what Methodology A does by scoring her at z=0 in all four — arguably erases the single most extreme performance in the whole class of finalists. Combine that with Wisconsin's #2 RPI and their actual championship upset over #1 Louisville, and Hilley's composite leads Nicole Peterson, the #2 finalist under this system, by a comfortable, reproducible margin. This is not a coin flip; it is a decisive result under its own rules.</w:t>
      </w:r>
    </w:p>
    <w:p>
      <w:pPr>
        <w:pStyle w:val="Heading1"/>
        <w:spacing w:after="120" w:before="260"/>
      </w:pPr>
      <w:r>
        <w:t xml:space="preserve">The margin (facilitator-only exact figures)</w:t>
      </w:r>
    </w:p>
    <w:p>
      <w:pPr>
        <w:spacing w:after="140"/>
      </w:pPr>
      <w:r>
        <w:t xml:space="preserve">Methodology A's own top-two margin: 0.009 composite points, 1.74% relative (Stevenson +0.526 vs. Hilley +0.517).</w:t>
      </w:r>
    </w:p>
    <w:p>
      <w:pPr>
        <w:spacing w:after="140"/>
      </w:pPr>
      <w:r>
        <w:t xml:space="preserve">Methodology B's own top-two margin: 0.731 composite points, 23.4% relative (Hilley +3.851 vs. Peterson +3.117).</w:t>
      </w:r>
    </w:p>
    <w:p>
      <w:pPr>
        <w:spacing w:after="140"/>
      </w:pPr>
      <w:r>
        <w:t xml:space="preserve">The case's real balance-test tension is not "which number is bigger" — it's that switching methodologies doesn't just change the winner, it changes how close the verdict even is. A committee that values a decisive result has a real, numeric reason to prefer B over A independent of who wins.</w:t>
      </w:r>
    </w:p>
    <w:p>
      <w:pPr>
        <w:pStyle w:val="Heading1"/>
        <w:spacing w:after="120" w:before="260"/>
      </w:pPr>
      <w:r>
        <w:t xml:space="preserve">The trap</w:t>
      </w:r>
    </w:p>
    <w:p>
      <w:pPr>
        <w:spacing w:after="140"/>
      </w:pPr>
      <w:r>
        <w:t xml:space="preserve">Most students will treat "lots of stats and composite stats" as license to cherry-pick whichever numbers make their favorite player look best, then reverse-engineer a "formula" to justify a pick they already made. The case is built specifically to close that door: both formulas are fixed, disclosed, and must be run identically across all 14 finalists before a single argument is written. Students who skip straight to defending a player instead of first computing both full composite tables (D1/D2) will produce a pitch that looks like Methodology B language wrapped around a Methodology A-style cherry pick — internally inconsistent, and a fast tell that they never actually ran the numbers. A second, quieter version of the same trap: students who compute Methodology A correctly but never check how thin its margin actually is will confidently declare Stevenson "the best," never noticing that the same process places Hilley close enough behind her that a single rounding convention could flip the result.</w:t>
      </w:r>
    </w:p>
    <w:p>
      <w:pPr>
        <w:pStyle w:val="Heading1"/>
        <w:spacing w:after="120" w:before="260"/>
      </w:pPr>
      <w:r>
        <w:t xml:space="preserve">The Twist</w:t>
      </w:r>
    </w:p>
    <w:p>
      <w:pPr>
        <w:spacing w:after="140"/>
      </w:pPr>
      <w:r>
        <w:t xml:space="preserve">At roughly the 15-minute mark, once the room has Methodology A's 0.009-point margin in hand: "That margin is smaller than routine sports statistics precision allows for." Real NCAA per-set stats are reported to two decimal places — a single late scorer's-table correction can move a player's Kills/Set or Blocks/Set by more than 0.009 composite points once averaged into a five-category mean. Concretely: Anna Stevenson's Blocks/Set would only need to move from 1.35 to 1.344 — a swing of six one-hundredths of a block per set, well within ordinary box-score revision — to erase her entire lead and hand Methodology A's title to Sydney Hilley instead. Deliver it slowly: "Methodology A's entire margin is smaller than a single stat-sheet correction. Does Methodology A still have a winner?" Give the room 60 seconds: "Are you changing your vote, or not?"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7edcf" w:color="auto" w:val="clear"/>
          </w:tcPr>
          <w:p>
            <w:pPr>
              <w:spacing w:after="100"/>
            </w:pPr>
            <w:r>
              <w:rPr>
                <w:b/>
                <w:bCs/>
              </w:rPr>
              <w:t xml:space="preserve">Facilitator note — a claim that was removed and must not be reintroduced</w:t>
            </w:r>
          </w:p>
          <w:p>
            <w:pPr>
              <w:spacing w:after="80"/>
            </w:pPr>
            <w:r>
              <w:rPr>
                <w:sz w:val="19"/>
                <w:szCs w:val="19"/>
              </w:rPr>
              <w:t xml:space="preserve">An earlier draft of this Twist claimed several of Stevenson's own inputs were flagged (d) (back-computed, not a direct leaderboard read) in Appendix A — that claim does not hold up: Stevenson's actual Methodology-A inputs (Kills/Set 2.79, Blocks/Set 1.35) carry no (d) marker in Appendix A; only her (unused) Attacks/Set does.</w:t>
            </w:r>
          </w:p>
          <w:p>
            <w:pPr>
              <w:spacing w:after="80"/>
            </w:pPr>
            <w:r>
              <w:rPr>
                <w:sz w:val="19"/>
                <w:szCs w:val="19"/>
              </w:rPr>
              <w:t xml:space="preserve">Do not tell students her inputs are "derived" — a sharp Hero who checks Appendix A directly will correctly call that claim out.</w:t>
            </w:r>
          </w:p>
          <w:p>
            <w:pPr>
              <w:spacing w:after="80"/>
            </w:pPr>
            <w:r>
              <w:rPr>
                <w:sz w:val="19"/>
                <w:szCs w:val="19"/>
              </w:rPr>
              <w:t xml:space="preserve">The Twist's real, defensible point (the margin is thinner than realistic measurement precision) stands without needing that claim at all.</w:t>
            </w:r>
          </w:p>
          <w:p>
            <w:pPr>
              <w:spacing w:after="80"/>
            </w:pPr>
            <w:r>
              <w:rPr>
                <w:sz w:val="19"/>
                <w:szCs w:val="19"/>
              </w:rPr>
              <w:t xml:space="preserve">This does not hand anyone a new number or resolve the case — it invalidates overconfidence in Methodology A's precision without making Methodology B automatically correct (B's 23.4% margin is real, but Diane's specific multiplier curve, Appendix E Note 3, is its own disclosed assumption, equally open to challenge).</w:t>
            </w:r>
          </w:p>
        </w:tc>
      </w:tr>
    </w:tbl>
    <w:p>
      <w:pPr>
        <w:pStyle w:val="Heading1"/>
        <w:spacing w:after="120" w:before="260"/>
      </w:pPr>
      <w:r>
        <w:t xml:space="preserve">What a strong defense sounds like</w:t>
      </w:r>
    </w:p>
    <w:p>
      <w:pPr>
        <w:spacing w:after="140"/>
      </w:pPr>
      <w:r>
        <w:t xml:space="preserve">Not an answer key — a description of reasoning quality, since the case has no single right answer. A strong defense (of either option) runs both full composite tables before writing a word of argument, states its methodology's own margin honestly (including whether that margin is thin or comfortable), names at least one of the disclosed modeling assumptions (Appendix E) as a real lever rather than treating the formula as neutral, and — after the Twist — can say clearly whether and why its position changed or held. A weak defense picks a favorite player first and reverse-engineers support for her; the tell is a pitch that cites both methodologies' language but only ever ran the numbers for one.</w:t>
      </w:r>
    </w:p>
    <w:p>
      <w:pPr>
        <w:pStyle w:val="Heading1"/>
        <w:spacing w:after="120" w:before="260"/>
      </w:pPr>
      <w:r>
        <w:t xml:space="preserve">The five Socratic questions</w:t>
      </w:r>
    </w:p>
    <w:p>
      <w:pPr>
        <w:pStyle w:val="ListParagraph"/>
        <w:numPr>
          <w:ilvl w:val="0"/>
          <w:numId w:val="2"/>
        </w:numPr>
        <w:spacing w:after="80"/>
      </w:pPr>
      <w:r>
        <w:t xml:space="preserve">Methodology A's winning margin is far smaller than the estimation error on several of the "(d)" derived statistics in Appendix A. Does a razor-thin margin mean anything at all, mathematically?</w:t>
      </w:r>
    </w:p>
    <w:p>
      <w:pPr>
        <w:pStyle w:val="ListParagraph"/>
        <w:numPr>
          <w:ilvl w:val="0"/>
          <w:numId w:val="2"/>
        </w:numPr>
        <w:spacing w:after="80"/>
      </w:pPr>
      <w:r>
        <w:t xml:space="preserve">If Methodology A treats a missing national rank as "average" (z=0) rather than "zero," who does that convention help most, and who does it quietly punish?</w:t>
      </w:r>
    </w:p>
    <w:p>
      <w:pPr>
        <w:pStyle w:val="ListParagraph"/>
        <w:numPr>
          <w:ilvl w:val="0"/>
          <w:numId w:val="2"/>
        </w:numPr>
        <w:spacing w:after="80"/>
      </w:pPr>
      <w:r>
        <w:t xml:space="preserve">Sydney Hilley's dominance under Methodology B comes from being compared only to other setters. Is that a fairer comparison, or is it just a comparison that was rigged the moment the category list was drawn up?</w:t>
      </w:r>
    </w:p>
    <w:p>
      <w:pPr>
        <w:pStyle w:val="ListParagraph"/>
        <w:numPr>
          <w:ilvl w:val="0"/>
          <w:numId w:val="2"/>
        </w:numPr>
        <w:spacing w:after="80"/>
      </w:pPr>
      <w:r>
        <w:t xml:space="preserve">Wisconsin's #2 RPI — and the team-success bonus it buys Hilley and Peterson — is largely the product of one championship run. Should a single tournament outcome be allowed to swing an individual season-long award this much?</w:t>
      </w:r>
    </w:p>
    <w:p>
      <w:pPr>
        <w:pStyle w:val="ListParagraph"/>
        <w:numPr>
          <w:ilvl w:val="0"/>
          <w:numId w:val="2"/>
        </w:numPr>
        <w:spacing w:after="80"/>
      </w:pPr>
      <w:r>
        <w:t xml:space="preserve">If you had to defend your chosen methodology to the players it didn't pick, what would you say to Anna Stevenson if the committee chose B, or to Sydney Hilley if the committee chose A?</w:t>
      </w:r>
    </w:p>
    <w:p>
      <w:pPr>
        <w:pStyle w:val="Heading1"/>
        <w:spacing w:after="120" w:before="260"/>
      </w:pPr>
      <w:r>
        <w:t xml:space="preserve">45-minute run of show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a3a5c" w:color="auto" w:val="clear"/>
            <w:vAlign w:val="center"/>
          </w:tcPr>
          <w:p>
            <w:r>
              <w:rPr>
                <w:b/>
                <w:bCs/>
                <w:color w:val="FFFFFF"/>
                <w:sz w:val="18"/>
                <w:szCs w:val="18"/>
              </w:rPr>
              <w:t xml:space="preserve">Time</w:t>
            </w:r>
          </w:p>
        </w:tc>
        <w:tc>
          <w:tcPr>
            <w:tcW w:type="dxa" w:w="7150"/>
            <w:shd w:fill="1a3a5c" w:color="auto" w:val="clear"/>
            <w:vAlign w:val="center"/>
          </w:tcPr>
          <w:p>
            <w:r>
              <w:rPr>
                <w:b/>
                <w:bCs/>
                <w:color w:val="FFFFFF"/>
                <w:sz w:val="18"/>
                <w:szCs w:val="18"/>
              </w:rPr>
              <w:t xml:space="preserve">Move</w:t>
            </w:r>
          </w:p>
        </w:tc>
      </w:tr>
      <w:tr>
        <w:tc>
          <w:tcPr>
            <w:tcW w:type="dxa" w:w="2200"/>
            <w:vAlign w:val="center"/>
          </w:tcPr>
          <w:p>
            <w:r>
              <w:rPr>
                <w:b w:val="false"/>
                <w:bCs w:val="false"/>
                <w:sz w:val="18"/>
                <w:szCs w:val="18"/>
              </w:rPr>
              <w:t xml:space="preserve">0:00–3:00</w:t>
            </w:r>
          </w:p>
        </w:tc>
        <w:tc>
          <w:tcPr>
            <w:tcW w:type="dxa" w:w="7150"/>
            <w:vAlign w:val="center"/>
          </w:tcPr>
          <w:p>
            <w:r>
              <w:rPr>
                <w:b w:val="false"/>
                <w:bCs w:val="false"/>
                <w:sz w:val="18"/>
                <w:szCs w:val="18"/>
              </w:rPr>
              <w:t xml:space="preserve">Cold-call launch on Appendix A alone (no formulas yet); 30-second gut-instinct picks; stand/sit vote</w:t>
            </w:r>
          </w:p>
        </w:tc>
      </w:tr>
      <w:tr>
        <w:tc>
          <w:tcPr>
            <w:tcW w:type="dxa" w:w="2200"/>
            <w:shd w:fill="F7F9FB" w:color="auto" w:val="clear"/>
            <w:vAlign w:val="center"/>
          </w:tcPr>
          <w:p>
            <w:r>
              <w:rPr>
                <w:b w:val="false"/>
                <w:bCs w:val="false"/>
                <w:sz w:val="18"/>
                <w:szCs w:val="18"/>
              </w:rPr>
              <w:t xml:space="preserve">3:00–10:00</w:t>
            </w:r>
          </w:p>
        </w:tc>
        <w:tc>
          <w:tcPr>
            <w:tcW w:type="dxa" w:w="7150"/>
            <w:shd w:fill="F7F9FB" w:color="auto" w:val="clear"/>
            <w:vAlign w:val="center"/>
          </w:tcPr>
          <w:p>
            <w:r>
              <w:rPr>
                <w:b w:val="false"/>
                <w:bCs w:val="false"/>
                <w:sz w:val="18"/>
                <w:szCs w:val="18"/>
              </w:rPr>
              <w:t xml:space="preserve">Position defense: "Convince us your methodology is better, not just that your player is good"</w:t>
            </w:r>
          </w:p>
        </w:tc>
      </w:tr>
      <w:tr>
        <w:tc>
          <w:tcPr>
            <w:tcW w:type="dxa" w:w="2200"/>
            <w:vAlign w:val="center"/>
          </w:tcPr>
          <w:p>
            <w:r>
              <w:rPr>
                <w:b w:val="false"/>
                <w:bCs w:val="false"/>
                <w:sz w:val="18"/>
                <w:szCs w:val="18"/>
              </w:rPr>
              <w:t xml:space="preserve">10:00–15:00</w:t>
            </w:r>
          </w:p>
        </w:tc>
        <w:tc>
          <w:tcPr>
            <w:tcW w:type="dxa" w:w="7150"/>
            <w:vAlign w:val="center"/>
          </w:tcPr>
          <w:p>
            <w:r>
              <w:rPr>
                <w:b w:val="false"/>
                <w:bCs w:val="false"/>
                <w:sz w:val="18"/>
                <w:szCs w:val="18"/>
              </w:rPr>
              <w:t xml:space="preserve">Pressure-test the models: "Whose composite table is most fragile to a rounding choice?"</w:t>
            </w:r>
          </w:p>
        </w:tc>
      </w:tr>
      <w:tr>
        <w:tc>
          <w:tcPr>
            <w:tcW w:type="dxa" w:w="2200"/>
            <w:shd w:fill="F7F9FB" w:color="auto" w:val="clear"/>
            <w:vAlign w:val="center"/>
          </w:tcPr>
          <w:p>
            <w:r>
              <w:rPr>
                <w:b w:val="false"/>
                <w:bCs w:val="false"/>
                <w:sz w:val="18"/>
                <w:szCs w:val="18"/>
              </w:rPr>
              <w:t xml:space="preserve">15:00</w:t>
            </w:r>
          </w:p>
        </w:tc>
        <w:tc>
          <w:tcPr>
            <w:tcW w:type="dxa" w:w="7150"/>
            <w:shd w:fill="F7F9FB" w:color="auto" w:val="clear"/>
            <w:vAlign w:val="center"/>
          </w:tcPr>
          <w:p>
            <w:r>
              <w:rPr>
                <w:b w:val="false"/>
                <w:bCs w:val="false"/>
                <w:sz w:val="18"/>
                <w:szCs w:val="18"/>
              </w:rPr>
              <w:t xml:space="preserve">DROP THE TWIST — the precision-vs-margin problem, delivered slowly, with pauses</w:t>
            </w:r>
          </w:p>
        </w:tc>
      </w:tr>
      <w:tr>
        <w:tc>
          <w:tcPr>
            <w:tcW w:type="dxa" w:w="2200"/>
            <w:vAlign w:val="center"/>
          </w:tcPr>
          <w:p>
            <w:r>
              <w:rPr>
                <w:b w:val="false"/>
                <w:bCs w:val="false"/>
                <w:sz w:val="18"/>
                <w:szCs w:val="18"/>
              </w:rPr>
              <w:t xml:space="preserve">15:00–20:00</w:t>
            </w:r>
          </w:p>
        </w:tc>
        <w:tc>
          <w:tcPr>
            <w:tcW w:type="dxa" w:w="7150"/>
            <w:vAlign w:val="center"/>
          </w:tcPr>
          <w:p>
            <w:r>
              <w:rPr>
                <w:b w:val="false"/>
                <w:bCs w:val="false"/>
                <w:sz w:val="18"/>
                <w:szCs w:val="18"/>
              </w:rPr>
              <w:t xml:space="preserve">Immediate recommit: who reverses their vote? "What just broke in your model?"</w:t>
            </w:r>
          </w:p>
        </w:tc>
      </w:tr>
      <w:tr>
        <w:tc>
          <w:tcPr>
            <w:tcW w:type="dxa" w:w="2200"/>
            <w:shd w:fill="F7F9FB" w:color="auto" w:val="clear"/>
            <w:vAlign w:val="center"/>
          </w:tcPr>
          <w:p>
            <w:r>
              <w:rPr>
                <w:b w:val="false"/>
                <w:bCs w:val="false"/>
                <w:sz w:val="18"/>
                <w:szCs w:val="18"/>
              </w:rPr>
              <w:t xml:space="preserve">20:00–30:00</w:t>
            </w:r>
          </w:p>
        </w:tc>
        <w:tc>
          <w:tcPr>
            <w:tcW w:type="dxa" w:w="7150"/>
            <w:shd w:fill="F7F9FB" w:color="auto" w:val="clear"/>
            <w:vAlign w:val="center"/>
          </w:tcPr>
          <w:p>
            <w:r>
              <w:rPr>
                <w:b w:val="false"/>
                <w:bCs w:val="false"/>
                <w:sz w:val="18"/>
                <w:szCs w:val="18"/>
              </w:rPr>
              <w:t xml:space="preserve">Threaded deep conflict: (1) consistency vs. positional fairness as competing values, (2) whether a razor-thin margin is meaningful at all given estimation error</w:t>
            </w:r>
          </w:p>
        </w:tc>
      </w:tr>
      <w:tr>
        <w:tc>
          <w:tcPr>
            <w:tcW w:type="dxa" w:w="2200"/>
            <w:vAlign w:val="center"/>
          </w:tcPr>
          <w:p>
            <w:r>
              <w:rPr>
                <w:b w:val="false"/>
                <w:bCs w:val="false"/>
                <w:sz w:val="18"/>
                <w:szCs w:val="18"/>
              </w:rPr>
              <w:t xml:space="preserve">30:00–45:00</w:t>
            </w:r>
          </w:p>
        </w:tc>
        <w:tc>
          <w:tcPr>
            <w:tcW w:type="dxa" w:w="7150"/>
            <w:vAlign w:val="center"/>
          </w:tcPr>
          <w:p>
            <w:r>
              <w:rPr>
                <w:b w:val="false"/>
                <w:bCs w:val="false"/>
                <w:sz w:val="18"/>
                <w:szCs w:val="18"/>
              </w:rPr>
              <w:t xml:space="preserve">Close, re-vote, reflection, Lessons Learned</w:t>
            </w:r>
          </w:p>
        </w:tc>
      </w:tr>
    </w:tbl>
    <w:p>
      <w:pPr>
        <w:pStyle w:val="Heading1"/>
        <w:spacing w:after="120" w:before="260"/>
      </w:pPr>
      <w:r>
        <w:t xml:space="preserve">Guide notes — the anchor ladder</w:t>
      </w:r>
    </w:p>
    <w:p>
      <w:pPr>
        <w:spacing w:after="140"/>
      </w:pPr>
      <w:r>
        <w:rPr>
          <w:b/>
          <w:bCs/>
        </w:rPr>
        <w:t xml:space="preserve">Intro. </w:t>
      </w:r>
      <w:r>
        <w:t xml:space="preserve">Frame the format for the room: "You are being handed two finished, disclosed, real formulas. Your job is not to invent a third one — it's to run both, honestly, across all 14 real players, and then decide which committee member's math the AVCA should trust." Name the opener: the envelope moment, Renata Voss holding two spreadsheets with two minutes on the clock.</w:t>
      </w:r>
    </w:p>
    <w:p>
      <w:pPr>
        <w:spacing w:after="140"/>
      </w:pPr>
      <w:r>
        <w:rPr>
          <w:b/>
          <w:bCs/>
        </w:rPr>
        <w:t xml:space="preserve">Launch. </w:t>
      </w:r>
      <w:r>
        <w:t xml:space="preserve">Show the room Appendix A's full 14-player table cold, before any formula. Ask: "Just looking at this — no math yet — who do you think wins Player Of The Year?" Let instinct answer first; most rooms will gravitate to whoever has the flashiest single number (Hilley's 11.95 assists, or Stevenson's .427 hitting%). Note the instinctive pick on the board — it's the thing the twist will test later.</w:t>
      </w:r>
    </w:p>
    <w:p>
      <w:pPr>
        <w:spacing w:after="140"/>
      </w:pPr>
      <w:r>
        <w:rPr>
          <w:b/>
          <w:bCs/>
        </w:rPr>
        <w:t xml:space="preserve">Anchor 1 — Take a stand and vote. </w:t>
      </w:r>
      <w:r>
        <w:t xml:space="preserve">No reasoning yet, just commit. "Is anyone courageous enough to stand with Methodology A? With Methodology B?" Split the room physically if the cohort size allows it (see cohort bands below).</w:t>
      </w:r>
    </w:p>
    <w:p>
      <w:pPr>
        <w:spacing w:after="140"/>
      </w:pPr>
      <w:r>
        <w:rPr>
          <w:b/>
          <w:bCs/>
        </w:rPr>
        <w:t xml:space="preserve">Anchor 2 — What is the problem we're solving? </w:t>
      </w:r>
      <w:r>
        <w:t xml:space="preserve">"Is 'who is the best player' even the right question, or is the real question 'which way of measuring 'best' do we trust'?" Push: "What do you mean by 'best'? Best at what?" Let the confusion sit — a room that starts arguing about what "best" even means before touching a calculator is doing the case correctly.</w:t>
      </w:r>
    </w:p>
    <w:p>
      <w:pPr>
        <w:spacing w:after="140"/>
      </w:pPr>
      <w:r>
        <w:rPr>
          <w:b/>
          <w:bCs/>
        </w:rPr>
        <w:t xml:space="preserve">Anchor 3 — What is the process? </w:t>
      </w:r>
      <w:r>
        <w:t xml:space="preserve">"If we actually run both formulas end to end on all 14 players, how will we decide between the two committee members?" Re-ask Anchor 2's question here: "Now that we've named a process, is 'which methodology' still the right question, or is it really 'which margin do we trust more'?"</w:t>
      </w:r>
    </w:p>
    <w:p>
      <w:pPr>
        <w:spacing w:after="140"/>
      </w:pPr>
      <w:r>
        <w:rPr>
          <w:b/>
          <w:bCs/>
        </w:rPr>
        <w:t xml:space="preserve">Anchor 4 — What don't we know? </w:t>
      </w:r>
      <w:r>
        <w:t xml:space="preserve">"Do we need to make any assumptions to run either formula? Which ones are load-bearing?" Steer the room toward Appendix E without reading it to them yet: the z=0-for-unranked convention, the already-elite national reference population, and the shape of the team-success multiplier curve are all disclosed choices, not neutral facts.</w:t>
      </w:r>
    </w:p>
    <w:p>
      <w:pPr>
        <w:spacing w:after="140"/>
      </w:pPr>
      <w:r>
        <w:rPr>
          <w:b/>
          <w:bCs/>
        </w:rPr>
        <w:t xml:space="preserve">Data Deep Dive. </w:t>
      </w:r>
      <w:r>
        <w:t xml:space="preserve">Now, and only now, work the numbers: both composite tables (D1/D2), the force ranking (D3), and the two margins (D5). Confirm as a room what each methodology's margin actually is once computed.</w:t>
      </w:r>
    </w:p>
    <w:p>
      <w:pPr>
        <w:spacing w:after="140"/>
      </w:pPr>
      <w:r>
        <w:rPr>
          <w:b/>
          <w:bCs/>
        </w:rPr>
        <w:t xml:space="preserve">Close. </w:t>
      </w:r>
      <w:r>
        <w:t xml:space="preserve">Re-vote. "Did we ask the right question at the start? What math was new to you today, and how did you attack it?" Land on the real takeaway: two honest, real, fully-disclosed formulas, applied to the exact same real data, produce two different winners and two different-looking margins — and the choice of methodology is itself the decision, not a technicality standing in front of the "real" answer.</w:t>
      </w:r>
    </w:p>
    <w:p>
      <w:pPr>
        <w:pStyle w:val="Heading1"/>
        <w:spacing w:after="120" w:before="260"/>
      </w:pPr>
      <w:r>
        <w:t xml:space="preserve">Lessons learned</w:t>
      </w:r>
    </w:p>
    <w:p>
      <w:pPr>
        <w:pStyle w:val="ListParagraph"/>
        <w:numPr>
          <w:ilvl w:val="0"/>
          <w:numId w:val="2"/>
        </w:numPr>
        <w:spacing w:after="80"/>
      </w:pPr>
      <w:r>
        <w:t xml:space="preserve">A composite score is only as trustworthy as its narrowest input's precision — a razor-thin margin built partly on derived/estimated stats may not be a real margin at all.</w:t>
      </w:r>
    </w:p>
    <w:p>
      <w:pPr>
        <w:pStyle w:val="ListParagraph"/>
        <w:numPr>
          <w:ilvl w:val="0"/>
          <w:numId w:val="2"/>
        </w:numPr>
        <w:spacing w:after="80"/>
      </w:pPr>
      <w:r>
        <w:t xml:space="preserve">"Position-blind and consistent" and "position-aware and comparative" are both legitimate fairness principles that can point in opposite directions on the same real data.</w:t>
      </w:r>
    </w:p>
    <w:p>
      <w:pPr>
        <w:pStyle w:val="ListParagraph"/>
        <w:numPr>
          <w:ilvl w:val="0"/>
          <w:numId w:val="2"/>
        </w:numPr>
        <w:spacing w:after="80"/>
      </w:pPr>
      <w:r>
        <w:t xml:space="preserve">A scoring system's design choices (what counts as "unranked," how team success is weighted) are themselves decisions with consequences — not neutral plumbing.</w:t>
      </w:r>
    </w:p>
    <w:p>
      <w:pPr>
        <w:pStyle w:val="Heading1"/>
        <w:spacing w:after="120" w:before="260"/>
      </w:pPr>
      <w:r>
        <w:t xml:space="preserve">Cohort bands</w:t>
      </w:r>
    </w:p>
    <w:p>
      <w:pPr>
        <w:spacing w:after="140"/>
      </w:pPr>
      <w:r>
        <w:rPr>
          <w:b/>
          <w:bCs/>
        </w:rPr>
        <w:t xml:space="preserve">Full (10-16). </w:t>
      </w:r>
      <w:r>
        <w:t xml:space="preserve">Runs as written. Split the room into a Marcus camp and a Diane camp for the 10:00-15:00 pressure-test; each camp defends its methodology using its own D1/D2/D3 tables before the twist drops.</w:t>
      </w:r>
    </w:p>
    <w:p>
      <w:pPr>
        <w:spacing w:after="140"/>
      </w:pPr>
      <w:r>
        <w:rPr>
          <w:b/>
          <w:bCs/>
        </w:rPr>
        <w:t xml:space="preserve">Compressed (5-9). </w:t>
      </w:r>
      <w:r>
        <w:t xml:space="preserve">Anchors 2-3 combine into one pass. Instead of two full camps, pair students so every pair has computed both methodologies for at least 3 finalists each; the 20:00-30:00 deep-conflict block drops to a single thread (fragility of Methodology A's margin vs. the modeling choices baked into Methodology B's multiplier).</w:t>
      </w:r>
    </w:p>
    <w:p>
      <w:pPr>
        <w:spacing w:after="140"/>
      </w:pPr>
      <w:r>
        <w:rPr>
          <w:b/>
          <w:bCs/>
        </w:rPr>
        <w:t xml:space="preserve">1:1 / pair (1-2). </w:t>
      </w:r>
      <w:r>
        <w:t xml:space="preserve">No vote to take. Anchor 1 becomes a stated initial lean (which methodology feels more defensible before computing anything). The facilitator plays the other committee member directly, pushing back with the real numbers. The twist still lands; "who reverses" becomes "would you reverse, and why."</w:t>
      </w:r>
    </w:p>
    <w:p>
      <w:pPr>
        <w:pStyle w:val="Heading1"/>
        <w:spacing w:after="120" w:before="260"/>
      </w:pPr>
      <w:r>
        <w:t xml:space="preserve">Skills the case exercises</w:t>
      </w:r>
    </w:p>
    <w:p>
      <w:pPr>
        <w:spacing w:after="140"/>
      </w:pPr>
      <w:r>
        <w:t xml:space="preserve">Mean; how to find the mean of a set of data; Negative Number; how to subtract, divide, and multiply with negative numbers; how to divide and multiply decimal numbers; Rounding; how to round a number to a specified place value; how to compare two or more values; how to evaluate an expression with multiple operations without exponents (Order of Operations); Bar Graph; how to create a scatter plot given a set of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2026-08-21T04:07:49.414Z</dcterms:created>
  <dcterms:modified xsi:type="dcterms:W3CDTF">2026-08-21T04:07:49.417Z</dcterms:modified>
</cp:coreProperties>
</file>

<file path=docProps/custom.xml><?xml version="1.0" encoding="utf-8"?>
<Properties xmlns="http://schemas.openxmlformats.org/officeDocument/2006/custom-properties" xmlns:vt="http://schemas.openxmlformats.org/officeDocument/2006/docPropsVTypes"/>
</file>