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Facilitator Guide: Psychologist</w:t>
      </w:r>
    </w:p>
    <w:p>
      <w:pPr>
        <w:spacing w:after="300"/>
      </w:pPr>
      <w:r>
        <w:rPr>
          <w:b/>
          <w:bCs/>
          <w:color w:val="C00000"/>
          <w:sz w:val="20"/>
          <w:szCs w:val="20"/>
        </w:rPr>
        <w:t xml:space="preserve">FACILITATOR ONLY — contains the case's answer key, the twist, and both balance arguments. Do not distribute to students.</w:t>
      </w:r>
    </w:p>
    <w:p>
      <w:pPr>
        <w:spacing w:after="80"/>
      </w:pPr>
      <w:r>
        <w:rPr>
          <w:i/>
          <w:iCs/>
        </w:rPr>
        <w:t xml:space="preserve">Case: Psychologist  ·  Tier: T3  ·  Band: MS-stretch / HS-entry  ·  Studio: Heroes Academy</w:t>
      </w:r>
    </w:p>
    <w:p>
      <w:pPr>
        <w:spacing w:after="300"/>
      </w:pPr>
      <w:r>
        <w:rPr>
          <w:i/>
          <w:iCs/>
        </w:rPr>
        <w:t xml:space="preserve">Standards: measurement-ratio, advanced-numbers-percent, advanced-numbers-how-to-convert-numbers-to-percents, statistics-and-probability-mean, statistics-and-probability-how-to-find-the-mean-of-a-set-of-data, number-sense-how-to-compare-two-or-more-values, number-sense-bar-graph</w:t>
      </w:r>
    </w:p>
    <w:p>
      <w:pPr>
        <w:pStyle w:val="Heading1"/>
        <w:spacing w:after="160" w:before="300"/>
      </w:pPr>
      <w:r>
        <w:t xml:space="preserve">Run-of-Show Summary (at a glance)</w:t>
      </w:r>
    </w:p>
    <w:p>
      <w:pPr>
        <w:pBdr>
          <w:top w:val="single" w:color="999999" w:sz="6"/>
          <w:bottom w:val="single" w:color="999999" w:sz="6"/>
          <w:left w:val="single" w:color="999999" w:sz="6"/>
          <w:right w:val="single" w:color="999999" w:sz="6"/>
        </w:pBdr>
        <w:spacing w:after="300" w:before="100"/>
        <w:ind w:left="100" w:right="100"/>
      </w:pPr>
      <w:r>
        <w:rPr>
          <w:b/>
          <w:bCs/>
        </w:rPr>
        <w:t xml:space="preserve">Sensitivity: </w:t>
      </w:r>
      <w:r>
        <w:t xml:space="preserve">The composite-vs-single-best margin (9.3%) is sensitive to two stated modeling choices: the normalization basis (MA1) and the category weighting (MA2). Flexing MA2's typing weight does not flip which slate wins the composite metric, but does narrow the margin materially. See sensitivity_model.py.</w:t>
      </w:r>
    </w:p>
    <w:p>
      <w:pPr>
        <w:pStyle w:val="Heading2"/>
        <w:spacing w:after="160" w:before="300"/>
      </w:pPr>
      <w:r>
        <w:t xml:space="preserve">Intro</w:t>
      </w:r>
    </w:p>
    <w:p>
      <w:pPr>
        <w:spacing w:after="160"/>
      </w:pPr>
      <w:r>
        <w:t xml:space="preserve">Frame the format: this is not a stats worksheet, it's an admissions decision Harriet has to defend out loud, using real test data on 27 kids who don't know they're about to be ranked two different ways. Name the opener — “Harriet has one folder, three seats, and until tomorrow morning.”</w:t>
      </w:r>
    </w:p>
    <w:p>
      <w:pPr>
        <w:pStyle w:val="Heading2"/>
        <w:spacing w:after="160" w:before="300"/>
      </w:pPr>
      <w:r>
        <w:t xml:space="preserve">Launch</w:t>
      </w:r>
    </w:p>
    <w:p>
      <w:pPr>
        <w:spacing w:after="160"/>
      </w:pPr>
      <w:r>
        <w:t xml:space="preserve">Read Appendix A's five test descriptions aloud, with no scores attached yet — just what each test measures. Ask: “If you were building a program that trains the country's best court reporters, which of these five things would you weight most heavily, and why?” Do not confirm or correct answers here; the point is a gut read on what “best” should mean before anyone touches a number.</w:t>
      </w:r>
    </w:p>
    <w:p>
      <w:pPr>
        <w:pStyle w:val="Heading2"/>
        <w:spacing w:after="160" w:before="300"/>
      </w:pPr>
      <w:r>
        <w:t xml:space="preserve">Anchor 1 — Take a stand and vote</w:t>
      </w:r>
    </w:p>
    <w:p>
      <w:pPr>
        <w:spacing w:after="160"/>
      </w:pPr>
      <w:r>
        <w:rPr>
          <w:b/>
          <w:bCs/>
        </w:rPr>
        <w:t xml:space="preserve">TAKE A STAND AND VOTE. No reasoning yet, just commit.</w:t>
      </w:r>
    </w:p>
    <w:p>
      <w:pPr>
        <w:spacing w:after="160"/>
      </w:pPr>
      <w:r>
        <w:t xml:space="preserve">“Who would build the Standout Slate — reward the specialists? Who would build the Balanced Slate — reward the generalists?” Show of hands, both options, no discussion. Record the count — Close will ask them to vote again.</w:t>
      </w:r>
    </w:p>
    <w:p>
      <w:pPr>
        <w:pStyle w:val="Heading2"/>
        <w:spacing w:after="160" w:before="300"/>
      </w:pPr>
      <w:r>
        <w:t xml:space="preserve">Anchor 2 — What is the problem we're solving?</w:t>
      </w:r>
    </w:p>
    <w:p>
      <w:pPr>
        <w:spacing w:after="160"/>
      </w:pPr>
      <w:r>
        <w:rPr>
          <w:b/>
          <w:bCs/>
        </w:rPr>
        <w:t xml:space="preserve">“Is this the right question?” · “What do you mean by 'the best three'?”</w:t>
      </w:r>
    </w:p>
    <w:p>
      <w:pPr>
        <w:spacing w:after="160"/>
      </w:pPr>
      <w:r>
        <w:t xml:space="preserve">Let confusion grow here, deliberately. Heroes will want to jump straight to “just add up the scores,” but push: “Is it just as simple as finding the highest numbers, or does it matter how you combine five differently-scaled tests into one ranking?” If the room lands on “we need to agree on how to compare a memory-test score to a typing speed before we can rank anyone” on its own, that's the case working as designed.</w:t>
      </w:r>
    </w:p>
    <w:p>
      <w:pPr>
        <w:pStyle w:val="Heading2"/>
        <w:spacing w:after="160" w:before="300"/>
      </w:pPr>
      <w:r>
        <w:t xml:space="preserve">Anchor 3 — What is the process?</w:t>
      </w:r>
    </w:p>
    <w:p>
      <w:pPr>
        <w:spacing w:after="160"/>
      </w:pPr>
      <w:r>
        <w:rPr>
          <w:b/>
          <w:bCs/>
        </w:rPr>
        <w:t xml:space="preserve">“If we go through this process and find the data, how will we decide?”</w:t>
      </w:r>
    </w:p>
    <w:p>
      <w:pPr>
        <w:spacing w:after="160"/>
      </w:pPr>
      <w:r>
        <w:t xml:space="preserve">Once the room has a working sense of “we need a common scale,” ask them to name the actual steps before touching Appendix B: convert every raw score to a percent of the category's best score (Appendix C, MA1), then either take each applicant's best percent or average all five. Re-ask: “Do we agree that's the algorithm? What would change if we picked a different one?”</w:t>
      </w:r>
    </w:p>
    <w:p>
      <w:pPr>
        <w:pStyle w:val="Heading2"/>
        <w:spacing w:after="160" w:before="300"/>
      </w:pPr>
      <w:r>
        <w:t xml:space="preserve">Anchor 4 — What don't we know?</w:t>
      </w:r>
    </w:p>
    <w:p>
      <w:pPr>
        <w:spacing w:after="160"/>
      </w:pPr>
      <w:r>
        <w:rPr>
          <w:b/>
          <w:bCs/>
        </w:rPr>
        <w:t xml:space="preserve">“Do we need to make assumptions? Which ones are critical?”</w:t>
      </w:r>
    </w:p>
    <w:p>
      <w:pPr>
        <w:spacing w:after="160"/>
      </w:pPr>
      <w:r>
        <w:t xml:space="preserve">Surface Appendix C's two load-bearing assumptions honestly: MA1 (normalize against this year's pool's own best score, not an external maximum) and MA2 (weight all five categories equally, absent evidence any one predicts success better). Ask which one a Hero would challenge first if they were an excluded applicant's family — both are real, defensible, and both are choices, not facts.</w:t>
      </w:r>
    </w:p>
    <w:p>
      <w:pPr>
        <w:pStyle w:val="Heading2"/>
        <w:spacing w:after="160" w:before="300"/>
      </w:pPr>
      <w:r>
        <w:t xml:space="preserve">Data Deep Dive</w:t>
      </w:r>
    </w:p>
    <w:p>
      <w:pPr>
        <w:spacing w:after="160"/>
      </w:pPr>
      <w:r>
        <w:t xml:space="preserve">Now, and only now, the numbers. Walk the normalized-score table (D1) and the two per-applicant figures (D2 — single-best and composite) together as a room, cold-calling for which normalization basis a Hero used. This is where a Hero who skipped Appendix C visibly disagrees with everyone else's numbers, which is useful information for the facilitator, not a moment to rescue.</w:t>
      </w:r>
    </w:p>
    <w:p>
      <w:pPr>
        <w:pStyle w:val="Heading1"/>
        <w:spacing w:after="160" w:before="300"/>
      </w:pPr>
      <w:r>
        <w:t xml:space="preserve">The Answer Key — what the numbers actually say</w:t>
      </w:r>
    </w:p>
    <w:p>
      <w:pPr>
        <w:spacing w:after="160"/>
      </w:pPr>
      <w:r>
        <w:rPr>
          <w:b/>
          <w:bCs/>
        </w:rPr>
        <w:t xml:space="preserve">Standout Slate (highest single-best normalized score): </w:t>
      </w:r>
      <w:r>
        <w:t xml:space="preserve">Sophia, Spencer, Riley — average single-best normalized score 100.0 (each of the three leads the entire pool outright in at least one category: Sophia in three, Spencer and Riley one each). Average composite score: 72.3.</w:t>
      </w:r>
    </w:p>
    <w:p>
      <w:pPr>
        <w:spacing w:after="160"/>
      </w:pPr>
      <w:r>
        <w:rPr>
          <w:b/>
          <w:bCs/>
        </w:rPr>
        <w:t xml:space="preserve">Balanced Slate (highest composite score): </w:t>
      </w:r>
      <w:r>
        <w:t xml:space="preserve">Sophia, Tyler, Brigitte — average composite score 79.0. Average single-best normalized score: 92.1.</w:t>
      </w:r>
    </w:p>
    <w:p>
      <w:pPr>
        <w:spacing w:after="160"/>
      </w:pPr>
      <w:r>
        <w:rPr>
          <w:b/>
          <w:bCs/>
        </w:rPr>
        <w:t xml:space="preserve">Margin (primary metric — composite score): </w:t>
      </w:r>
      <w:r>
        <w:t xml:space="preserve">The Balanced Slate leads by 9.3%, well inside SPEC's 20% cap. On the reverse lens (average single-best normalized score, the metric The Standout Slate's own rule optimizes), The Standout Slate leads by 8.62%.</w:t>
      </w:r>
    </w:p>
    <w:p>
      <w:pPr>
        <w:pStyle w:val="Heading2"/>
        <w:spacing w:after="160" w:before="300"/>
      </w:pPr>
      <w:r>
        <w:t xml:space="preserve">Argument A (Standout Slate)</w:t>
      </w:r>
    </w:p>
    <w:p>
      <w:pPr>
        <w:spacing w:after="160"/>
      </w:pPr>
      <w:r>
        <w:t xml:space="preserve">On the case's own composite metric, The Standout Slate (Sophia, Spencer, Riley) still averages a strong 72.3 — and on the metric its own selection rule directly optimizes (average single-best normalized score), it posts a perfect 100.0 across all three admits: each of the three leads AFCR's entire applicant pool outright in at least one of the five measured categories (Sophia in three categories, Spencer and Riley one each). No applicant on The Balanced Slate leads the pool in any single category outright.</w:t>
      </w:r>
    </w:p>
    <w:p>
      <w:pPr>
        <w:pStyle w:val="Heading2"/>
        <w:spacing w:after="160" w:before="300"/>
      </w:pPr>
      <w:r>
        <w:t xml:space="preserve">Argument B (Balanced Slate)</w:t>
      </w:r>
    </w:p>
    <w:p>
      <w:pPr>
        <w:spacing w:after="160"/>
      </w:pPr>
      <w:r>
        <w:t xml:space="preserve">On the case's stated primary metric — composite score, the equal-weighted mean across all five normalized categories — The Balanced Slate (Sophia, Tyler, Brigitte) averages 79.0 against The Standout Slate's 72.3, a real and defensible edge. Two of The Balanced Slate's three admits (Tyler, Brigitte) never post the single highest score in any one category, but neither do they have a weak category the way Standout's Spencer (33.3 in Test 3) or Riley (46.7 in Test 2) do.</w:t>
      </w:r>
    </w:p>
    <w:p>
      <w:r>
        <w:br w:type="page"/>
      </w:r>
    </w:p>
    <w:p>
      <w:pPr>
        <w:pStyle w:val="Heading1"/>
        <w:spacing w:after="160" w:before="300"/>
      </w:pPr>
      <w:r>
        <w:t xml:space="preserve">Twist — drop this at ~15 minutes into the discussion</w:t>
      </w:r>
    </w:p>
    <w:p>
      <w:pPr>
        <w:spacing w:after="160"/>
      </w:pPr>
      <w:r>
        <w:t xml:space="preserve">Deliver slowly, with pauses:</w:t>
      </w:r>
    </w:p>
    <w:p>
      <w:pPr>
        <w:spacing w:after="200"/>
      </w:pPr>
      <w:r>
        <w:rPr>
          <w:i/>
          <w:iCs/>
        </w:rPr>
        <w:t xml:space="preserve">“Harriet's phone rings. It's Paul. 'Before you send the list — Sophia just called. She's withdrawing. She accepted a full scholarship at a rival transcription program an hour ago.' Sophia — the applicant every single Hero in this room ranked #1 on both lists — is gone. You have five minutes. Recompute both slates without her.”</w:t>
      </w:r>
    </w:p>
    <w:p>
      <w:pPr>
        <w:spacing w:after="160"/>
      </w:pPr>
      <w:r>
        <w:rPr>
          <w:b/>
          <w:bCs/>
        </w:rPr>
        <w:t xml:space="preserve">If a Hero asks whether the category maximums (Appendix B's bottom row) should be recomputed now that Sophia is out of the pool: no.</w:t>
      </w:r>
    </w:p>
    <w:p>
      <w:pPr>
        <w:spacing w:after="160"/>
      </w:pPr>
      <w:r>
        <w:t xml:space="preserve">Appendix C's MA1 fixes those maximums once, from the original 27-applicant field — they do not shift when someone later withdraws. This matters here because Sophia held or tied the pool max in three of five categories; a Hero who re-derives new maximums from the remaining 26 applicants will get a different, messier answer (several ties at 100%, and a different third seat on the Balanced Slate) than the one below. That's a legitimate modeling choice to surface if a sharp Hero raises it — “why should Sophia's number still set the bar for a competition she's no longer in?” is a fair question — but the case's own convention, stated in MA1, is to keep the scale fixed.</w:t>
      </w:r>
    </w:p>
    <w:p>
      <w:pPr>
        <w:spacing w:after="100"/>
      </w:pPr>
      <w:r>
        <w:rPr>
          <w:b/>
          <w:bCs/>
        </w:rPr>
        <w:t xml:space="preserve">Facilitator-only — what the numbers actually do:</w:t>
      </w:r>
    </w:p>
    <w:p>
      <w:pPr>
        <w:spacing w:after="160"/>
      </w:pPr>
      <w:r>
        <w:t xml:space="preserve">With Sophia removed, the Standout Slate becomes Spencer, Riley, Tyler (Tyler moves up to the third specialist seat) and the Balanced Slate becomes Tyler, Brigitte, Riley (Riley moves up to the third generalist seat). The two rosters now share two of three names — Tyler and Riley appear on both. The entire disagreement that felt like it spanned three seats collapses to exactly one: Spencer (the Standout Slate's pick) vs. Brigitte (the Balanced Slate's pick) for the final chair. Neither slate's own metric flips which philosophy wins overall (Standout still leads on average best-score, margin narrows to 6.03%; Balanced still leads on average composite, margin narrows to 8.03%) — the margins narrow slightly, but the practical fight in the room should visibly shrink from “three names each” to “one name each.”</w:t>
      </w:r>
    </w:p>
    <w:p>
      <w:pPr>
        <w:spacing w:after="160"/>
      </w:pPr>
      <w:r>
        <w:t xml:space="preserve">Do not tell a Hero which of Spencer or Brigitte should get the seat. If asked “so which one is right,” the honest answer is “you were arguing about three names, and now you're really only arguing about one — does that change how confident you are in either philosophy?”</w:t>
      </w:r>
    </w:p>
    <w:p>
      <w:pPr>
        <w:pStyle w:val="Heading2"/>
        <w:spacing w:after="160" w:before="300"/>
      </w:pPr>
      <w:r>
        <w:t xml:space="preserve">Immediate recommit</w:t>
      </w:r>
    </w:p>
    <w:p>
      <w:pPr>
        <w:spacing w:after="160"/>
      </w:pPr>
      <w:r>
        <w:t xml:space="preserve">Re-vote immediately. Ask by name: “What just broke in your model? Were you wrong — or just missing information you hadn't needed yet?” That distinction is the transferable skill, not the vote itself.</w:t>
      </w:r>
    </w:p>
    <w:p>
      <w:pPr>
        <w:pStyle w:val="Heading2"/>
        <w:spacing w:after="160" w:before="300"/>
      </w:pPr>
      <w:r>
        <w:t xml:space="preserve">Deep conflict — three threads (20–30 min)</w:t>
      </w:r>
    </w:p>
    <w:p>
      <w:pPr>
        <w:spacing w:after="100"/>
      </w:pPr>
      <w:r>
        <w:rPr>
          <w:b/>
          <w:bCs/>
        </w:rPr>
        <w:t xml:space="preserve">1. Spencer vs. Brigitte, head to head. </w:t>
      </w:r>
      <w:r>
        <w:t xml:space="preserve">Spencer is AFCR's fastest typist in the pool by a wide margin but posts the weakest memory-test showing of anyone discussed today. Brigitte never leads the pool in any single category but has no real weakness either. Which one would you actually want transcribing a live, high-stakes trial tomorrow?</w:t>
      </w:r>
    </w:p>
    <w:p>
      <w:pPr>
        <w:spacing w:after="100"/>
      </w:pPr>
      <w:r>
        <w:rPr>
          <w:b/>
          <w:bCs/>
        </w:rPr>
        <w:t xml:space="preserve">2. MA1 vs. MA2 — which assumption is doing more work? </w:t>
      </w:r>
      <w:r>
        <w:t xml:space="preserve">Ask the room to vote: if you had to change exactly one of Appendix C's two load-bearing assumptions, which would move the needle more — how scores are normalized, or how the five categories are weighted? Have them defend it with a number, not a hunch.</w:t>
      </w:r>
    </w:p>
    <w:p>
      <w:pPr>
        <w:spacing w:after="160"/>
      </w:pPr>
      <w:r>
        <w:rPr>
          <w:b/>
          <w:bCs/>
        </w:rPr>
        <w:t xml:space="preserve">3. Harriet's own accountability. </w:t>
      </w:r>
      <w:r>
        <w:t xml:space="preserve">She funds AFCR herself and answers personally if its reputation slips. Does that change what kind of applicant she should actually want — insurance against one weak spot (Balanced), or a shot at producing the single most spectacular graduate AFCR has ever had (Standout)?</w:t>
      </w:r>
    </w:p>
    <w:p>
      <w:pPr>
        <w:pStyle w:val="Heading2"/>
        <w:spacing w:after="160" w:before="30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E2F3" w:color="auto" w:val="clear"/>
            <w:tcMar>
              <w:top w:type="dxa" w:w="60"/>
              <w:left w:type="dxa" w:w="80"/>
              <w:bottom w:type="dxa" w:w="60"/>
              <w:right w:type="dxa" w:w="80"/>
            </w:tcMar>
          </w:tcPr>
          <w:p>
            <w:r>
              <w:rPr>
                <w:b/>
                <w:bCs/>
                <w:sz w:val="18"/>
                <w:szCs w:val="18"/>
              </w:rPr>
              <w:t xml:space="preserve">Time</w:t>
            </w:r>
          </w:p>
        </w:tc>
        <w:tc>
          <w:tcPr>
            <w:tcW w:type="dxa" w:w="7200"/>
            <w:shd w:fill="D9E2F3" w:color="auto" w:val="clear"/>
            <w:tcMar>
              <w:top w:type="dxa" w:w="60"/>
              <w:left w:type="dxa" w:w="80"/>
              <w:bottom w:type="dxa" w:w="60"/>
              <w:right w:type="dxa" w:w="80"/>
            </w:tcMar>
          </w:tcPr>
          <w:p>
            <w:r>
              <w:rPr>
                <w:b/>
                <w:bCs/>
                <w:sz w:val="18"/>
                <w:szCs w:val="18"/>
              </w:rPr>
              <w:t xml:space="preserve">Move</w:t>
            </w:r>
          </w:p>
        </w:tc>
      </w:tr>
      <w:tr>
        <w:tc>
          <w:tcPr>
            <w:tcW w:type="dxa" w:w="1800"/>
            <w:tcMar>
              <w:top w:type="dxa" w:w="60"/>
              <w:left w:type="dxa" w:w="80"/>
              <w:bottom w:type="dxa" w:w="60"/>
              <w:right w:type="dxa" w:w="80"/>
            </w:tcMar>
          </w:tcPr>
          <w:p>
            <w:r>
              <w:rPr>
                <w:b w:val="false"/>
                <w:bCs w:val="false"/>
                <w:sz w:val="18"/>
                <w:szCs w:val="18"/>
              </w:rPr>
              <w:t xml:space="preserve">0:00–3:00</w:t>
            </w:r>
          </w:p>
        </w:tc>
        <w:tc>
          <w:tcPr>
            <w:tcW w:type="dxa" w:w="7200"/>
            <w:tcMar>
              <w:top w:type="dxa" w:w="60"/>
              <w:left w:type="dxa" w:w="80"/>
              <w:bottom w:type="dxa" w:w="60"/>
              <w:right w:type="dxa" w:w="80"/>
            </w:tcMar>
          </w:tcPr>
          <w:p>
            <w:r>
              <w:rPr>
                <w:b w:val="false"/>
                <w:bCs w:val="false"/>
                <w:sz w:val="18"/>
                <w:szCs w:val="18"/>
              </w:rPr>
              <w:t xml:space="preserve">Launch — read the five test descriptions aloud, cold-call for a gut read on what should matter most, no scores yet</w:t>
            </w:r>
          </w:p>
        </w:tc>
      </w:tr>
      <w:tr>
        <w:tc>
          <w:tcPr>
            <w:tcW w:type="dxa" w:w="1800"/>
            <w:tcMar>
              <w:top w:type="dxa" w:w="60"/>
              <w:left w:type="dxa" w:w="80"/>
              <w:bottom w:type="dxa" w:w="60"/>
              <w:right w:type="dxa" w:w="80"/>
            </w:tcMar>
          </w:tcPr>
          <w:p>
            <w:r>
              <w:rPr>
                <w:b w:val="false"/>
                <w:bCs w:val="false"/>
                <w:sz w:val="18"/>
                <w:szCs w:val="18"/>
              </w:rPr>
              <w:t xml:space="preserve">3:00–10:00</w:t>
            </w:r>
          </w:p>
        </w:tc>
        <w:tc>
          <w:tcPr>
            <w:tcW w:type="dxa" w:w="7200"/>
            <w:tcMar>
              <w:top w:type="dxa" w:w="60"/>
              <w:left w:type="dxa" w:w="80"/>
              <w:bottom w:type="dxa" w:w="60"/>
              <w:right w:type="dxa" w:w="80"/>
            </w:tcMar>
          </w:tcPr>
          <w:p>
            <w:r>
              <w:rPr>
                <w:b w:val="false"/>
                <w:bCs w:val="false"/>
                <w:sz w:val="18"/>
                <w:szCs w:val="18"/>
              </w:rPr>
              <w:t xml:space="preserve">Position defense — “Convince us your slate is better, not just different”</w:t>
            </w:r>
          </w:p>
        </w:tc>
      </w:tr>
      <w:tr>
        <w:tc>
          <w:tcPr>
            <w:tcW w:type="dxa" w:w="1800"/>
            <w:tcMar>
              <w:top w:type="dxa" w:w="60"/>
              <w:left w:type="dxa" w:w="80"/>
              <w:bottom w:type="dxa" w:w="60"/>
              <w:right w:type="dxa" w:w="80"/>
            </w:tcMar>
          </w:tcPr>
          <w:p>
            <w:r>
              <w:rPr>
                <w:b w:val="false"/>
                <w:bCs w:val="false"/>
                <w:sz w:val="18"/>
                <w:szCs w:val="18"/>
              </w:rPr>
              <w:t xml:space="preserve">10:00–15:00</w:t>
            </w:r>
          </w:p>
        </w:tc>
        <w:tc>
          <w:tcPr>
            <w:tcW w:type="dxa" w:w="7200"/>
            <w:tcMar>
              <w:top w:type="dxa" w:w="60"/>
              <w:left w:type="dxa" w:w="80"/>
              <w:bottom w:type="dxa" w:w="60"/>
              <w:right w:type="dxa" w:w="80"/>
            </w:tcMar>
          </w:tcPr>
          <w:p>
            <w:r>
              <w:rPr>
                <w:b w:val="false"/>
                <w:bCs w:val="false"/>
                <w:sz w:val="18"/>
                <w:szCs w:val="18"/>
              </w:rPr>
              <w:t xml:space="preserve">Pressure-test the models — “Which of your three names is most fragile if the numbers moved a little?”</w:t>
            </w:r>
          </w:p>
        </w:tc>
      </w:tr>
      <w:tr>
        <w:tc>
          <w:tcPr>
            <w:tcW w:type="dxa" w:w="1800"/>
            <w:tcMar>
              <w:top w:type="dxa" w:w="60"/>
              <w:left w:type="dxa" w:w="80"/>
              <w:bottom w:type="dxa" w:w="60"/>
              <w:right w:type="dxa" w:w="80"/>
            </w:tcMar>
          </w:tcPr>
          <w:p>
            <w:r>
              <w:rPr>
                <w:b w:val="false"/>
                <w:bCs w:val="false"/>
                <w:sz w:val="18"/>
                <w:szCs w:val="18"/>
              </w:rPr>
              <w:t xml:space="preserve">15:00</w:t>
            </w:r>
          </w:p>
        </w:tc>
        <w:tc>
          <w:tcPr>
            <w:tcW w:type="dxa" w:w="7200"/>
            <w:tcMar>
              <w:top w:type="dxa" w:w="60"/>
              <w:left w:type="dxa" w:w="80"/>
              <w:bottom w:type="dxa" w:w="60"/>
              <w:right w:type="dxa" w:w="80"/>
            </w:tcMar>
          </w:tcPr>
          <w:p>
            <w:r>
              <w:rPr>
                <w:b w:val="false"/>
                <w:bCs w:val="false"/>
                <w:sz w:val="18"/>
                <w:szCs w:val="18"/>
              </w:rPr>
              <w:t xml:space="preserve">DROP THE TWIST — Sophia withdraws, delivered slowly</w:t>
            </w:r>
          </w:p>
        </w:tc>
      </w:tr>
      <w:tr>
        <w:tc>
          <w:tcPr>
            <w:tcW w:type="dxa" w:w="1800"/>
            <w:tcMar>
              <w:top w:type="dxa" w:w="60"/>
              <w:left w:type="dxa" w:w="80"/>
              <w:bottom w:type="dxa" w:w="60"/>
              <w:right w:type="dxa" w:w="80"/>
            </w:tcMar>
          </w:tcPr>
          <w:p>
            <w:r>
              <w:rPr>
                <w:b w:val="false"/>
                <w:bCs w:val="false"/>
                <w:sz w:val="18"/>
                <w:szCs w:val="18"/>
              </w:rPr>
              <w:t xml:space="preserve">15:00–20:00</w:t>
            </w:r>
          </w:p>
        </w:tc>
        <w:tc>
          <w:tcPr>
            <w:tcW w:type="dxa" w:w="7200"/>
            <w:tcMar>
              <w:top w:type="dxa" w:w="60"/>
              <w:left w:type="dxa" w:w="80"/>
              <w:bottom w:type="dxa" w:w="60"/>
              <w:right w:type="dxa" w:w="80"/>
            </w:tcMar>
          </w:tcPr>
          <w:p>
            <w:r>
              <w:rPr>
                <w:b w:val="false"/>
                <w:bCs w:val="false"/>
                <w:sz w:val="18"/>
                <w:szCs w:val="18"/>
              </w:rPr>
              <w:t xml:space="preserve">Immediate recommit — who reverses, and why</w:t>
            </w:r>
          </w:p>
        </w:tc>
      </w:tr>
      <w:tr>
        <w:tc>
          <w:tcPr>
            <w:tcW w:type="dxa" w:w="1800"/>
            <w:tcMar>
              <w:top w:type="dxa" w:w="60"/>
              <w:left w:type="dxa" w:w="80"/>
              <w:bottom w:type="dxa" w:w="60"/>
              <w:right w:type="dxa" w:w="80"/>
            </w:tcMar>
          </w:tcPr>
          <w:p>
            <w:r>
              <w:rPr>
                <w:b w:val="false"/>
                <w:bCs w:val="false"/>
                <w:sz w:val="18"/>
                <w:szCs w:val="18"/>
              </w:rPr>
              <w:t xml:space="preserve">20:00–30:00</w:t>
            </w:r>
          </w:p>
        </w:tc>
        <w:tc>
          <w:tcPr>
            <w:tcW w:type="dxa" w:w="7200"/>
            <w:tcMar>
              <w:top w:type="dxa" w:w="60"/>
              <w:left w:type="dxa" w:w="80"/>
              <w:bottom w:type="dxa" w:w="60"/>
              <w:right w:type="dxa" w:w="80"/>
            </w:tcMar>
          </w:tcPr>
          <w:p>
            <w:r>
              <w:rPr>
                <w:b w:val="false"/>
                <w:bCs w:val="false"/>
                <w:sz w:val="18"/>
                <w:szCs w:val="18"/>
              </w:rPr>
              <w:t xml:space="preserve">Threaded deep conflict (Spencer vs. Brigitte; MA1 vs. MA2; Harriet's own stakes)</w:t>
            </w:r>
          </w:p>
        </w:tc>
      </w:tr>
      <w:tr>
        <w:tc>
          <w:tcPr>
            <w:tcW w:type="dxa" w:w="1800"/>
            <w:tcMar>
              <w:top w:type="dxa" w:w="60"/>
              <w:left w:type="dxa" w:w="80"/>
              <w:bottom w:type="dxa" w:w="60"/>
              <w:right w:type="dxa" w:w="80"/>
            </w:tcMar>
          </w:tcPr>
          <w:p>
            <w:r>
              <w:rPr>
                <w:b w:val="false"/>
                <w:bCs w:val="false"/>
                <w:sz w:val="18"/>
                <w:szCs w:val="18"/>
              </w:rPr>
              <w:t xml:space="preserve">30:00–45:00</w:t>
            </w:r>
          </w:p>
        </w:tc>
        <w:tc>
          <w:tcPr>
            <w:tcW w:type="dxa" w:w="7200"/>
            <w:tcMar>
              <w:top w:type="dxa" w:w="60"/>
              <w:left w:type="dxa" w:w="80"/>
              <w:bottom w:type="dxa" w:w="60"/>
              <w:right w:type="dxa" w:w="80"/>
            </w:tcMar>
          </w:tcPr>
          <w:p>
            <w:r>
              <w:rPr>
                <w:b w:val="false"/>
                <w:bCs w:val="false"/>
                <w:sz w:val="18"/>
                <w:szCs w:val="18"/>
              </w:rPr>
              <w:t xml:space="preserve">Close, re-vote, reflection, lessons learned</w:t>
            </w:r>
          </w:p>
        </w:tc>
      </w:tr>
    </w:tbl>
    <w:p>
      <w:r>
        <w:br w:type="page"/>
      </w:r>
    </w:p>
    <w:p>
      <w:pPr>
        <w:pStyle w:val="Heading1"/>
        <w:spacing w:after="160" w:before="300"/>
      </w:pPr>
      <w:r>
        <w:t xml:space="preserve">The trap</w:t>
      </w:r>
    </w:p>
    <w:p>
      <w:pPr>
        <w:spacing w:after="160"/>
      </w:pPr>
      <w:r>
        <w:t xml:space="preserve">Most Heroes will build whichever ranking they land on first, assume it is simply the answer, and never build the other one to discover it disagrees. They will assume “best single score” and “best composite score” must land on the same three names — the case's real tension is that they don't, and Harriet's actual job is to decide which reading she trusts more, not to find the one true ranking. Watch for a pitch that skips building both required rankings (D3 explicitly requires both) and calls the case closed.</w:t>
      </w:r>
    </w:p>
    <w:p>
      <w:pPr>
        <w:pStyle w:val="Heading1"/>
        <w:spacing w:after="160" w:before="300"/>
      </w:pPr>
      <w:r>
        <w:t xml:space="preserve">Socratic questions</w:t>
      </w:r>
    </w:p>
    <w:p>
      <w:pPr>
        <w:pStyle w:val="ListParagraph"/>
        <w:numPr>
          <w:ilvl w:val="0"/>
          <w:numId w:val="2"/>
        </w:numPr>
        <w:spacing w:after="100"/>
      </w:pPr>
      <w:r>
        <w:t xml:space="preserve">The Balanced Slate leads by 9.3% on composite score — what would the Standout Slate need to change about even one applicant's profile to close that gap?</w:t>
      </w:r>
    </w:p>
    <w:p>
      <w:pPr>
        <w:pStyle w:val="ListParagraph"/>
        <w:numPr>
          <w:ilvl w:val="0"/>
          <w:numId w:val="2"/>
        </w:numPr>
        <w:spacing w:after="100"/>
      </w:pPr>
      <w:r>
        <w:t xml:space="preserve">Sophia was #1 on both of your original rankings — why did losing just one applicant out of 27 collapse the disagreement between the two methods from three seats down to one?</w:t>
      </w:r>
    </w:p>
    <w:p>
      <w:pPr>
        <w:pStyle w:val="ListParagraph"/>
        <w:numPr>
          <w:ilvl w:val="0"/>
          <w:numId w:val="2"/>
        </w:numPr>
        <w:spacing w:after="100"/>
      </w:pPr>
      <w:r>
        <w:t xml:space="preserve">Spencer posts the pool's single fastest typing speed by a wide margin but the weakest showing on Test 3 of anyone discussed today — is an applicant's single best skill more predictive of future success than their weakest one, or less?</w:t>
      </w:r>
    </w:p>
    <w:p>
      <w:pPr>
        <w:pStyle w:val="ListParagraph"/>
        <w:numPr>
          <w:ilvl w:val="0"/>
          <w:numId w:val="2"/>
        </w:numPr>
        <w:spacing w:after="100"/>
      </w:pPr>
      <w:r>
        <w:t xml:space="preserve">Appendix C's MA1 scales every category to this year's best score, not a fixed external maximum — what would happen to every applicant's normalized scores in a year with a much stronger (or much weaker) applicant pool?</w:t>
      </w:r>
    </w:p>
    <w:p>
      <w:pPr>
        <w:pStyle w:val="ListParagraph"/>
        <w:numPr>
          <w:ilvl w:val="0"/>
          <w:numId w:val="2"/>
        </w:numPr>
        <w:spacing w:after="100"/>
      </w:pPr>
      <w:r>
        <w:t xml:space="preserve">If AFCR is funded entirely out of Harriet's own pocket and her reputation is on the line personally, does that make her more likely to want a Standout Slate or a Balanced Slate — and is that a fact about test scores, or a fact about what Harriet personally has to lose?</w:t>
      </w:r>
    </w:p>
    <w:p>
      <w:pPr>
        <w:pStyle w:val="Heading1"/>
        <w:spacing w:after="160" w:before="300"/>
      </w:pPr>
      <w:r>
        <w:t xml:space="preserve">What a strong defense sounds like</w:t>
      </w:r>
    </w:p>
    <w:p>
      <w:pPr>
        <w:spacing w:after="160"/>
      </w:pPr>
      <w:r>
        <w:t xml:space="preserve">This case has no single right answer, so grade the reasoning, not the vote. A strong pitch builds both required rankings before choosing (D3), names which of Appendix C's two assumptions (MA1, MA2) it is leaning on hardest, and can say in one sentence what would have to change about the data for the opposite slate to win. A strong pitch also treats Harriet's personal financial and reputational stake as a legitimate reason to prefer one philosophy over the other, not just a narrative detail — and after the twist, can articulate why the fight shrank from three seats to one instead of just reporting new names.</w:t>
      </w:r>
    </w:p>
    <w:p>
      <w:pPr>
        <w:pStyle w:val="Heading1"/>
        <w:spacing w:after="160" w:before="300"/>
      </w:pPr>
      <w:r>
        <w:t xml:space="preserve">Close</w:t>
      </w:r>
    </w:p>
    <w:p>
      <w:pPr>
        <w:spacing w:after="160"/>
      </w:pPr>
      <w:r>
        <w:rPr>
          <w:b/>
          <w:bCs/>
        </w:rPr>
        <w:t xml:space="preserve">VOTE AGAIN.</w:t>
      </w:r>
    </w:p>
    <w:p>
      <w:pPr>
        <w:spacing w:after="160"/>
      </w:pPr>
      <w:r>
        <w:t xml:space="preserve">“Did we ask the right question at the start?” “What math was new to you tonight, and how did you actually attack it?” Compare the closing vote to Anchor 1's — a room that didn't move at all after the twist is worth asking about directly: did the Spencer-vs-Brigitte question not land, or did the room already see both sides coming?</w:t>
      </w:r>
    </w:p>
    <w:p>
      <w:pPr>
        <w:pStyle w:val="Heading2"/>
        <w:spacing w:after="160" w:before="300"/>
      </w:pPr>
      <w:r>
        <w:t xml:space="preserve">Cohort-band adjustments</w:t>
      </w:r>
    </w:p>
    <w:p>
      <w:pPr>
        <w:spacing w:after="100"/>
      </w:pPr>
      <w:r>
        <w:rPr>
          <w:b/>
          <w:bCs/>
        </w:rPr>
        <w:t xml:space="preserve">Full (14–20): </w:t>
      </w:r>
      <w:r>
        <w:t xml:space="preserve">Anchors 2–4 run as written; the Sophia-withdrawal twist lands after the room has already committed to named rosters, and the 20–30 min block runs all three deep-conflict threads.</w:t>
      </w:r>
    </w:p>
    <w:p>
      <w:pPr>
        <w:spacing w:after="100"/>
      </w:pPr>
      <w:r>
        <w:rPr>
          <w:b/>
          <w:bCs/>
        </w:rPr>
        <w:t xml:space="preserve">Compressed (7–13): </w:t>
      </w:r>
      <w:r>
        <w:t xml:space="preserve">Anchors 2–3 combine into one pass; the twist still drops, but the deep-conflict thread narrows to the single Spencer-vs-Brigitte tension the twist isolates, instead of also exploring MA1/MA2's broader modeling-choice questions.</w:t>
      </w:r>
    </w:p>
    <w:p>
      <w:pPr>
        <w:spacing w:after="160"/>
      </w:pPr>
      <w:r>
        <w:rPr>
          <w:b/>
          <w:bCs/>
        </w:rPr>
        <w:t xml:space="preserve">1:1 / pair (1–2): </w:t>
      </w:r>
      <w:r>
        <w:t xml:space="preserve">No vote to take — Anchor 1 becomes a stated initial position instead of a cold-call; guide plays devil's advocate directly; the twist still lands and “who reverses” becomes “would you reverse, and why”.</w:t>
      </w:r>
    </w:p>
    <w:p>
      <w:pPr>
        <w:pStyle w:val="Heading2"/>
        <w:spacing w:after="160" w:before="300"/>
      </w:pPr>
      <w:r>
        <w:t xml:space="preserve">Standards touched on</w:t>
      </w:r>
    </w:p>
    <w:p>
      <w:pPr>
        <w:spacing w:after="160"/>
      </w:pPr>
      <w:r>
        <w:t xml:space="preserve">Ratio · Percent · Mean · Bar Graph · How to convert numbers to percents · How to find the mean of a set of data · How to compare two or more values</w:t>
      </w:r>
    </w:p>
    <w:p>
      <w:pPr>
        <w:pStyle w:val="Heading2"/>
        <w:spacing w:after="160" w:before="300"/>
      </w:pPr>
      <w:r>
        <w:t xml:space="preserve">Facilitator note — sensitivity</w:t>
      </w:r>
    </w:p>
    <w:p>
      <w:pPr>
        <w:spacing w:after="160"/>
      </w:pPr>
      <w:r>
        <w:t xml:space="preserve">None required (SPEC §6) — the stakes are a competitive admissions decision, not personal loss, illness, or hardship. Facilitators should still be aware that some Heroes may personally know someone who didn't make a selective team or program, and can find exclusion decisions resonant; no case-specific content changes are needed. Note for any facilitator familiar with this case's legacy version: the original single-gender “Twist” concept from the source Guide Notes is not part of this case in any form and should never be introduced, referenced, or improvised into a discussion of this case.</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2026-08-20T23:25:27.471Z</dcterms:created>
  <dcterms:modified xsi:type="dcterms:W3CDTF">2026-08-20T23:25:27.472Z</dcterms:modified>
</cp:coreProperties>
</file>

<file path=docProps/custom.xml><?xml version="1.0" encoding="utf-8"?>
<Properties xmlns="http://schemas.openxmlformats.org/officeDocument/2006/custom-properties" xmlns:vt="http://schemas.openxmlformats.org/officeDocument/2006/docPropsVTypes"/>
</file>