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3a5c"/>
          <w:sz w:val="40"/>
          <w:szCs w:val="40"/>
        </w:rPr>
        <w:t xml:space="preserve">Facilitator Guide: The Multiplier Recruit</w:t>
      </w:r>
    </w:p>
    <w:p>
      <w:pPr>
        <w:spacing w:after="100"/>
      </w:pPr>
      <w:r>
        <w:rPr>
          <w:i/>
          <w:iCs/>
          <w:color w:val="5b6472"/>
          <w:sz w:val="20"/>
          <w:szCs w:val="20"/>
        </w:rPr>
        <w:t xml:space="preserve">MS | Math | Case Study | 2026 | Adventure</w:t>
      </w:r>
    </w:p>
    <w:p>
      <w:pPr>
        <w:spacing w:after="320"/>
      </w:pPr>
      <w:r>
        <w:rPr>
          <w:b/>
          <w:bCs/>
          <w:color w:val="a3312a"/>
          <w:sz w:val="20"/>
          <w:szCs w:val="20"/>
        </w:rPr>
        <w:t xml:space="preserve">FACILITATOR-ONLY — contains the balance arguments, the real margin, and the trap. Do not distribute to students.</w:t>
      </w:r>
    </w:p>
    <w:tbl>
      <w:tblPr>
        <w:tblW w:type="dxa" w:w="9600"/>
        <w:tblBorders>
          <w:top w:val="single" w:color="1f7a4d" w:sz="6"/>
          <w:left w:val="single" w:color="1f7a4d" w:sz="6"/>
          <w:bottom w:val="single" w:color="1f7a4d" w:sz="6"/>
          <w:right w:val="single" w:color="1f7a4d" w:sz="6"/>
          <w:insideH w:val="single" w:color="auto" w:sz="4"/>
          <w:insideV w:val="single" w:color="auto" w:sz="4"/>
        </w:tblBorders>
      </w:tblPr>
      <w:tblGrid>
        <w:gridCol w:w="9600"/>
      </w:tblGrid>
      <w:tr>
        <w:tc>
          <w:tcPr>
            <w:tcW w:type="dxa" w:w="9600"/>
            <w:shd w:fill="E6F4EC" w:color="auto" w:val="clear"/>
            <w:tcMar>
              <w:top w:type="dxa" w:w="160"/>
              <w:left w:type="dxa" w:w="200"/>
              <w:bottom w:type="dxa" w:w="160"/>
              <w:right w:type="dxa" w:w="200"/>
            </w:tcMar>
          </w:tcPr>
          <w:p>
            <w:pPr>
              <w:spacing w:after="80"/>
            </w:pPr>
            <w:r>
              <w:rPr>
                <w:b/>
                <w:bCs/>
                <w:color w:val="1a3a5c"/>
                <w:sz w:val="22"/>
                <w:szCs w:val="22"/>
              </w:rPr>
              <w:t xml:space="preserve">SPEC §6 sensitivity note</w:t>
            </w:r>
          </w:p>
          <w:p>
            <w:r>
              <w:rPr>
                <w:sz w:val="20"/>
                <w:szCs w:val="20"/>
              </w:rPr>
              <w:t xml:space="preserve">This case carries no SPEC §6 sensitivity — it is routine regional economic-development math (which employer a county recruits with a public incentive), with no protected subject matter. No facilitator flag is needed beyond normal classroom awareness that some Heroes may have a parent or neighbor who works in economic development, manufacturing, or logistics.</w:t>
            </w:r>
          </w:p>
        </w:tc>
      </w:tr>
    </w:tbl>
    <w:p>
      <w:pPr>
        <w:pStyle w:val="Heading1"/>
        <w:spacing w:after="160" w:before="320"/>
      </w:pPr>
      <w:r>
        <w:rPr>
          <w:b/>
          <w:bCs/>
          <w:color w:val="1a3a5c"/>
          <w:sz w:val="32"/>
          <w:szCs w:val="32"/>
        </w:rPr>
        <w:t xml:space="preserve">Case &amp; Standards</w:t>
      </w:r>
    </w:p>
    <w:p>
      <w:pPr>
        <w:spacing w:after="120" w:before="0"/>
      </w:pPr>
      <w:r>
        <w:rPr>
          <w:b/>
          <w:bCs/>
        </w:rPr>
        <w:t xml:space="preserve">Case: The Multiplier Recruit  ·  Tier: T2 (MS-core)  ·  Studio: Adventure</w:t>
      </w:r>
    </w:p>
    <w:p>
      <w:pPr>
        <w:spacing w:after="120" w:before="0"/>
      </w:pPr>
      <w:r>
        <w:t xml:space="preserve">Standards touched on: Matrix · Matrix Dimension · Determinant · Identity Matrix · How to add and multiply matrices · How to find the determinant of a 2x2 matrix · How to solve a system of equations using a matrix</w:t>
      </w:r>
    </w:p>
    <w:p>
      <w:pPr>
        <w:spacing w:after="120" w:before="0"/>
      </w:pPr>
      <w:r>
        <w:t xml:space="preserve">This case closes the full Pre-Calculus/Matrices spine group — 7 of 7 previously zero-coverage skills.</w:t>
      </w:r>
    </w:p>
    <w:p>
      <w:pPr>
        <w:pStyle w:val="Heading1"/>
        <w:spacing w:after="160" w:before="320"/>
      </w:pPr>
      <w:r>
        <w:rPr>
          <w:b/>
          <w:bCs/>
          <w:color w:val="1a3a5c"/>
          <w:sz w:val="32"/>
          <w:szCs w:val="32"/>
        </w:rPr>
        <w:t xml:space="preserve">The Two Arguments and the Margin</w:t>
      </w:r>
    </w:p>
    <w:p>
      <w:pPr>
        <w:pStyle w:val="Heading3"/>
        <w:spacing w:after="100" w:before="200"/>
      </w:pPr>
      <w:r>
        <w:rPr>
          <w:b/>
          <w:bCs/>
          <w:color w:val="1a3a5c"/>
          <w:sz w:val="23"/>
          <w:szCs w:val="23"/>
        </w:rPr>
        <w:t xml:space="preserve">Argument for A (Meridian Forgeworks)</w:t>
      </w:r>
    </w:p>
    <w:p>
      <w:pPr>
        <w:spacing w:after="120" w:before="0"/>
      </w:pPr>
      <w:r>
        <w:t xml:space="preserve">d = [140, 0]ᵀ. x = (I−A)⁻¹d = [175.98, 15.64]ᵀ, total 191.62 regional jobs supported. Incentive owed: 140 × $3,000 = $420,000. Jobs per $10,000 of incentive: 191.62 ÷ 42 = 4.56.</w:t>
      </w:r>
    </w:p>
    <w:p>
      <w:pPr>
        <w:pStyle w:val="Heading3"/>
        <w:spacing w:after="100" w:before="200"/>
      </w:pPr>
      <w:r>
        <w:rPr>
          <w:b/>
          <w:bCs/>
          <w:color w:val="1a3a5c"/>
          <w:sz w:val="23"/>
          <w:szCs w:val="23"/>
        </w:rPr>
        <w:t xml:space="preserve">Argument for B (Cascade Distribution)</w:t>
      </w:r>
    </w:p>
    <w:p>
      <w:pPr>
        <w:spacing w:after="120" w:before="0"/>
      </w:pPr>
      <w:r>
        <w:t xml:space="preserve">d = [0, 310]ᵀ. x = (I−A)⁻¹d = [21.65, 346.37]ᵀ, total 368.02 regional jobs supported. Incentive owed: 310 × $3,000 = $930,000. Jobs per $10,000 of incentive: 368.02 ÷ 93 = 3.96.</w:t>
      </w:r>
    </w:p>
    <w:p>
      <w:pPr>
        <w:pStyle w:val="Heading3"/>
        <w:spacing w:after="100" w:before="200"/>
      </w:pPr>
      <w:r>
        <w:rPr>
          <w:b/>
          <w:bCs/>
          <w:color w:val="1a3a5c"/>
          <w:sz w:val="23"/>
          <w:szCs w:val="23"/>
        </w:rPr>
        <w:t xml:space="preserve">The margin</w:t>
      </w:r>
    </w:p>
    <w:p>
      <w:pPr>
        <w:spacing w:after="120" w:before="0"/>
      </w:pPr>
      <w:r>
        <w:t xml:space="preserve">margin_pct = 13.3. margin_basis: (4.5624 − 3.9572) ÷ 4.5624 ≈ 13.27%. Meridian Forgeworks (Option A) wins on jobs-supported-per-incentive-dollar despite creating fewer than half of Cascade's direct jobs, because its higher local-purchasing coefficient compounds through the regional system. This sits comfortably inside SPEC §2's 20% cap — close enough that a Hero who only compares raw direct-job counts (310 &gt; 140) will confidently pick the wrong option.</w:t>
      </w:r>
    </w:p>
    <w:p>
      <w:pPr>
        <w:pStyle w:val="Heading3"/>
        <w:spacing w:after="100" w:before="200"/>
      </w:pPr>
      <w:r>
        <w:rPr>
          <w:b/>
          <w:bCs/>
          <w:color w:val="1a3a5c"/>
          <w:sz w:val="23"/>
          <w:szCs w:val="23"/>
        </w:rPr>
        <w:t xml:space="preserve">Facilitator-only arithmetic note</w:t>
      </w:r>
    </w:p>
    <w:p>
      <w:pPr>
        <w:spacing w:after="120" w:before="0"/>
      </w:pPr>
      <w:r>
        <w:t xml:space="preserve">A = [[0.20, 0.05], [0.08, 0.10]],  I−A = [[0.80, −0.05], [−0.08, 0.90]],  det(I−A) = (0.80)(0.90) − (−0.05)(−0.08) = 0.716</w:t>
      </w:r>
    </w:p>
    <w:p>
      <w:pPr>
        <w:spacing w:after="120" w:before="0"/>
      </w:pPr>
      <w:r>
        <w:t xml:space="preserve">(I−A)⁻¹ = (1/0.716) × [[0.90, 0.05], [0.08, 0.80]] = [[1.25698, 0.06983], [0.11173, 1.11732]]</w:t>
      </w:r>
    </w:p>
    <w:p>
      <w:pPr>
        <w:pStyle w:val="Heading1"/>
        <w:spacing w:after="160" w:before="320"/>
      </w:pPr>
      <w:r>
        <w:rPr>
          <w:b/>
          <w:bCs/>
          <w:color w:val="1a3a5c"/>
          <w:sz w:val="32"/>
          <w:szCs w:val="32"/>
        </w:rPr>
        <w:t xml:space="preserve">The Five Socratic Questions</w:t>
      </w:r>
    </w:p>
    <w:p>
      <w:pPr>
        <w:pStyle w:val="ListParagraph"/>
        <w:numPr>
          <w:ilvl w:val="0"/>
          <w:numId w:val="2"/>
        </w:numPr>
        <w:spacing w:after="100"/>
      </w:pPr>
      <w:r>
        <w:t xml:space="preserve">Both bids pay exactly $3,000 per direct job. If the rate is identical, why isn't the case a tie?</w:t>
      </w:r>
    </w:p>
    <w:p>
      <w:pPr>
        <w:pStyle w:val="ListParagraph"/>
        <w:numPr>
          <w:ilvl w:val="0"/>
          <w:numId w:val="2"/>
        </w:numPr>
        <w:spacing w:after="100"/>
      </w:pPr>
      <w:r>
        <w:t xml:space="preserve">Cascade Distribution creates more than double Meridian's direct jobs. What would Meridian's local-purchasing coefficients have to look like for Cascade to win on the case's actual metric instead?</w:t>
      </w:r>
    </w:p>
    <w:p>
      <w:pPr>
        <w:pStyle w:val="ListParagraph"/>
        <w:numPr>
          <w:ilvl w:val="0"/>
          <w:numId w:val="2"/>
        </w:numPr>
        <w:spacing w:after="100"/>
      </w:pPr>
      <w:r>
        <w:t xml:space="preserve">Appendix B's matrix is a stated assumption, not a purchased RIMS II table. What about the way it was built should make you trust it more than a number pulled out of thin air — and what would make you trust it less?</w:t>
      </w:r>
    </w:p>
    <w:p>
      <w:pPr>
        <w:pStyle w:val="ListParagraph"/>
        <w:numPr>
          <w:ilvl w:val="0"/>
          <w:numId w:val="2"/>
        </w:numPr>
        <w:spacing w:after="100"/>
      </w:pPr>
      <w:r>
        <w:t xml:space="preserve">You computed a determinant of 0.716 for (I − A) before solving anything. What would it have meant for Ben's model if that determinant had come out to 0?</w:t>
      </w:r>
    </w:p>
    <w:p>
      <w:pPr>
        <w:pStyle w:val="ListParagraph"/>
        <w:numPr>
          <w:ilvl w:val="0"/>
          <w:numId w:val="2"/>
        </w:numPr>
        <w:spacing w:after="100"/>
      </w:pPr>
      <w:r>
        <w:t xml:space="preserve">If Calder County doubled its incentive rate for both bids, would you expect the margin between Meridian and Cascade to grow, shrink, or stay exactly the same — and why?</w:t>
      </w:r>
    </w:p>
    <w:p>
      <w:pPr>
        <w:pStyle w:val="Heading1"/>
        <w:spacing w:after="160" w:before="320"/>
      </w:pPr>
      <w:r>
        <w:rPr>
          <w:b/>
          <w:bCs/>
          <w:color w:val="1a3a5c"/>
          <w:sz w:val="32"/>
          <w:szCs w:val="32"/>
        </w:rPr>
        <w:t xml:space="preserve">The Trap</w:t>
      </w:r>
    </w:p>
    <w:tbl>
      <w:tblPr>
        <w:tblW w:type="dxa" w:w="9600"/>
        <w:tblBorders>
          <w:top w:val="single" w:color="a3312a" w:sz="6"/>
          <w:left w:val="single" w:color="a3312a" w:sz="6"/>
          <w:bottom w:val="single" w:color="a3312a" w:sz="6"/>
          <w:right w:val="single" w:color="a3312a" w:sz="6"/>
          <w:insideH w:val="single" w:color="auto" w:sz="4"/>
          <w:insideV w:val="single" w:color="auto" w:sz="4"/>
        </w:tblBorders>
      </w:tblPr>
      <w:tblGrid>
        <w:gridCol w:w="9600"/>
      </w:tblGrid>
      <w:tr>
        <w:tc>
          <w:tcPr>
            <w:tcW w:type="dxa" w:w="9600"/>
            <w:shd w:fill="FBEEEB" w:color="auto" w:val="clear"/>
            <w:tcMar>
              <w:top w:type="dxa" w:w="160"/>
              <w:left w:type="dxa" w:w="200"/>
              <w:bottom w:type="dxa" w:w="160"/>
              <w:right w:type="dxa" w:w="200"/>
            </w:tcMar>
          </w:tcPr>
          <w:p>
            <w:pPr>
              <w:spacing w:after="80"/>
            </w:pPr>
            <w:r>
              <w:rPr>
                <w:b/>
                <w:bCs/>
                <w:color w:val="a3312a"/>
                <w:sz w:val="21"/>
                <w:szCs w:val="21"/>
              </w:rPr>
              <w:t xml:space="preserve">Trap 1 — the headcount trap</w:t>
            </w:r>
          </w:p>
          <w:p>
            <w:pPr>
              <w:spacing w:after="160"/>
            </w:pPr>
            <w:r>
              <w:rPr>
                <w:sz w:val="20"/>
                <w:szCs w:val="20"/>
              </w:rPr>
              <w:t xml:space="preserve">Both bids pay the exact same $3,000 per direct job — a Hero who stops there, or who simply compares 140 direct jobs to 310, will conclude Cascade Distribution is the clearly better use of the same incentive money, since it buys more than twice the direct jobs at the identical rate. That comparison never asks what happens to Calder County's economy after the hiring — it silently assumes every job an employer creates has the same regional ripple effect, when the entire point of Appendix B's matrix is that it does not. Watch for a pitch that reports 310 &gt; 140 and calls that decisive without ever opening Appendix B.</w:t>
            </w:r>
          </w:p>
          <w:p>
            <w:pPr>
              <w:spacing w:after="80"/>
            </w:pPr>
            <w:r>
              <w:rPr>
                <w:b/>
                <w:bCs/>
                <w:color w:val="a3312a"/>
                <w:sz w:val="21"/>
                <w:szCs w:val="21"/>
              </w:rPr>
              <w:t xml:space="preserve">Trap 2 — the raw-totals trap (survives correct matrix work)</w:t>
            </w:r>
          </w:p>
          <w:p>
            <w:r>
              <w:rPr>
                <w:sz w:val="20"/>
                <w:szCs w:val="20"/>
              </w:rPr>
              <w:t xml:space="preserve">A Hero can build and solve the matrix correctly, reach D4's totals (Cascade 368.02 vs. Meridian 191.62 total regional jobs), and still recommend Cascade — because 368.02 &gt; 191.62 too, if you stop at raw totals and never divide by the incentive dollars each bid actually costs (D5). This is more dangerous than the headcount trap because it survives real linear-algebra work and can read as "we did the sophisticated model, and it still says Cascade." Watch for a pitch that cites D4's totals alone; press for the per-$10,000 figure before accepting a recommendation.</w:t>
            </w:r>
          </w:p>
        </w:tc>
      </w:tr>
    </w:tbl>
    <w:p>
      <w:pPr>
        <w:pStyle w:val="Heading2"/>
        <w:spacing w:after="120" w:before="240"/>
      </w:pPr>
      <w:r>
        <w:rPr>
          <w:b/>
          <w:bCs/>
          <w:color w:val="1a3a5c"/>
          <w:sz w:val="26"/>
          <w:szCs w:val="26"/>
        </w:rPr>
        <w:t xml:space="preserve">Facilitator note — margin stability (Tier 2 P5)</w:t>
      </w:r>
    </w:p>
    <w:p>
      <w:pPr>
        <w:spacing w:after="120" w:before="0"/>
      </w:pPr>
      <w:r>
        <w:t xml:space="preserve">The 13.3% margin does not flip which employer wins under a ±50% flex of any single matrix coefficient in Appendix B (Meridian/Option A always wins in this scripted sweep) — but a ±50% flex on a11, a21, or a22 alone can push the margin past SPEC §2's 20% cap in one direction. This is disclosed, not hidden: see case.json.sensitivity_disclosure[] (Category X — Appendix B's matrix is a good-faith estimate calibrated to real BEA RIMS II comparables, not a purchased table for Calder County itself). If a Hero pushes hard on "how sure are we about these four numbers," this is the honest answer: sure enough that the winner doesn't move, not sure enough that the margin size is guaranteed to stay under 20%.</w:t>
      </w:r>
    </w:p>
    <w:p>
      <w:pPr>
        <w:pStyle w:val="Heading1"/>
        <w:spacing w:after="160" w:before="320"/>
      </w:pPr>
      <w:r>
        <w:rPr>
          <w:b/>
          <w:bCs/>
          <w:color w:val="1a3a5c"/>
          <w:sz w:val="32"/>
          <w:szCs w:val="32"/>
        </w:rPr>
        <w:t xml:space="preserve">What a Strong Defense Sounds Like</w:t>
      </w:r>
    </w:p>
    <w:p>
      <w:pPr>
        <w:spacing w:after="120" w:before="0"/>
      </w:pPr>
      <w:r>
        <w:t xml:space="preserve">This is not an answer key — the case has no single right answer, and a strong defense can land on either option if the reasoning is sound. A strong pitch names the matrix assumption's limits up front (Appendix B is calibrated, not purchased, and says so), computes D1–D5 correctly and shows the arithmetic rather than just the final numbers, and — critically — explicitly divides by incentive dollars in D5 rather than stopping at raw regional-jobs totals from D4. A Hero who names the identical per-job rate as the reason the case isn't a tie, and who can explain in plain language why a manufacturer's local-purchasing pattern compounds through the regional economy differently than a distribution center's, is reasoning at the level this case is built to test — regardless of which option they ultimately recommend.</w:t>
      </w:r>
    </w:p>
    <w:p>
      <w:pPr>
        <w:pStyle w:val="Heading1"/>
        <w:spacing w:after="160" w:before="320"/>
      </w:pPr>
      <w:r>
        <w:rPr>
          <w:b/>
          <w:bCs/>
          <w:color w:val="1a3a5c"/>
          <w:sz w:val="32"/>
          <w:szCs w:val="32"/>
        </w:rPr>
        <w:t xml:space="preserve">Run of Show</w:t>
      </w:r>
    </w:p>
    <w:p>
      <w:pPr>
        <w:pStyle w:val="Heading2"/>
        <w:spacing w:after="120" w:before="240"/>
      </w:pPr>
      <w:r>
        <w:rPr>
          <w:b/>
          <w:bCs/>
          <w:color w:val="1a3a5c"/>
          <w:sz w:val="26"/>
          <w:szCs w:val="26"/>
        </w:rPr>
        <w:t xml:space="preserve">Intro</w:t>
      </w:r>
    </w:p>
    <w:p>
      <w:pPr>
        <w:spacing w:after="120" w:before="0"/>
      </w:pPr>
      <w:r>
        <w:t xml:space="preserve">Frame the format before the numbers: this is a one-shot recommendation with a real deadline — "You are Ben Okafor. The IDA board votes at nine tomorrow morning. There is exactly one incentive package. You have to recommend one employer tonight." Let that land before Launch.</w:t>
      </w:r>
    </w:p>
    <w:p>
      <w:pPr>
        <w:pStyle w:val="Heading2"/>
        <w:spacing w:after="120" w:before="240"/>
      </w:pPr>
      <w:r>
        <w:rPr>
          <w:b/>
          <w:bCs/>
          <w:color w:val="1a3a5c"/>
          <w:sz w:val="26"/>
          <w:szCs w:val="26"/>
        </w:rPr>
        <w:t xml:space="preserve">Launch</w:t>
      </w:r>
    </w:p>
    <w:p>
      <w:pPr>
        <w:spacing w:after="120" w:before="0"/>
      </w:pPr>
      <w:r>
        <w:t xml:space="preserve">Put the two bids side by side with only the headline numbers visible: Meridian Forgeworks, 140 direct jobs; Cascade Distribution, 310 direct jobs; same $3,000-per-job incentive rate for both. Ask for a gut read: "Same rate per job. One company hires more than twice as many people. Which one do you fund?" Do not correct a "obviously Cascade" answer yet — that instinct is exactly what the case is built to test.</w:t>
      </w:r>
    </w:p>
    <w:p>
      <w:pPr>
        <w:pStyle w:val="Heading2"/>
        <w:spacing w:after="120" w:before="240"/>
      </w:pPr>
      <w:r>
        <w:rPr>
          <w:b/>
          <w:bCs/>
          <w:color w:val="1a3a5c"/>
          <w:sz w:val="26"/>
          <w:szCs w:val="26"/>
        </w:rPr>
        <w:t xml:space="preserve">Anchor 1 — Take a stand and vote</w:t>
      </w:r>
    </w:p>
    <w:p>
      <w:pPr>
        <w:spacing w:after="120" w:before="0"/>
      </w:pPr>
      <w:r>
        <w:t xml:space="preserve">TAKE A STAND AND VOTE. No reasoning yet, just commit. "Is anyone courageous enough to stand with The Anvil Bid — the smaller headcount?" Show of hands, both options, no discussion. Record the count for the Close re-vote.</w:t>
      </w:r>
    </w:p>
    <w:p>
      <w:pPr>
        <w:pStyle w:val="Heading2"/>
        <w:spacing w:after="120" w:before="240"/>
      </w:pPr>
      <w:r>
        <w:rPr>
          <w:b/>
          <w:bCs/>
          <w:color w:val="1a3a5c"/>
          <w:sz w:val="26"/>
          <w:szCs w:val="26"/>
        </w:rPr>
        <w:t xml:space="preserve">Anchor 2 — What is the problem we're solving?</w:t>
      </w:r>
    </w:p>
    <w:p>
      <w:pPr>
        <w:spacing w:after="120" w:before="0"/>
      </w:pPr>
      <w:r>
        <w:t xml:space="preserve">"Is this the right question?" · "What does 'better' mean here?" Let confusion grow here. Heroes will want to just compare 140 vs. 310 direct jobs, or note the per-job incentive rate is identical for both and call it a wash. Push: "Ben isn't being asked which company hires more people directly. He's being asked which one does more for the whole county per incentive dollar." If the room arrives at "we need a number that isn't just direct jobs" on its own, the case is working.</w:t>
      </w:r>
    </w:p>
    <w:p>
      <w:pPr>
        <w:pStyle w:val="Heading2"/>
        <w:spacing w:after="120" w:before="240"/>
      </w:pPr>
      <w:r>
        <w:rPr>
          <w:b/>
          <w:bCs/>
          <w:color w:val="1a3a5c"/>
          <w:sz w:val="26"/>
          <w:szCs w:val="26"/>
        </w:rPr>
        <w:t xml:space="preserve">Anchor 3 — What is the process?</w:t>
      </w:r>
    </w:p>
    <w:p>
      <w:pPr>
        <w:spacing w:after="120" w:before="0"/>
      </w:pPr>
      <w:r>
        <w:t xml:space="preserve">"If we go through this process and find the data, how will we decide?" Once the room has the right question, ask them to name the steps before opening Appendix B: build the technical coefficient matrix (D1), form (I − A) (D2), check it's invertible (D3), solve for each employer's total regional jobs (D4), then divide by each employer's incentive cost (D5). Re-ask: "Now that we can see the steps — is our question still the right one?"</w:t>
      </w:r>
    </w:p>
    <w:p>
      <w:pPr>
        <w:pStyle w:val="Heading2"/>
        <w:spacing w:after="120" w:before="240"/>
      </w:pPr>
      <w:r>
        <w:rPr>
          <w:b/>
          <w:bCs/>
          <w:color w:val="1a3a5c"/>
          <w:sz w:val="26"/>
          <w:szCs w:val="26"/>
        </w:rPr>
        <w:t xml:space="preserve">Anchor 4 — What don't we know?</w:t>
      </w:r>
    </w:p>
    <w:p>
      <w:pPr>
        <w:spacing w:after="120" w:before="0"/>
      </w:pPr>
      <w:r>
        <w:t xml:space="preserve">"Do we need to make assumptions? Which ones are critical?" Surface Appendix E's three Modeling Assumptions honestly: MA1 (Calder County's own technical coefficient matrix is not a purchased RIMS II table — it's calibrated to real published examples, because a real one costs $520 and Calder County isn't real anyway), MA2 (the $3,000/job rate is borrowed from Florida's real QTI program, not Calder County's own passed law), MA3 (both companies' headcounts are invented, sized to make the naive "more direct jobs wins" read genuinely tempting). Ask which one is actually load-bearing for the comparison (MA1 is — a different real county's own purchased multipliers could change the exact margin) and which one nets out of the comparison in relative terms (MA2 does, because both bids pay the identical flat rate).</w:t>
      </w:r>
    </w:p>
    <w:p>
      <w:pPr>
        <w:pStyle w:val="Heading2"/>
        <w:spacing w:after="120" w:before="240"/>
      </w:pPr>
      <w:r>
        <w:rPr>
          <w:b/>
          <w:bCs/>
          <w:color w:val="1a3a5c"/>
          <w:sz w:val="26"/>
          <w:szCs w:val="26"/>
        </w:rPr>
        <w:t xml:space="preserve">Data Deep Dive</w:t>
      </w:r>
    </w:p>
    <w:p>
      <w:pPr>
        <w:spacing w:after="120" w:before="0"/>
      </w:pPr>
      <w:r>
        <w:t xml:space="preserve">Now, and only now, the numbers. Walk D1–D3 as a room (the matrix, its identity-matrix subtraction, and its determinant), then split into two desks for D4 — one solves Meridian's system, one solves Cascade's — before reconvening for D5's shared decision table.</w:t>
      </w:r>
    </w:p>
    <w:p>
      <w:pPr>
        <w:pStyle w:val="Heading2"/>
        <w:spacing w:after="120" w:before="240"/>
      </w:pPr>
      <w:r>
        <w:rPr>
          <w:b/>
          <w:bCs/>
          <w:color w:val="1a3a5c"/>
          <w:sz w:val="26"/>
          <w:szCs w:val="26"/>
        </w:rPr>
        <w:t xml:space="preserve">Twist</w:t>
      </w:r>
    </w:p>
    <w:p>
      <w:pPr>
        <w:spacing w:after="120" w:before="0"/>
      </w:pPr>
      <w:r>
        <w:t xml:space="preserve">Twist: N/A. As in the project's other strongest structural cases, the surprise here is mathematical, not narrative, and it fires the moment a Hero notices something during the Data Deep Dive: the flat $3,000-per-job rate is identical for both bids. A Hero who stops at the headline numbers reasonably concludes the two bids are financially indistinguishable per direct job, and that Cascade — with more than double the direct hires — must therefore be the better use of the county's money. Only D4's matrix solve reveals that the identical rate produces a meaningfully different regional return, because the rate is paid per direct job while the payoff is measured in total regional jobs.</w:t>
      </w:r>
    </w:p>
    <w:p>
      <w:pPr>
        <w:pStyle w:val="Heading2"/>
        <w:spacing w:after="120" w:before="240"/>
      </w:pPr>
      <w:r>
        <w:rPr>
          <w:b/>
          <w:bCs/>
          <w:color w:val="1a3a5c"/>
          <w:sz w:val="26"/>
          <w:szCs w:val="26"/>
        </w:rPr>
        <w:t xml:space="preserve">Close</w:t>
      </w:r>
    </w:p>
    <w:p>
      <w:pPr>
        <w:spacing w:after="120" w:before="0"/>
      </w:pPr>
      <w:r>
        <w:t xml:space="preserve">VOTE AGAIN. "Did we ask the right question at the start?" "What math was new to you tonight, and how did you actually attack it?" A room that voted the same way both times is worth pressing: did they land on Anvil for the multiplier reason, or did they just guess right?</w:t>
      </w:r>
    </w:p>
    <w:p>
      <w:pPr>
        <w:pStyle w:val="Heading1"/>
        <w:spacing w:after="160" w:before="320"/>
      </w:pPr>
      <w:r>
        <w:rPr>
          <w:b/>
          <w:bCs/>
          <w:color w:val="1a3a5c"/>
          <w:sz w:val="32"/>
          <w:szCs w:val="32"/>
        </w:rPr>
        <w:t xml:space="preserve">Deep Conflict — Two Threads (15–20 min)</w:t>
      </w:r>
    </w:p>
    <w:p>
      <w:pPr>
        <w:pStyle w:val="ListParagraph"/>
        <w:numPr>
          <w:ilvl w:val="0"/>
          <w:numId w:val="2"/>
        </w:numPr>
        <w:spacing w:after="100"/>
      </w:pPr>
      <w:r>
        <w:t xml:space="preserve">Direct jobs vs. total regional jobs. Cascade Distribution creates more than double Meridian's direct headcount. Is "total regional jobs per incentive dollar" really the fairest number for a county government to optimize, or does raw direct-hire count matter for reasons the model doesn't capture (visibility, political credit, a promise to voters)?</w:t>
      </w:r>
    </w:p>
    <w:p>
      <w:pPr>
        <w:pStyle w:val="ListParagraph"/>
        <w:numPr>
          <w:ilvl w:val="0"/>
          <w:numId w:val="2"/>
        </w:numPr>
        <w:spacing w:after="100"/>
      </w:pPr>
      <w:r>
        <w:t xml:space="preserve">How much should Ben trust a hand-built matrix? Appendix B's technical coefficients are a stated Modeling Assumption, not a purchased RIMS II table. If Calder County actually spent the $520 to buy a real regional multiplier table for its own county, is there any reason to expect the real numbers would land far from what Ben assumed — and if they did, would it flip the recommendation?</w:t>
      </w:r>
    </w:p>
    <w:p>
      <w:pPr>
        <w:pStyle w:val="Heading1"/>
        <w:spacing w:after="160" w:before="320"/>
      </w:pPr>
      <w:r>
        <w:rPr>
          <w:b/>
          <w:bCs/>
          <w:color w:val="1a3a5c"/>
          <w:sz w:val="32"/>
          <w:szCs w:val="32"/>
        </w:rPr>
        <w:t xml:space="preserve">45-Minute Socratic Plan</w:t>
      </w:r>
    </w:p>
    <w:tbl>
      <w:tblPr>
        <w:tblW w:type="dxa" w:w="9800"/>
        <w:tblBorders>
          <w:top w:val="single" w:color="DFE4EA" w:sz="2"/>
          <w:left w:val="single" w:color="DFE4EA" w:sz="2"/>
          <w:bottom w:val="single" w:color="DFE4EA" w:sz="2"/>
          <w:right w:val="single" w:color="DFE4EA" w:sz="2"/>
          <w:insideH w:val="single" w:color="DFE4EA" w:sz="2"/>
          <w:insideV w:val="single" w:color="DFE4EA" w:sz="2"/>
        </w:tblBorders>
      </w:tblPr>
      <w:tblGrid>
        <w:gridCol w:w="2000"/>
        <w:gridCol w:w="7800"/>
      </w:tblGrid>
      <w:tr>
        <w:trPr>
          <w:tblHeader/>
        </w:trPr>
        <w:tc>
          <w:tcPr>
            <w:tcW w:type="dxa" w:w="2000"/>
            <w:shd w:fill="1a3a5c" w:color="auto" w:val="clear"/>
            <w:tcMar>
              <w:top w:type="dxa" w:w="60"/>
              <w:left w:type="dxa" w:w="100"/>
              <w:bottom w:type="dxa" w:w="60"/>
              <w:right w:type="dxa" w:w="100"/>
            </w:tcMar>
            <w:vAlign w:val="center"/>
          </w:tcPr>
          <w:p>
            <w:r>
              <w:rPr>
                <w:b/>
                <w:bCs/>
                <w:color w:val="FFFFFF"/>
                <w:sz w:val="18"/>
                <w:szCs w:val="18"/>
              </w:rPr>
              <w:t xml:space="preserve">Time</w:t>
            </w:r>
          </w:p>
        </w:tc>
        <w:tc>
          <w:tcPr>
            <w:tcW w:type="dxa" w:w="7800"/>
            <w:shd w:fill="1a3a5c" w:color="auto" w:val="clear"/>
            <w:tcMar>
              <w:top w:type="dxa" w:w="60"/>
              <w:left w:type="dxa" w:w="100"/>
              <w:bottom w:type="dxa" w:w="60"/>
              <w:right w:type="dxa" w:w="100"/>
            </w:tcMar>
            <w:vAlign w:val="center"/>
          </w:tcPr>
          <w:p>
            <w:r>
              <w:rPr>
                <w:b/>
                <w:bCs/>
                <w:color w:val="FFFFFF"/>
                <w:sz w:val="18"/>
                <w:szCs w:val="18"/>
              </w:rPr>
              <w:t xml:space="preserve">Move</w:t>
            </w:r>
          </w:p>
        </w:tc>
      </w:tr>
      <w:tr>
        <w:tc>
          <w:tcPr>
            <w:tcW w:type="dxa" w:w="2000"/>
            <w:shd w:fill="FFFFFF" w:color="auto" w:val="clear"/>
            <w:tcMar>
              <w:top w:type="dxa" w:w="60"/>
              <w:left w:type="dxa" w:w="100"/>
              <w:bottom w:type="dxa" w:w="60"/>
              <w:right w:type="dxa" w:w="100"/>
            </w:tcMar>
            <w:vAlign w:val="top"/>
          </w:tcPr>
          <w:p>
            <w:pPr>
              <w:spacing w:after="40"/>
            </w:pPr>
            <w:r>
              <w:rPr>
                <w:sz w:val="18"/>
                <w:szCs w:val="18"/>
              </w:rPr>
              <w:t xml:space="preserve">0:00–3:00</w:t>
            </w:r>
          </w:p>
        </w:tc>
        <w:tc>
          <w:tcPr>
            <w:tcW w:type="dxa" w:w="7800"/>
            <w:shd w:fill="FFFFFF" w:color="auto" w:val="clear"/>
            <w:tcMar>
              <w:top w:type="dxa" w:w="60"/>
              <w:left w:type="dxa" w:w="100"/>
              <w:bottom w:type="dxa" w:w="60"/>
              <w:right w:type="dxa" w:w="100"/>
            </w:tcMar>
            <w:vAlign w:val="top"/>
          </w:tcPr>
          <w:p>
            <w:pPr>
              <w:spacing w:after="40"/>
            </w:pPr>
            <w:r>
              <w:rPr>
                <w:sz w:val="18"/>
                <w:szCs w:val="18"/>
              </w:rPr>
              <w:t xml:space="preserve">Launch — headline numbers only, gut-check vote</w:t>
            </w:r>
          </w:p>
        </w:tc>
      </w:tr>
      <w:tr>
        <w:tc>
          <w:tcPr>
            <w:tcW w:type="dxa" w:w="2000"/>
            <w:shd w:fill="F7F9FB" w:color="auto" w:val="clear"/>
            <w:tcMar>
              <w:top w:type="dxa" w:w="60"/>
              <w:left w:type="dxa" w:w="100"/>
              <w:bottom w:type="dxa" w:w="60"/>
              <w:right w:type="dxa" w:w="100"/>
            </w:tcMar>
            <w:vAlign w:val="top"/>
          </w:tcPr>
          <w:p>
            <w:pPr>
              <w:spacing w:after="40"/>
            </w:pPr>
            <w:r>
              <w:rPr>
                <w:sz w:val="18"/>
                <w:szCs w:val="18"/>
              </w:rPr>
              <w:t xml:space="preserve">3:00–8:00</w:t>
            </w:r>
          </w:p>
        </w:tc>
        <w:tc>
          <w:tcPr>
            <w:tcW w:type="dxa" w:w="7800"/>
            <w:shd w:fill="F7F9FB" w:color="auto" w:val="clear"/>
            <w:tcMar>
              <w:top w:type="dxa" w:w="60"/>
              <w:left w:type="dxa" w:w="100"/>
              <w:bottom w:type="dxa" w:w="60"/>
              <w:right w:type="dxa" w:w="100"/>
            </w:tcMar>
            <w:vAlign w:val="top"/>
          </w:tcPr>
          <w:p>
            <w:pPr>
              <w:spacing w:after="40"/>
            </w:pPr>
            <w:r>
              <w:rPr>
                <w:sz w:val="18"/>
                <w:szCs w:val="18"/>
              </w:rPr>
              <w:t xml:space="preserve">Anchor 1 vote recorded; Anchor 2 pressure-tests "better, measured how?"</w:t>
            </w:r>
          </w:p>
        </w:tc>
      </w:tr>
      <w:tr>
        <w:tc>
          <w:tcPr>
            <w:tcW w:type="dxa" w:w="2000"/>
            <w:shd w:fill="FFFFFF" w:color="auto" w:val="clear"/>
            <w:tcMar>
              <w:top w:type="dxa" w:w="60"/>
              <w:left w:type="dxa" w:w="100"/>
              <w:bottom w:type="dxa" w:w="60"/>
              <w:right w:type="dxa" w:w="100"/>
            </w:tcMar>
            <w:vAlign w:val="top"/>
          </w:tcPr>
          <w:p>
            <w:pPr>
              <w:spacing w:after="40"/>
            </w:pPr>
            <w:r>
              <w:rPr>
                <w:sz w:val="18"/>
                <w:szCs w:val="18"/>
              </w:rPr>
              <w:t xml:space="preserve">8:00–12:00</w:t>
            </w:r>
          </w:p>
        </w:tc>
        <w:tc>
          <w:tcPr>
            <w:tcW w:type="dxa" w:w="7800"/>
            <w:shd w:fill="FFFFFF" w:color="auto" w:val="clear"/>
            <w:tcMar>
              <w:top w:type="dxa" w:w="60"/>
              <w:left w:type="dxa" w:w="100"/>
              <w:bottom w:type="dxa" w:w="60"/>
              <w:right w:type="dxa" w:w="100"/>
            </w:tcMar>
            <w:vAlign w:val="top"/>
          </w:tcPr>
          <w:p>
            <w:pPr>
              <w:spacing w:after="40"/>
            </w:pPr>
            <w:r>
              <w:rPr>
                <w:sz w:val="18"/>
                <w:szCs w:val="18"/>
              </w:rPr>
              <w:t xml:space="preserve">Anchor 3 — name the five-step process before opening Appendix B</w:t>
            </w:r>
          </w:p>
        </w:tc>
      </w:tr>
      <w:tr>
        <w:tc>
          <w:tcPr>
            <w:tcW w:type="dxa" w:w="2000"/>
            <w:shd w:fill="F7F9FB" w:color="auto" w:val="clear"/>
            <w:tcMar>
              <w:top w:type="dxa" w:w="60"/>
              <w:left w:type="dxa" w:w="100"/>
              <w:bottom w:type="dxa" w:w="60"/>
              <w:right w:type="dxa" w:w="100"/>
            </w:tcMar>
            <w:vAlign w:val="top"/>
          </w:tcPr>
          <w:p>
            <w:pPr>
              <w:spacing w:after="40"/>
            </w:pPr>
            <w:r>
              <w:rPr>
                <w:sz w:val="18"/>
                <w:szCs w:val="18"/>
              </w:rPr>
              <w:t xml:space="preserve">12:00–15:00</w:t>
            </w:r>
          </w:p>
        </w:tc>
        <w:tc>
          <w:tcPr>
            <w:tcW w:type="dxa" w:w="7800"/>
            <w:shd w:fill="F7F9FB" w:color="auto" w:val="clear"/>
            <w:tcMar>
              <w:top w:type="dxa" w:w="60"/>
              <w:left w:type="dxa" w:w="100"/>
              <w:bottom w:type="dxa" w:w="60"/>
              <w:right w:type="dxa" w:w="100"/>
            </w:tcMar>
            <w:vAlign w:val="top"/>
          </w:tcPr>
          <w:p>
            <w:pPr>
              <w:spacing w:after="40"/>
            </w:pPr>
            <w:r>
              <w:rPr>
                <w:sz w:val="18"/>
                <w:szCs w:val="18"/>
              </w:rPr>
              <w:t xml:space="preserve">Anchor 4 — surface MA1–MA3, ask which is load-bearing for the comparison</w:t>
            </w:r>
          </w:p>
        </w:tc>
      </w:tr>
      <w:tr>
        <w:tc>
          <w:tcPr>
            <w:tcW w:type="dxa" w:w="2000"/>
            <w:shd w:fill="FFFFFF" w:color="auto" w:val="clear"/>
            <w:tcMar>
              <w:top w:type="dxa" w:w="60"/>
              <w:left w:type="dxa" w:w="100"/>
              <w:bottom w:type="dxa" w:w="60"/>
              <w:right w:type="dxa" w:w="100"/>
            </w:tcMar>
            <w:vAlign w:val="top"/>
          </w:tcPr>
          <w:p>
            <w:pPr>
              <w:spacing w:after="40"/>
            </w:pPr>
            <w:r>
              <w:rPr>
                <w:sz w:val="18"/>
                <w:szCs w:val="18"/>
              </w:rPr>
              <w:t xml:space="preserve">15:00–30:00</w:t>
            </w:r>
          </w:p>
        </w:tc>
        <w:tc>
          <w:tcPr>
            <w:tcW w:type="dxa" w:w="7800"/>
            <w:shd w:fill="FFFFFF" w:color="auto" w:val="clear"/>
            <w:tcMar>
              <w:top w:type="dxa" w:w="60"/>
              <w:left w:type="dxa" w:w="100"/>
              <w:bottom w:type="dxa" w:w="60"/>
              <w:right w:type="dxa" w:w="100"/>
            </w:tcMar>
            <w:vAlign w:val="top"/>
          </w:tcPr>
          <w:p>
            <w:pPr>
              <w:spacing w:after="40"/>
            </w:pPr>
            <w:r>
              <w:rPr>
                <w:sz w:val="18"/>
                <w:szCs w:val="18"/>
              </w:rPr>
              <w:t xml:space="preserve">Data Deep Dive — D1–D5 worked in two desks, reconvene for the shared table</w:t>
            </w:r>
          </w:p>
        </w:tc>
      </w:tr>
      <w:tr>
        <w:tc>
          <w:tcPr>
            <w:tcW w:type="dxa" w:w="2000"/>
            <w:shd w:fill="F7F9FB" w:color="auto" w:val="clear"/>
            <w:tcMar>
              <w:top w:type="dxa" w:w="60"/>
              <w:left w:type="dxa" w:w="100"/>
              <w:bottom w:type="dxa" w:w="60"/>
              <w:right w:type="dxa" w:w="100"/>
            </w:tcMar>
            <w:vAlign w:val="top"/>
          </w:tcPr>
          <w:p>
            <w:pPr>
              <w:spacing w:after="40"/>
            </w:pPr>
            <w:r>
              <w:rPr>
                <w:sz w:val="18"/>
                <w:szCs w:val="18"/>
              </w:rPr>
              <w:t xml:space="preserve">~25:00</w:t>
            </w:r>
          </w:p>
        </w:tc>
        <w:tc>
          <w:tcPr>
            <w:tcW w:type="dxa" w:w="7800"/>
            <w:shd w:fill="F7F9FB" w:color="auto" w:val="clear"/>
            <w:tcMar>
              <w:top w:type="dxa" w:w="60"/>
              <w:left w:type="dxa" w:w="100"/>
              <w:bottom w:type="dxa" w:w="60"/>
              <w:right w:type="dxa" w:w="100"/>
            </w:tcMar>
            <w:vAlign w:val="top"/>
          </w:tcPr>
          <w:p>
            <w:pPr>
              <w:spacing w:after="40"/>
            </w:pPr>
            <w:r>
              <w:rPr>
                <w:sz w:val="18"/>
                <w:szCs w:val="18"/>
              </w:rPr>
              <w:t xml:space="preserve">NAME THE TRAP / TWIST — identical per-job rate, very different regional return (this case's twist is mathematical, not narrative; it drops here)</w:t>
            </w:r>
          </w:p>
        </w:tc>
      </w:tr>
      <w:tr>
        <w:tc>
          <w:tcPr>
            <w:tcW w:type="dxa" w:w="2000"/>
            <w:shd w:fill="FFFFFF" w:color="auto" w:val="clear"/>
            <w:tcMar>
              <w:top w:type="dxa" w:w="60"/>
              <w:left w:type="dxa" w:w="100"/>
              <w:bottom w:type="dxa" w:w="60"/>
              <w:right w:type="dxa" w:w="100"/>
            </w:tcMar>
            <w:vAlign w:val="top"/>
          </w:tcPr>
          <w:p>
            <w:pPr>
              <w:spacing w:after="40"/>
            </w:pPr>
            <w:r>
              <w:rPr>
                <w:sz w:val="18"/>
                <w:szCs w:val="18"/>
              </w:rPr>
              <w:t xml:space="preserve">30:00–40:00</w:t>
            </w:r>
          </w:p>
        </w:tc>
        <w:tc>
          <w:tcPr>
            <w:tcW w:type="dxa" w:w="7800"/>
            <w:shd w:fill="FFFFFF" w:color="auto" w:val="clear"/>
            <w:tcMar>
              <w:top w:type="dxa" w:w="60"/>
              <w:left w:type="dxa" w:w="100"/>
              <w:bottom w:type="dxa" w:w="60"/>
              <w:right w:type="dxa" w:w="100"/>
            </w:tcMar>
            <w:vAlign w:val="top"/>
          </w:tcPr>
          <w:p>
            <w:pPr>
              <w:spacing w:after="40"/>
            </w:pPr>
            <w:r>
              <w:rPr>
                <w:sz w:val="18"/>
                <w:szCs w:val="18"/>
              </w:rPr>
              <w:t xml:space="preserve">Deep conflict — direct jobs vs. regional jobs; trusting a hand-built matrix</w:t>
            </w:r>
          </w:p>
        </w:tc>
      </w:tr>
      <w:tr>
        <w:tc>
          <w:tcPr>
            <w:tcW w:type="dxa" w:w="2000"/>
            <w:shd w:fill="F7F9FB" w:color="auto" w:val="clear"/>
            <w:tcMar>
              <w:top w:type="dxa" w:w="60"/>
              <w:left w:type="dxa" w:w="100"/>
              <w:bottom w:type="dxa" w:w="60"/>
              <w:right w:type="dxa" w:w="100"/>
            </w:tcMar>
            <w:vAlign w:val="top"/>
          </w:tcPr>
          <w:p>
            <w:pPr>
              <w:spacing w:after="40"/>
            </w:pPr>
            <w:r>
              <w:rPr>
                <w:sz w:val="18"/>
                <w:szCs w:val="18"/>
              </w:rPr>
              <w:t xml:space="preserve">40:00–45:00</w:t>
            </w:r>
          </w:p>
        </w:tc>
        <w:tc>
          <w:tcPr>
            <w:tcW w:type="dxa" w:w="7800"/>
            <w:shd w:fill="F7F9FB" w:color="auto" w:val="clear"/>
            <w:tcMar>
              <w:top w:type="dxa" w:w="60"/>
              <w:left w:type="dxa" w:w="100"/>
              <w:bottom w:type="dxa" w:w="60"/>
              <w:right w:type="dxa" w:w="100"/>
            </w:tcMar>
            <w:vAlign w:val="top"/>
          </w:tcPr>
          <w:p>
            <w:pPr>
              <w:spacing w:after="40"/>
            </w:pPr>
            <w:r>
              <w:rPr>
                <w:sz w:val="18"/>
                <w:szCs w:val="18"/>
              </w:rPr>
              <w:t xml:space="preserve">Close, re-vote, reflection, lessons learned</w:t>
            </w:r>
          </w:p>
        </w:tc>
      </w:tr>
    </w:tbl>
    <w:p>
      <w:pPr>
        <w:pStyle w:val="Heading1"/>
        <w:spacing w:after="160" w:before="320"/>
      </w:pPr>
      <w:r>
        <w:rPr>
          <w:b/>
          <w:bCs/>
          <w:color w:val="1a3a5c"/>
          <w:sz w:val="32"/>
          <w:szCs w:val="32"/>
        </w:rPr>
        <w:t xml:space="preserve">Cohort Band Notes</w:t>
      </w:r>
    </w:p>
    <w:tbl>
      <w:tblPr>
        <w:tblW w:type="dxa" w:w="9800"/>
        <w:tblBorders>
          <w:top w:val="single" w:color="DFE4EA" w:sz="2"/>
          <w:left w:val="single" w:color="DFE4EA" w:sz="2"/>
          <w:bottom w:val="single" w:color="DFE4EA" w:sz="2"/>
          <w:right w:val="single" w:color="DFE4EA" w:sz="2"/>
          <w:insideH w:val="single" w:color="DFE4EA" w:sz="2"/>
          <w:insideV w:val="single" w:color="DFE4EA" w:sz="2"/>
        </w:tblBorders>
      </w:tblPr>
      <w:tblGrid>
        <w:gridCol w:w="1600"/>
        <w:gridCol w:w="8200"/>
      </w:tblGrid>
      <w:tr>
        <w:trPr>
          <w:tblHeader/>
        </w:trPr>
        <w:tc>
          <w:tcPr>
            <w:tcW w:type="dxa" w:w="1600"/>
            <w:shd w:fill="1a3a5c" w:color="auto" w:val="clear"/>
            <w:tcMar>
              <w:top w:type="dxa" w:w="60"/>
              <w:left w:type="dxa" w:w="100"/>
              <w:bottom w:type="dxa" w:w="60"/>
              <w:right w:type="dxa" w:w="100"/>
            </w:tcMar>
            <w:vAlign w:val="center"/>
          </w:tcPr>
          <w:p>
            <w:r>
              <w:rPr>
                <w:b/>
                <w:bCs/>
                <w:color w:val="FFFFFF"/>
                <w:sz w:val="18"/>
                <w:szCs w:val="18"/>
              </w:rPr>
              <w:t xml:space="preserve">Band</w:t>
            </w:r>
          </w:p>
        </w:tc>
        <w:tc>
          <w:tcPr>
            <w:tcW w:type="dxa" w:w="8200"/>
            <w:shd w:fill="1a3a5c" w:color="auto" w:val="clear"/>
            <w:tcMar>
              <w:top w:type="dxa" w:w="60"/>
              <w:left w:type="dxa" w:w="100"/>
              <w:bottom w:type="dxa" w:w="60"/>
              <w:right w:type="dxa" w:w="100"/>
            </w:tcMar>
            <w:vAlign w:val="center"/>
          </w:tcPr>
          <w:p>
            <w:r>
              <w:rPr>
                <w:b/>
                <w:bCs/>
                <w:color w:val="FFFFFF"/>
                <w:sz w:val="18"/>
                <w:szCs w:val="18"/>
              </w:rPr>
              <w:t xml:space="preserve">Note</w:t>
            </w:r>
          </w:p>
        </w:tc>
      </w:tr>
      <w:tr>
        <w:tc>
          <w:tcPr>
            <w:tcW w:type="dxa" w:w="1600"/>
            <w:shd w:fill="FFFFFF" w:color="auto" w:val="clear"/>
            <w:tcMar>
              <w:top w:type="dxa" w:w="60"/>
              <w:left w:type="dxa" w:w="100"/>
              <w:bottom w:type="dxa" w:w="60"/>
              <w:right w:type="dxa" w:w="100"/>
            </w:tcMar>
            <w:vAlign w:val="top"/>
          </w:tcPr>
          <w:p>
            <w:pPr>
              <w:spacing w:after="40"/>
            </w:pPr>
            <w:r>
              <w:rPr>
                <w:sz w:val="18"/>
                <w:szCs w:val="18"/>
              </w:rPr>
              <w:t xml:space="preserve">8-12</w:t>
            </w:r>
          </w:p>
        </w:tc>
        <w:tc>
          <w:tcPr>
            <w:tcW w:type="dxa" w:w="8200"/>
            <w:shd w:fill="FFFFFF" w:color="auto" w:val="clear"/>
            <w:tcMar>
              <w:top w:type="dxa" w:w="60"/>
              <w:left w:type="dxa" w:w="100"/>
              <w:bottom w:type="dxa" w:w="60"/>
              <w:right w:type="dxa" w:w="100"/>
            </w:tcMar>
            <w:vAlign w:val="top"/>
          </w:tcPr>
          <w:p>
            <w:pPr>
              <w:spacing w:after="40"/>
            </w:pPr>
            <w:r>
              <w:rPr>
                <w:sz w:val="18"/>
                <w:szCs w:val="18"/>
              </w:rPr>
              <w:t xml:space="preserve">Split D4 into two desks as written (one per employer) works cleanly; Deep conflict threads run as full-room discussion.</w:t>
            </w:r>
          </w:p>
        </w:tc>
      </w:tr>
      <w:tr>
        <w:tc>
          <w:tcPr>
            <w:tcW w:type="dxa" w:w="1600"/>
            <w:shd w:fill="F7F9FB" w:color="auto" w:val="clear"/>
            <w:tcMar>
              <w:top w:type="dxa" w:w="60"/>
              <w:left w:type="dxa" w:w="100"/>
              <w:bottom w:type="dxa" w:w="60"/>
              <w:right w:type="dxa" w:w="100"/>
            </w:tcMar>
            <w:vAlign w:val="top"/>
          </w:tcPr>
          <w:p>
            <w:pPr>
              <w:spacing w:after="40"/>
            </w:pPr>
            <w:r>
              <w:rPr>
                <w:sz w:val="18"/>
                <w:szCs w:val="18"/>
              </w:rPr>
              <w:t xml:space="preserve">13-18</w:t>
            </w:r>
          </w:p>
        </w:tc>
        <w:tc>
          <w:tcPr>
            <w:tcW w:type="dxa" w:w="8200"/>
            <w:shd w:fill="F7F9FB" w:color="auto" w:val="clear"/>
            <w:tcMar>
              <w:top w:type="dxa" w:w="60"/>
              <w:left w:type="dxa" w:w="100"/>
              <w:bottom w:type="dxa" w:w="60"/>
              <w:right w:type="dxa" w:w="100"/>
            </w:tcMar>
            <w:vAlign w:val="top"/>
          </w:tcPr>
          <w:p>
            <w:pPr>
              <w:spacing w:after="40"/>
            </w:pPr>
            <w:r>
              <w:rPr>
                <w:sz w:val="18"/>
                <w:szCs w:val="18"/>
              </w:rPr>
              <w:t xml:space="preserve">As written above — two desks for D4, reconvene for D5's shared table, full-room Anchors and Deep conflict.</w:t>
            </w:r>
          </w:p>
        </w:tc>
      </w:tr>
      <w:tr>
        <w:tc>
          <w:tcPr>
            <w:tcW w:type="dxa" w:w="1600"/>
            <w:shd w:fill="FFFFFF" w:color="auto" w:val="clear"/>
            <w:tcMar>
              <w:top w:type="dxa" w:w="60"/>
              <w:left w:type="dxa" w:w="100"/>
              <w:bottom w:type="dxa" w:w="60"/>
              <w:right w:type="dxa" w:w="100"/>
            </w:tcMar>
            <w:vAlign w:val="top"/>
          </w:tcPr>
          <w:p>
            <w:pPr>
              <w:spacing w:after="40"/>
            </w:pPr>
            <w:r>
              <w:rPr>
                <w:sz w:val="18"/>
                <w:szCs w:val="18"/>
              </w:rPr>
              <w:t xml:space="preserve">19-24</w:t>
            </w:r>
          </w:p>
        </w:tc>
        <w:tc>
          <w:tcPr>
            <w:tcW w:type="dxa" w:w="8200"/>
            <w:shd w:fill="FFFFFF" w:color="auto" w:val="clear"/>
            <w:tcMar>
              <w:top w:type="dxa" w:w="60"/>
              <w:left w:type="dxa" w:w="100"/>
              <w:bottom w:type="dxa" w:w="60"/>
              <w:right w:type="dxa" w:w="100"/>
            </w:tcMar>
            <w:vAlign w:val="top"/>
          </w:tcPr>
          <w:p>
            <w:pPr>
              <w:spacing w:after="40"/>
            </w:pPr>
            <w:r>
              <w:rPr>
                <w:sz w:val="18"/>
                <w:szCs w:val="18"/>
              </w:rPr>
              <w:t xml:space="preserve">Split D4 into four desks (two per employer) so every Hero solves a system by hand, then have desks cross-check before reconvening for D5; Deep conflict may need small-group huddles before the full-room share to keep both threads audible.</w:t>
            </w:r>
          </w:p>
        </w:tc>
      </w:tr>
    </w:tbl>
    <w:p>
      <w:pPr>
        <w:pStyle w:val="Heading1"/>
        <w:spacing w:after="160" w:before="320"/>
      </w:pPr>
      <w:r>
        <w:rPr>
          <w:b/>
          <w:bCs/>
          <w:color w:val="1a3a5c"/>
          <w:sz w:val="32"/>
          <w:szCs w:val="32"/>
        </w:rPr>
        <w:t xml:space="preserve">Lessons Learned</w:t>
      </w:r>
    </w:p>
    <w:p>
      <w:pPr>
        <w:spacing w:after="120" w:before="0"/>
      </w:pPr>
      <w:r>
        <w:rPr>
          <w:i/>
          <w:iCs/>
        </w:rPr>
        <w:t xml:space="preserve">(To be filled after the first real run — placeholder structure only.)</w:t>
      </w:r>
    </w:p>
    <w:p>
      <w:pPr>
        <w:pStyle w:val="ListParagraph"/>
        <w:numPr>
          <w:ilvl w:val="0"/>
          <w:numId w:val="3"/>
        </w:numPr>
        <w:spacing w:after="80"/>
      </w:pPr>
      <w:r>
        <w:t xml:space="preserve">Whether Heroes reached for the raw direct-job comparison first, and how much nudging it took to get to Appendix B's matrix.</w:t>
      </w:r>
    </w:p>
    <w:p>
      <w:pPr>
        <w:pStyle w:val="ListParagraph"/>
        <w:numPr>
          <w:ilvl w:val="0"/>
          <w:numId w:val="3"/>
        </w:numPr>
        <w:spacing w:after="80"/>
      </w:pPr>
      <w:r>
        <w:t xml:space="preserve">Whether the "identical per-job rate" detail was noticed independently or needed a direct hint.</w:t>
      </w:r>
    </w:p>
    <w:p>
      <w:pPr>
        <w:pStyle w:val="ListParagraph"/>
        <w:numPr>
          <w:ilvl w:val="0"/>
          <w:numId w:val="3"/>
        </w:numPr>
        <w:spacing w:after="80"/>
      </w:pPr>
      <w:r>
        <w:t xml:space="preserve">Whether the determinant step (D3) was treated as a real check or as a box to tick before D4.</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5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2026-08-20T05:06:54.708Z</dcterms:created>
  <dcterms:modified xsi:type="dcterms:W3CDTF">2026-08-20T05:06:54.713Z</dcterms:modified>
</cp:coreProperties>
</file>

<file path=docProps/custom.xml><?xml version="1.0" encoding="utf-8"?>
<Properties xmlns="http://schemas.openxmlformats.org/officeDocument/2006/custom-properties" xmlns:vt="http://schemas.openxmlformats.org/officeDocument/2006/docPropsVTypes"/>
</file>