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Case Study: Urban Planner</w:t>
      </w:r>
    </w:p>
    <w:p>
      <w:pPr>
        <w:spacing w:after="140"/>
      </w:pPr>
      <w:r>
        <w:rPr>
          <w:i/>
          <w:iCs/>
          <w:color w:val="5b6472"/>
        </w:rPr>
        <w:t xml:space="preserve">MS | Math | Case Study | 2026-27 | Heroes Academy</w:t>
      </w:r>
    </w:p>
    <w:p>
      <w:pPr>
        <w:pBdr>
          <w:bottom w:val="single" w:color="cccccc" w:sz="6" w:space="1"/>
        </w:pBdr>
        <w:spacing w:after="200"/>
      </w:pPr>
    </w:p>
    <w:p>
      <w:pPr>
        <w:pStyle w:val="Heading1"/>
        <w:pBdr>
          <w:left w:val="single" w:color="c9a227" w:sz="24" w:space="8"/>
        </w:pBdr>
        <w:spacing w:after="140" w:before="300"/>
      </w:pPr>
      <w:r>
        <w:t xml:space="preserve">Overview</w:t>
      </w:r>
    </w:p>
    <w:p>
      <w:pPr>
        <w:spacing w:after="140"/>
      </w:pPr>
      <w:r>
        <w:t xml:space="preserve">"We will now vote on City Ordinance 322b," says Mayor Briggs Ulstein, loud enough to carry over the crowd pressing against the chamber doors, "titled 'Designation Of Public Space For Long-Term Homeless Housing Encampment.'" Outside, protest signs bob above the glass. Inside, six council members’ hands go up. One stays down. The gavel cracks.</w:t>
      </w:r>
    </w:p>
    <w:p>
      <w:pPr>
        <w:spacing w:after="140"/>
      </w:pPr>
      <w:r>
        <w:t xml:space="preserve">"Ordinance 322b has passed," Ulstein announces, "and we look forward to hearing the report and proposal from the Office of City Planning at our next meeting."</w:t>
      </w:r>
    </w:p>
    <w:p>
      <w:pPr>
        <w:spacing w:after="140"/>
      </w:pPr>
      <w:r>
        <w:t xml:space="preserve">City Planner Paul Cordon doesn’t move from his seat in the front row. Eighteen years in this office, the last four running it, and he already knows what’s coming: two folders on his desk by morning, one site named in each, and a deadline that doesn’t care how many angry letters arrived this week. He built the bus system overhaul. He got the Willamette tunnel funded. None of that is on anyone’s mind right now.</w:t>
      </w:r>
    </w:p>
    <w:p>
      <w:pPr>
        <w:spacing w:after="140"/>
      </w:pPr>
      <w:r>
        <w:t xml:space="preserve">A council aide catches his eye on the way out and mouths, two weeks. Cordon nods, gathers his coat, and heads for the door the protesters are still blocking.</w:t>
      </w:r>
    </w:p>
    <w:p>
      <w:pPr>
        <w:pStyle w:val="Heading1"/>
        <w:pBdr>
          <w:left w:val="single" w:color="c9a227" w:sz="24" w:space="8"/>
        </w:pBdr>
        <w:spacing w:after="140" w:before="300"/>
      </w:pPr>
      <w:r>
        <w:t xml:space="preserve">Background</w:t>
      </w:r>
    </w:p>
    <w:p>
      <w:pPr>
        <w:spacing w:after="140"/>
      </w:pPr>
      <w:r>
        <w:t xml:space="preserve">The city council suspended the removal of homeless encampments in mid-2020 and, as the encampment population grew, designated several downtown streets as temporary sites — a stopgap that drew complaints as tents and trash accumulated in city parks and on public sidewalks (see Appendix A). In early 2021 the council passed Ordinance 322b, committing the city to a longer-term solution: converting one existing public space into a permanent, serviced homeless encampment, with city-funded drinking water, restrooms, and an on-site medical care point.</w:t>
      </w:r>
    </w:p>
    <w:p>
      <w:pPr>
        <w:spacing w:after="140"/>
      </w:pPr>
      <w:r>
        <w:t xml:space="preserve">City Planner Paul Cordon has been tasked with recommending exactly one site to the council within two weeks. Two candidate sites have survived the council’s own initial screening, each carrying real, opposing tradeoffs (see Appendices B, C and D):</w:t>
      </w:r>
    </w:p>
    <w:p>
      <w:pPr>
        <w:pStyle w:val="ListParagraph"/>
        <w:numPr>
          <w:ilvl w:val="0"/>
          <w:numId w:val="2"/>
        </w:numPr>
        <w:spacing w:after="80"/>
      </w:pPr>
      <w:r>
        <w:t xml:space="preserve">The Westmoreland–Eastmoreland Site — Westmoreland Park together with the adjoining Eastmoreland Golf Course, the closest candidate to downtown’s existing shelters, outreach offices and medical services, sitting inside a higher-income residential neighborhood.</w:t>
      </w:r>
    </w:p>
    <w:p>
      <w:pPr>
        <w:pStyle w:val="ListParagraph"/>
        <w:numPr>
          <w:ilvl w:val="0"/>
          <w:numId w:val="2"/>
        </w:numPr>
        <w:spacing w:after="80"/>
      </w:pPr>
      <w:r>
        <w:t xml:space="preserve">The Hayden Island Nature Preserve — the northwest half of Hayden Island, the most remote candidate from downtown services, sitting in a far less densely residential part of the city.</w:t>
      </w:r>
    </w:p>
    <w:p>
      <w:pPr>
        <w:spacing w:after="140"/>
      </w:pPr>
      <w:r>
        <w:t xml:space="preserve">Cordon’s recommendation is not a private judgment call — every argument he brings to the council has to survive being checked against real acreage, real distances, and the city’s own published cost data for building out a site like this (see Appendices B, C and D). A recent poll put his approval rating below 35%, and this recommendation is the one his job most likely turns on either way he calls it.</w:t>
      </w:r>
    </w:p>
    <w:p>
      <w:pPr>
        <w:spacing w:after="140"/>
      </w:pPr>
      <w:r>
        <w:t xml:space="preserve">All figures in this case are sourced or explicitly stated as scenario assumptions (see Appendices F and G). The vocabulary and “how to…” skills this case will ask you to research are listed in Appendix H — that is where Challenge 1 sends you.</w:t>
      </w:r>
    </w:p>
    <w:p>
      <w:pPr>
        <w:pStyle w:val="Heading1"/>
        <w:pBdr>
          <w:left w:val="single" w:color="c9a227" w:sz="24" w:space="8"/>
        </w:pBdr>
        <w:spacing w:after="140" w:before="300"/>
      </w:pPr>
      <w:r>
        <w:t xml:space="preserve">The Dilemma</w:t>
      </w:r>
    </w:p>
    <w:p>
      <w:pPr>
        <w:spacing w:after="140"/>
      </w:pPr>
      <w:r>
        <w:rPr>
          <w:b/>
          <w:bCs/>
        </w:rPr>
        <w:t xml:space="preserve">You are City Planner Paul Cordon.</w:t>
      </w:r>
    </w:p>
    <w:p>
      <w:pPr>
        <w:spacing w:after="140"/>
      </w:pPr>
      <w:r>
        <w:t xml:space="preserve">Do you:</w:t>
      </w:r>
    </w:p>
    <w:p>
      <w:pPr>
        <w:spacing w:after="140"/>
      </w:pPr>
      <w:r>
        <w:rPr>
          <w:b/>
          <w:bCs/>
        </w:rPr>
        <w:t xml:space="preserve">A.) </w:t>
      </w:r>
      <w:r>
        <w:t xml:space="preserve">Recommend the Westmoreland–Eastmoreland Site (Westmoreland Park including Eastmoreland Golf Course) — the most central, most accessible option, in a higher-income residential area</w:t>
      </w:r>
    </w:p>
    <w:p>
      <w:pPr>
        <w:spacing w:after="140"/>
      </w:pPr>
      <w:r>
        <w:rPr>
          <w:b/>
          <w:bCs/>
          <w:i/>
          <w:iCs/>
        </w:rPr>
        <w:t xml:space="preserve">OR</w:t>
      </w:r>
    </w:p>
    <w:p>
      <w:pPr>
        <w:spacing w:after="140"/>
      </w:pPr>
      <w:r>
        <w:rPr>
          <w:b/>
          <w:bCs/>
        </w:rPr>
        <w:t xml:space="preserve">B.) </w:t>
      </w:r>
      <w:r>
        <w:t xml:space="preserve">Recommend the Hayden Island Nature Preserve — the most remote option from downtown services, but with by far the largest usable acreage of the two sites</w:t>
      </w:r>
    </w:p>
    <w:p>
      <w:pPr>
        <w:pStyle w:val="Heading1"/>
        <w:pBdr>
          <w:left w:val="single" w:color="c9a227" w:sz="24" w:space="8"/>
        </w:pBdr>
        <w:spacing w:after="140" w:before="300"/>
      </w:pPr>
      <w:r>
        <w:t xml:space="preserve">Challenges</w:t>
      </w:r>
    </w:p>
    <w:p>
      <w:pPr>
        <w:spacing w:after="140"/>
      </w:pPr>
      <w:r>
        <w:rPr>
          <w:b/>
          <w:bCs/>
        </w:rPr>
        <w:t xml:space="preserve">1.) </w:t>
      </w:r>
      <w:r>
        <w:t xml:space="preserve">Research and find an online resource that answers one of the “how to…” questions from the case study launch. Post a link to the resource as your submission.</w:t>
      </w:r>
    </w:p>
    <w:p>
      <w:pPr>
        <w:spacing w:after="140"/>
      </w:pPr>
      <w:r>
        <w:rPr>
          <w:b/>
          <w:bCs/>
        </w:rPr>
        <w:t xml:space="preserve">2.) </w:t>
      </w:r>
      <w:r>
        <w:t xml:space="preserve">Post 250 or more “excellent” words pitching a firm stance to your audience on which you would choose and why. Your pitch must include:</w:t>
      </w:r>
    </w:p>
    <w:p>
      <w:pPr>
        <w:pStyle w:val="ListParagraph"/>
        <w:numPr>
          <w:ilvl w:val="0"/>
          <w:numId w:val="2"/>
        </w:numPr>
        <w:spacing w:after="80"/>
      </w:pPr>
      <w:r>
        <w:t xml:space="preserve">a.) Use of the “how to…” resource you researched in Challenge 1.</w:t>
      </w:r>
    </w:p>
    <w:p>
      <w:pPr>
        <w:pStyle w:val="ListParagraph"/>
        <w:numPr>
          <w:ilvl w:val="0"/>
          <w:numId w:val="2"/>
        </w:numPr>
        <w:spacing w:after="80"/>
      </w:pPr>
      <w:r>
        <w:t xml:space="preserve">b.) At least one original visual display of the data.</w:t>
      </w:r>
    </w:p>
    <w:p>
      <w:pPr>
        <w:spacing w:after="140"/>
      </w:pPr>
      <w:r>
        <w:rPr>
          <w:b/>
          <w:bCs/>
        </w:rPr>
        <w:t xml:space="preserve">3.) </w:t>
      </w:r>
      <w:r>
        <w:t xml:space="preserve">Your pitch must include:</w:t>
      </w:r>
    </w:p>
    <w:p>
      <w:pPr>
        <w:spacing w:after="140"/>
      </w:pPr>
      <w:r>
        <w:rPr>
          <w:b/>
          <w:bCs/>
        </w:rPr>
        <w:t xml:space="preserve">D1. </w:t>
      </w:r>
      <w:r>
        <w:rPr>
          <w:b/>
          <w:bCs/>
        </w:rPr>
        <w:t xml:space="preserve">A distance-and-access map, </w:t>
      </w:r>
      <w:r>
        <w:t xml:space="preserve">plotting City Hall and both candidate sites on a coordinate plane (miles east/north of City Hall), identifying the quadrant each site falls in, and computing the straight-line distance from City Hall to each site using the distance formula — showing every step (see Appendix B).</w:t>
      </w:r>
    </w:p>
    <w:p>
      <w:pPr>
        <w:spacing w:after="140"/>
      </w:pPr>
      <w:r>
        <w:rPr>
          <w:b/>
          <w:bCs/>
        </w:rPr>
        <w:t xml:space="preserve">D2. </w:t>
      </w:r>
      <w:r>
        <w:rPr>
          <w:b/>
          <w:bCs/>
        </w:rPr>
        <w:t xml:space="preserve">A site area and estimated-capacity table </w:t>
      </w:r>
      <w:r>
        <w:t xml:space="preserve">for each option: total acreage from the sourced figures, the developed footprint under the case’s stated assumption, and the estimated number of residents each site could house, worked from a real, sourced density figure by setting up and solving a proportion. Classify each site’s combined boundary as convex or concave and explain how that shapes how you’d compute its area (see Appendix C).</w:t>
      </w:r>
    </w:p>
    <w:p>
      <w:pPr>
        <w:spacing w:after="140"/>
      </w:pPr>
      <w:r>
        <w:rPr>
          <w:b/>
          <w:bCs/>
        </w:rPr>
        <w:t xml:space="preserve">D3. </w:t>
      </w:r>
      <w:r>
        <w:rPr>
          <w:b/>
          <w:bCs/>
        </w:rPr>
        <w:t xml:space="preserve">A cost table </w:t>
      </w:r>
      <w:r>
        <w:t xml:space="preserve">for each option: the projected build-out cost (scaled from the city’s own program budget), the projected annual outreach-transportation cost (using the current federal mileage rate and your Appendix B distance), and the resulting cost per resident (see Appendix D).</w:t>
      </w:r>
    </w:p>
    <w:p>
      <w:pPr>
        <w:spacing w:after="140"/>
      </w:pPr>
      <w:r>
        <w:rPr>
          <w:b/>
          <w:bCs/>
        </w:rPr>
        <w:t xml:space="preserve">D4. </w:t>
      </w:r>
      <w:r>
        <w:rPr>
          <w:b/>
          <w:bCs/>
        </w:rPr>
        <w:t xml:space="preserve">A weighted-criteria decision matrix </w:t>
      </w:r>
      <w:r>
        <w:t xml:space="preserve">— score each option on accessibility, capacity, and cost-efficiency using the method in Appendix E, choose and justify your own weight for each criterion (they must add to 100%), and compute a final weighted score for each site.</w:t>
      </w:r>
    </w:p>
    <w:p>
      <w:pPr>
        <w:spacing w:after="140"/>
      </w:pPr>
      <w:r>
        <w:rPr>
          <w:b/>
          <w:bCs/>
        </w:rPr>
        <w:t xml:space="preserve">D5. </w:t>
      </w:r>
      <w:r>
        <w:rPr>
          <w:b/>
          <w:bCs/>
        </w:rPr>
        <w:t xml:space="preserve">At least one original visual display </w:t>
      </w:r>
      <w:r>
        <w:t xml:space="preserve">comparing the two sites’ final weighted scores or their underlying criteria (a bar graph is a good fit here — see Appendix H).</w:t>
      </w:r>
    </w:p>
    <w:p>
      <w:pPr>
        <w:spacing w:after="140"/>
      </w:pPr>
      <w:r>
        <w:rPr>
          <w:b/>
          <w:bCs/>
        </w:rPr>
        <w:t xml:space="preserve">4.) </w:t>
      </w:r>
      <w:r>
        <w:t xml:space="preserve">An appendix showing evidence of your original thinking, work, calculations and processes you used to complete the challenges (pictures, screenshots, notes, etc.). Your work in the appendix does not count toward your word count.</w:t>
      </w:r>
    </w:p>
    <w:p>
      <w:pPr>
        <w:spacing w:after="140"/>
      </w:pPr>
      <w:r>
        <w:rPr>
          <w:b/>
          <w:bCs/>
        </w:rPr>
        <w:t xml:space="preserve">5.) </w:t>
      </w:r>
      <w:r>
        <w:t xml:space="preserve">Participate twice or more in the Case Study discussion. If you are absent the day of a discussion post 500 “excellent” words on the questions above.</w:t>
      </w:r>
    </w:p>
    <w:p>
      <w:r>
        <w:br w:type="page"/>
      </w:r>
    </w:p>
    <w:p>
      <w:pPr>
        <w:pStyle w:val="Heading1"/>
        <w:pBdr>
          <w:left w:val="single" w:color="c9a227" w:sz="24" w:space="8"/>
        </w:pBdr>
        <w:spacing w:after="140" w:before="300"/>
      </w:pPr>
      <w:r>
        <w:t xml:space="preserve">Appendix A — Ordinance 322b and the Sites Under Consideration</w:t>
      </w:r>
    </w:p>
    <w:p>
      <w:pPr>
        <w:spacing w:after="140"/>
      </w:pPr>
      <w:r>
        <w:t xml:space="preserve">Ordinance 322b (early 2021) authorized the city to convert one publicly owned open space into a permanent, serviced homeless encampment. The council’s original site list included a third park (Powell Butte Nature Park), which was dropped from consideration during the council’s own initial screening as the weaker fit of the three; only the two sites below remain live options for Cordon’s recommendation.</w:t>
      </w:r>
    </w:p>
    <w:p>
      <w:pPr>
        <w:pStyle w:val="ListParagraph"/>
        <w:numPr>
          <w:ilvl w:val="0"/>
          <w:numId w:val="2"/>
        </w:numPr>
        <w:spacing w:after="80"/>
      </w:pPr>
      <w:r>
        <w:t xml:space="preserve">Site A — The Westmoreland–Eastmoreland Site: Westmoreland Park plus the adjoining Eastmoreland Golf Course, in southeast Portland’s Sellwood-Moreland area.</w:t>
      </w:r>
    </w:p>
    <w:p>
      <w:pPr>
        <w:pStyle w:val="ListParagraph"/>
        <w:numPr>
          <w:ilvl w:val="0"/>
          <w:numId w:val="2"/>
        </w:numPr>
        <w:spacing w:after="80"/>
      </w:pPr>
      <w:r>
        <w:t xml:space="preserve">Site B — The Hayden Island Nature Preserve: the northwest half of Hayden Island, an island in the Columbia River between North Portland and Vancouver, Washington, reachable only via Interstate 5.</w:t>
      </w:r>
    </w:p>
    <w:p>
      <w:pPr>
        <w:spacing w:after="140"/>
      </w:pPr>
      <w:r>
        <w:t xml:space="preserve">Background reading on the situation this ordinance responds to (real, publicly available context, not required for the math):</w:t>
      </w:r>
    </w:p>
    <w:p>
      <w:pPr>
        <w:pStyle w:val="ListParagraph"/>
        <w:numPr>
          <w:ilvl w:val="0"/>
          <w:numId w:val="2"/>
        </w:numPr>
        <w:spacing w:after="80"/>
      </w:pPr>
      <w:r>
        <w:t xml:space="preserve">Portland Bureau of Planning and Sustainability, general homelessness planning resources: portland.gov</w:t>
      </w:r>
    </w:p>
    <w:p>
      <w:pPr>
        <w:pStyle w:val="ListParagraph"/>
        <w:numPr>
          <w:ilvl w:val="0"/>
          <w:numId w:val="2"/>
        </w:numPr>
        <w:spacing w:after="80"/>
      </w:pPr>
      <w:r>
        <w:t xml:space="preserve">Multnomah County / City of Portland joint annual Point-in-Time count reports on homelessness</w:t>
      </w:r>
    </w:p>
    <w:p>
      <w:pPr>
        <w:pStyle w:val="Heading1"/>
        <w:pBdr>
          <w:left w:val="single" w:color="c9a227" w:sz="24" w:space="8"/>
        </w:pBdr>
        <w:spacing w:after="140" w:before="300"/>
      </w:pPr>
      <w:r>
        <w:t xml:space="preserve">Appendix B — Distance and Access Data</w:t>
      </w:r>
    </w:p>
    <w:p>
      <w:pPr>
        <w:spacing w:after="140"/>
      </w:pPr>
      <w:r>
        <w:t xml:space="preserve">City Hall (where Ordinance 322b was voted on) sits at 45.5150°N, 122.6791°W [S1]. Placing City Hall at the origin of a coordinate plane, with east and north as the positive axes, each site’s real geographic coordinates convert to a location in miles as follows, using the standard approximation that one degree of latitude spans 69.0 miles and one degree of longitude spans 69.172 × cos(latitude) miles [S2]: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76"/>
        <w:gridCol w:w="3024"/>
        <w:gridCol w:w="3456"/>
        <w:gridCol w:w="1944"/>
      </w:tblGrid>
      <w:tr>
        <w:trPr>
          <w:tblHeader/>
        </w:trPr>
        <w:tc>
          <w:tcPr>
            <w:tcW w:type="dxa" w:w="2376"/>
            <w:shd w:fill="1a3a5c" w:color="auto" w:val="clear"/>
          </w:tcPr>
          <w:p>
            <w:r>
              <w:rPr>
                <w:b/>
                <w:bCs/>
                <w:color w:val="FFFFFF"/>
              </w:rPr>
              <w:t xml:space="preserve">Site</w:t>
            </w:r>
          </w:p>
        </w:tc>
        <w:tc>
          <w:tcPr>
            <w:tcW w:type="dxa" w:w="3024"/>
            <w:shd w:fill="1a3a5c" w:color="auto" w:val="clear"/>
          </w:tcPr>
          <w:p>
            <w:r>
              <w:rPr>
                <w:b/>
                <w:bCs/>
                <w:color w:val="FFFFFF"/>
              </w:rPr>
              <w:t xml:space="preserve">Latitude, Longitude</w:t>
            </w:r>
          </w:p>
        </w:tc>
        <w:tc>
          <w:tcPr>
            <w:tcW w:type="dxa" w:w="3456"/>
            <w:shd w:fill="1a3a5c" w:color="auto" w:val="clear"/>
          </w:tcPr>
          <w:p>
            <w:r>
              <w:rPr>
                <w:b/>
                <w:bCs/>
                <w:color w:val="FFFFFF"/>
              </w:rPr>
              <w:t xml:space="preserve">Coordinate pair (mi east, mi north of City Hall)</w:t>
            </w:r>
          </w:p>
        </w:tc>
        <w:tc>
          <w:tcPr>
            <w:tcW w:type="dxa" w:w="1944"/>
            <w:shd w:fill="1a3a5c" w:color="auto" w:val="clear"/>
          </w:tcPr>
          <w:p>
            <w:r>
              <w:rPr>
                <w:b/>
                <w:bCs/>
                <w:color w:val="FFFFFF"/>
              </w:rPr>
              <w:t xml:space="preserve">Quadrant</w:t>
            </w:r>
          </w:p>
        </w:tc>
      </w:tr>
      <w:tr>
        <w:tc>
          <w:tcPr>
            <w:tcW w:type="dxa" w:w="2376"/>
          </w:tcPr>
          <w:p>
            <w:r>
              <w:t xml:space="preserve">City Hall (origin)</w:t>
            </w:r>
          </w:p>
        </w:tc>
        <w:tc>
          <w:tcPr>
            <w:tcW w:type="dxa" w:w="3024"/>
          </w:tcPr>
          <w:p>
            <w:r>
              <w:t xml:space="preserve">45.5150°N, 122.6791°W [S1]</w:t>
            </w:r>
          </w:p>
        </w:tc>
        <w:tc>
          <w:tcPr>
            <w:tcW w:type="dxa" w:w="3456"/>
          </w:tcPr>
          <w:p>
            <w:r>
              <w:t xml:space="preserve">(0, 0)</w:t>
            </w:r>
          </w:p>
        </w:tc>
        <w:tc>
          <w:tcPr>
            <w:tcW w:type="dxa" w:w="1944"/>
          </w:tcPr>
          <w:p>
            <w:r>
              <w:t xml:space="preserve">—</w:t>
            </w:r>
          </w:p>
        </w:tc>
      </w:tr>
      <w:tr>
        <w:tc>
          <w:tcPr>
            <w:tcW w:type="dxa" w:w="2376"/>
            <w:shd w:fill="F7F9FB" w:color="auto" w:val="clear"/>
          </w:tcPr>
          <w:p>
            <w:r>
              <w:t xml:space="preserve">A — Westmoreland–Eastmoreland</w:t>
            </w:r>
          </w:p>
        </w:tc>
        <w:tc>
          <w:tcPr>
            <w:tcW w:type="dxa" w:w="3024"/>
            <w:shd w:fill="F7F9FB" w:color="auto" w:val="clear"/>
          </w:tcPr>
          <w:p>
            <w:r>
              <w:t xml:space="preserve">45.4706°N, 122.6397°W [S3]</w:t>
            </w:r>
          </w:p>
        </w:tc>
        <w:tc>
          <w:tcPr>
            <w:tcW w:type="dxa" w:w="3456"/>
            <w:shd w:fill="F7F9FB" w:color="auto" w:val="clear"/>
          </w:tcPr>
          <w:p>
            <w:r>
              <w:t xml:space="preserve">(1.91, −3.07)</w:t>
            </w:r>
          </w:p>
        </w:tc>
        <w:tc>
          <w:tcPr>
            <w:tcW w:type="dxa" w:w="1944"/>
            <w:shd w:fill="F7F9FB" w:color="auto" w:val="clear"/>
          </w:tcPr>
          <w:p>
            <w:r>
              <w:t xml:space="preserve">IV</w:t>
            </w:r>
          </w:p>
        </w:tc>
      </w:tr>
      <w:tr>
        <w:tc>
          <w:tcPr>
            <w:tcW w:type="dxa" w:w="2376"/>
          </w:tcPr>
          <w:p>
            <w:r>
              <w:t xml:space="preserve">B — Hayden Island Nature Preserve</w:t>
            </w:r>
          </w:p>
        </w:tc>
        <w:tc>
          <w:tcPr>
            <w:tcW w:type="dxa" w:w="3024"/>
          </w:tcPr>
          <w:p>
            <w:r>
              <w:t xml:space="preserve">45.6119°N, 122.6761°W [S4]</w:t>
            </w:r>
          </w:p>
        </w:tc>
        <w:tc>
          <w:tcPr>
            <w:tcW w:type="dxa" w:w="3456"/>
          </w:tcPr>
          <w:p>
            <w:r>
              <w:t xml:space="preserve">(0.15, 6.69)</w:t>
            </w:r>
          </w:p>
        </w:tc>
        <w:tc>
          <w:tcPr>
            <w:tcW w:type="dxa" w:w="1944"/>
          </w:tcPr>
          <w:p>
            <w:r>
              <w:t xml:space="preserve">I</w:t>
            </w:r>
          </w:p>
        </w:tc>
      </w:tr>
    </w:tbl>
    <w:p>
      <w:pPr>
        <w:spacing w:after="140"/>
      </w:pPr>
    </w:p>
    <w:p>
      <w:pPr>
        <w:spacing w:after="140"/>
      </w:pPr>
      <w:r>
        <w:t xml:space="preserve">Use the distance formula (equivalent to the Pythagorean theorem applied to the east-leg and north-leg of each site’s coordinate pair, which run perpendicular to each other exactly the way Portland’s own numbered avenues, which run parallel to each other north-south, meet the city’s east-west streets at right angles) to compute the straight-line distance from City Hall to each site. Show your work — this is D1.</w:t>
      </w:r>
    </w:p>
    <w:p>
      <w:pPr>
        <w:spacing w:after="140"/>
      </w:pPr>
      <w:r>
        <w:t xml:space="preserve">For reference, Hayden Island is publicly described as roughly nine miles north of downtown Portland by road [S5]; your straight-line (not driving) distance will come out shorter than a road-route figure, and Appendix F explains why that is expected, not an error.</w:t>
      </w:r>
    </w:p>
    <w:p>
      <w:pPr>
        <w:pStyle w:val="Heading1"/>
        <w:pBdr>
          <w:left w:val="single" w:color="c9a227" w:sz="24" w:space="8"/>
        </w:pBdr>
        <w:spacing w:after="140" w:before="300"/>
      </w:pPr>
      <w:r>
        <w:t xml:space="preserve">Appendix C — Site Area and Estimated Capacity</w:t>
      </w:r>
    </w:p>
    <w:p>
      <w:pPr>
        <w:spacing w:after="140"/>
      </w:pPr>
      <w:r>
        <w:rPr>
          <w:b/>
          <w:bCs/>
        </w:rPr>
        <w:t xml:space="preserve">Sourced acreage: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620"/>
        <w:gridCol w:w="5940"/>
        <w:gridCol w:w="3240"/>
      </w:tblGrid>
      <w:tr>
        <w:trPr>
          <w:tblHeader/>
        </w:trPr>
        <w:tc>
          <w:tcPr>
            <w:tcW w:type="dxa" w:w="1620"/>
            <w:shd w:fill="1a3a5c" w:color="auto" w:val="clear"/>
          </w:tcPr>
          <w:p>
            <w:r>
              <w:rPr>
                <w:b/>
                <w:bCs/>
                <w:color w:val="FFFFFF"/>
              </w:rPr>
              <w:t xml:space="preserve">Site</w:t>
            </w:r>
          </w:p>
        </w:tc>
        <w:tc>
          <w:tcPr>
            <w:tcW w:type="dxa" w:w="5940"/>
            <w:shd w:fill="1a3a5c" w:color="auto" w:val="clear"/>
          </w:tcPr>
          <w:p>
            <w:r>
              <w:rPr>
                <w:b/>
                <w:bCs/>
                <w:color w:val="FFFFFF"/>
              </w:rPr>
              <w:t xml:space="preserve">Component</w:t>
            </w:r>
          </w:p>
        </w:tc>
        <w:tc>
          <w:tcPr>
            <w:tcW w:type="dxa" w:w="3240"/>
            <w:shd w:fill="1a3a5c" w:color="auto" w:val="clear"/>
          </w:tcPr>
          <w:p>
            <w:r>
              <w:rPr>
                <w:b/>
                <w:bCs/>
                <w:color w:val="FFFFFF"/>
              </w:rPr>
              <w:t xml:space="preserve">Acreage</w:t>
            </w:r>
          </w:p>
        </w:tc>
      </w:tr>
      <w:tr>
        <w:tc>
          <w:tcPr>
            <w:tcW w:type="dxa" w:w="1620"/>
          </w:tcPr>
          <w:p>
            <w:r>
              <w:t xml:space="preserve">A</w:t>
            </w:r>
          </w:p>
        </w:tc>
        <w:tc>
          <w:tcPr>
            <w:tcW w:type="dxa" w:w="5940"/>
          </w:tcPr>
          <w:p>
            <w:r>
              <w:t xml:space="preserve">Westmoreland Park</w:t>
            </w:r>
          </w:p>
        </w:tc>
        <w:tc>
          <w:tcPr>
            <w:tcW w:type="dxa" w:w="3240"/>
          </w:tcPr>
          <w:p>
            <w:r>
              <w:t xml:space="preserve">43.09 ac [S6]</w:t>
            </w:r>
          </w:p>
        </w:tc>
      </w:tr>
      <w:tr>
        <w:tc>
          <w:tcPr>
            <w:tcW w:type="dxa" w:w="1620"/>
            <w:shd w:fill="F7F9FB" w:color="auto" w:val="clear"/>
          </w:tcPr>
          <w:p>
            <w:r>
              <w:t xml:space="preserve">A</w:t>
            </w:r>
          </w:p>
        </w:tc>
        <w:tc>
          <w:tcPr>
            <w:tcW w:type="dxa" w:w="5940"/>
            <w:shd w:fill="F7F9FB" w:color="auto" w:val="clear"/>
          </w:tcPr>
          <w:p>
            <w:r>
              <w:t xml:space="preserve">Eastmoreland Golf Course</w:t>
            </w:r>
          </w:p>
        </w:tc>
        <w:tc>
          <w:tcPr>
            <w:tcW w:type="dxa" w:w="3240"/>
            <w:shd w:fill="F7F9FB" w:color="auto" w:val="clear"/>
          </w:tcPr>
          <w:p>
            <w:r>
              <w:t xml:space="preserve">138.50 ac [S7]</w:t>
            </w:r>
          </w:p>
        </w:tc>
      </w:tr>
      <w:tr>
        <w:tc>
          <w:tcPr>
            <w:tcW w:type="dxa" w:w="1620"/>
          </w:tcPr>
          <w:p>
            <w:r>
              <w:t xml:space="preserve">A</w:t>
            </w:r>
          </w:p>
        </w:tc>
        <w:tc>
          <w:tcPr>
            <w:tcW w:type="dxa" w:w="5940"/>
          </w:tcPr>
          <w:p>
            <w:r>
              <w:t xml:space="preserve">Total</w:t>
            </w:r>
          </w:p>
        </w:tc>
        <w:tc>
          <w:tcPr>
            <w:tcW w:type="dxa" w:w="3240"/>
          </w:tcPr>
          <w:p>
            <w:r>
              <w:t xml:space="preserve">181.59 ac</w:t>
            </w:r>
          </w:p>
        </w:tc>
      </w:tr>
      <w:tr>
        <w:tc>
          <w:tcPr>
            <w:tcW w:type="dxa" w:w="1620"/>
            <w:shd w:fill="F7F9FB" w:color="auto" w:val="clear"/>
          </w:tcPr>
          <w:p>
            <w:r>
              <w:t xml:space="preserve">B</w:t>
            </w:r>
          </w:p>
        </w:tc>
        <w:tc>
          <w:tcPr>
            <w:tcW w:type="dxa" w:w="5940"/>
            <w:shd w:fill="F7F9FB" w:color="auto" w:val="clear"/>
          </w:tcPr>
          <w:p>
            <w:r>
              <w:t xml:space="preserve">Hayden Island, total island area</w:t>
            </w:r>
          </w:p>
        </w:tc>
        <w:tc>
          <w:tcPr>
            <w:tcW w:type="dxa" w:w="3240"/>
            <w:shd w:fill="F7F9FB" w:color="auto" w:val="clear"/>
          </w:tcPr>
          <w:p>
            <w:r>
              <w:t xml:space="preserve">1.69 sq mi = 1,081.60 ac [S4]</w:t>
            </w:r>
          </w:p>
        </w:tc>
      </w:tr>
      <w:tr>
        <w:tc>
          <w:tcPr>
            <w:tcW w:type="dxa" w:w="1620"/>
          </w:tcPr>
          <w:p>
            <w:r>
              <w:t xml:space="preserve">B</w:t>
            </w:r>
          </w:p>
        </w:tc>
        <w:tc>
          <w:tcPr>
            <w:tcW w:type="dxa" w:w="5940"/>
          </w:tcPr>
          <w:p>
            <w:r>
              <w:t xml:space="preserve">Nature Preserve site (northwest half — see Appendix F, MA3)</w:t>
            </w:r>
          </w:p>
        </w:tc>
        <w:tc>
          <w:tcPr>
            <w:tcW w:type="dxa" w:w="3240"/>
          </w:tcPr>
          <w:p>
            <w:r>
              <w:t xml:space="preserve">540.80 ac</w:t>
            </w:r>
          </w:p>
        </w:tc>
      </w:tr>
    </w:tbl>
    <w:p>
      <w:pPr>
        <w:spacing w:after="140"/>
      </w:pPr>
    </w:p>
    <w:p>
      <w:pPr>
        <w:spacing w:after="140"/>
      </w:pPr>
      <w:r>
        <w:t xml:space="preserve">A real reference density. Portland’s Reedway Safe Rest Village sits on a 130,000-square-foot site and holds 120 sleeping units [S8] — a real, built example of how many residents a serviced encampment site can support per acre of land. Convert Reedway’s site size to acres, then set up a proportion to find the units-per-acre density this real site achieves, and apply Appendix F’s stated developed-footprint assumption (MA1) to each candidate site’s total acreage to estimate how many residents each site could hold. This is D2.</w:t>
      </w:r>
    </w:p>
    <w:p>
      <w:pPr>
        <w:spacing w:after="140"/>
      </w:pPr>
      <w:r>
        <w:t xml:space="preserve">Sketch each site’s combined outer boundary (Site A is two adjoining, separately named parcels; Site B is a single island-half). Classify each boundary as convex or concave, and explain in your appendix how that classification affects whether you can find its area with a single rectangle formula or need to break the shape into pieces first.</w:t>
      </w:r>
    </w:p>
    <w:p>
      <w:pPr>
        <w:pStyle w:val="Heading1"/>
        <w:pBdr>
          <w:left w:val="single" w:color="c9a227" w:sz="24" w:space="8"/>
        </w:pBdr>
        <w:spacing w:after="140" w:before="300"/>
      </w:pPr>
      <w:r>
        <w:t xml:space="preserve">Appendix D — Cost Data</w:t>
      </w:r>
    </w:p>
    <w:p>
      <w:pPr>
        <w:spacing w:after="140"/>
      </w:pPr>
      <w:r>
        <w:t xml:space="preserve">Build-out cost. The City of Portland’s own Safe Rest Village program had a total budget of $56.3 million covering 2021–2024, for the six villages originally authorized [S9, S10]. Portland’s built villages average 49 sleeping units each [S11]. Use these two real figures to compute an average build-out-and-early-operating cost per resident-unit, then scale it to your Appendix C capacity estimate for each site.</w:t>
      </w:r>
    </w:p>
    <w:p>
      <w:pPr>
        <w:spacing w:after="140"/>
      </w:pPr>
      <w:r>
        <w:t xml:space="preserve">Outreach-transportation cost. A remote site needs a daily outreach shuttle connecting residents to downtown medical, legal and social services. Using the 2026 federal business standard mileage rate of $0.725 per mile [S12], and Appendix F’s stated shuttle-frequency assumption (MA4), compute each site’s annual round-trip transportation cost using your Appendix B distance.</w:t>
      </w:r>
    </w:p>
    <w:p>
      <w:pPr>
        <w:spacing w:after="140"/>
      </w:pPr>
      <w:r>
        <w:t xml:space="preserve">Add build-out cost and annual transportation cost for each site, then divide by your Appendix C capacity estimate to get a cost-per-resident figure for each option. This is D3.</w:t>
      </w:r>
    </w:p>
    <w:p>
      <w:pPr>
        <w:pStyle w:val="Heading1"/>
        <w:pBdr>
          <w:left w:val="single" w:color="c9a227" w:sz="24" w:space="8"/>
        </w:pBdr>
        <w:spacing w:after="140" w:before="300"/>
      </w:pPr>
      <w:r>
        <w:t xml:space="preserve">Appendix E — The Weighted-Criteria Scoring Method</w:t>
      </w:r>
    </w:p>
    <w:p>
      <w:pPr>
        <w:spacing w:after="140"/>
      </w:pPr>
      <w:r>
        <w:t xml:space="preserve">For each of the three criteria below, give the stronger option a score of 10, and give the weaker option a score of 10 × (its own value ÷ the stronger option’s value), using whichever of the two numbers actually makes it the better outcome (for accessibility and cost, a smaller number is better; for capacity, a larger number is better):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76"/>
        <w:gridCol w:w="5400"/>
        <w:gridCol w:w="3024"/>
      </w:tblGrid>
      <w:tr>
        <w:trPr>
          <w:tblHeader/>
        </w:trPr>
        <w:tc>
          <w:tcPr>
            <w:tcW w:type="dxa" w:w="2376"/>
            <w:shd w:fill="1a3a5c" w:color="auto" w:val="clear"/>
          </w:tcPr>
          <w:p>
            <w:r>
              <w:rPr>
                <w:b/>
                <w:bCs/>
                <w:color w:val="FFFFFF"/>
              </w:rPr>
              <w:t xml:space="preserve">Criterion</w:t>
            </w:r>
          </w:p>
        </w:tc>
        <w:tc>
          <w:tcPr>
            <w:tcW w:type="dxa" w:w="5400"/>
            <w:shd w:fill="1a3a5c" w:color="auto" w:val="clear"/>
          </w:tcPr>
          <w:p>
            <w:r>
              <w:rPr>
                <w:b/>
                <w:bCs/>
                <w:color w:val="FFFFFF"/>
              </w:rPr>
              <w:t xml:space="preserve">What you’re comparing</w:t>
            </w:r>
          </w:p>
        </w:tc>
        <w:tc>
          <w:tcPr>
            <w:tcW w:type="dxa" w:w="3024"/>
            <w:shd w:fill="1a3a5c" w:color="auto" w:val="clear"/>
          </w:tcPr>
          <w:p>
            <w:r>
              <w:rPr>
                <w:b/>
                <w:bCs/>
                <w:color w:val="FFFFFF"/>
              </w:rPr>
              <w:t xml:space="preserve">Data source</w:t>
            </w:r>
          </w:p>
        </w:tc>
      </w:tr>
      <w:tr>
        <w:tc>
          <w:tcPr>
            <w:tcW w:type="dxa" w:w="2376"/>
          </w:tcPr>
          <w:p>
            <w:r>
              <w:t xml:space="preserve">Accessibility</w:t>
            </w:r>
          </w:p>
        </w:tc>
        <w:tc>
          <w:tcPr>
            <w:tcW w:type="dxa" w:w="5400"/>
          </w:tcPr>
          <w:p>
            <w:r>
              <w:t xml:space="preserve">Straight-line distance to City Hall (smaller is better)</w:t>
            </w:r>
          </w:p>
        </w:tc>
        <w:tc>
          <w:tcPr>
            <w:tcW w:type="dxa" w:w="3024"/>
          </w:tcPr>
          <w:p>
            <w:r>
              <w:t xml:space="preserve">Appendix B (D1)</w:t>
            </w:r>
          </w:p>
        </w:tc>
      </w:tr>
      <w:tr>
        <w:tc>
          <w:tcPr>
            <w:tcW w:type="dxa" w:w="2376"/>
            <w:shd w:fill="F7F9FB" w:color="auto" w:val="clear"/>
          </w:tcPr>
          <w:p>
            <w:r>
              <w:t xml:space="preserve">Capacity</w:t>
            </w:r>
          </w:p>
        </w:tc>
        <w:tc>
          <w:tcPr>
            <w:tcW w:type="dxa" w:w="5400"/>
            <w:shd w:fill="F7F9FB" w:color="auto" w:val="clear"/>
          </w:tcPr>
          <w:p>
            <w:r>
              <w:t xml:space="preserve">Estimated residents housed (larger is better)</w:t>
            </w:r>
          </w:p>
        </w:tc>
        <w:tc>
          <w:tcPr>
            <w:tcW w:type="dxa" w:w="3024"/>
            <w:shd w:fill="F7F9FB" w:color="auto" w:val="clear"/>
          </w:tcPr>
          <w:p>
            <w:r>
              <w:t xml:space="preserve">Appendix C (D2)</w:t>
            </w:r>
          </w:p>
        </w:tc>
      </w:tr>
      <w:tr>
        <w:tc>
          <w:tcPr>
            <w:tcW w:type="dxa" w:w="2376"/>
          </w:tcPr>
          <w:p>
            <w:r>
              <w:t xml:space="preserve">Cost-efficiency</w:t>
            </w:r>
          </w:p>
        </w:tc>
        <w:tc>
          <w:tcPr>
            <w:tcW w:type="dxa" w:w="5400"/>
          </w:tcPr>
          <w:p>
            <w:r>
              <w:t xml:space="preserve">Cost per resident (smaller is better)</w:t>
            </w:r>
          </w:p>
        </w:tc>
        <w:tc>
          <w:tcPr>
            <w:tcW w:type="dxa" w:w="3024"/>
          </w:tcPr>
          <w:p>
            <w:r>
              <w:t xml:space="preserve">Appendix D (D3)</w:t>
            </w:r>
          </w:p>
        </w:tc>
      </w:tr>
    </w:tbl>
    <w:p>
      <w:pPr>
        <w:spacing w:after="140"/>
      </w:pPr>
    </w:p>
    <w:p>
      <w:pPr>
        <w:spacing w:after="140"/>
      </w:pPr>
      <w:r>
        <w:t xml:space="preserve">Then choose your own weight for each criterion (they must total 100%) and justify your choice in your pitch. Multiply each option’s three scores by your weights and add them up for a final weighted score per site. This is D4. Different Heroes choosing different, defensible weights are expected to land on different recommendations — that is the point of the exercise, not a flaw in it.</w:t>
      </w:r>
    </w:p>
    <w:p>
      <w:r>
        <w:br w:type="page"/>
      </w:r>
    </w:p>
    <w:p>
      <w:pPr>
        <w:pStyle w:val="Heading1"/>
        <w:pBdr>
          <w:left w:val="single" w:color="c9a227" w:sz="24" w:space="8"/>
        </w:pBdr>
        <w:spacing w:after="140" w:before="300"/>
      </w:pPr>
      <w:r>
        <w:t xml:space="preserve">Appendix F — Modeling Assumptions</w:t>
      </w:r>
    </w:p>
    <w:p>
      <w:pPr>
        <w:spacing w:after="140"/>
      </w:pPr>
      <w:r>
        <w:rPr>
          <w:i/>
          <w:iCs/>
        </w:rPr>
        <w:t xml:space="preserve">These figures are not sourced. They are stated scenario assumptions chosen by the case author, each with a real basis. A Hero may challenge any of them in discussion — that is a legitimate move.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756"/>
        <w:gridCol w:w="2592"/>
        <w:gridCol w:w="1512"/>
        <w:gridCol w:w="3780"/>
        <w:gridCol w:w="2160"/>
      </w:tblGrid>
      <w:tr>
        <w:trPr>
          <w:tblHeader/>
        </w:trPr>
        <w:tc>
          <w:tcPr>
            <w:tcW w:type="dxa" w:w="756"/>
            <w:shd w:fill="1a3a5c" w:color="auto" w:val="clear"/>
          </w:tcPr>
          <w:p>
            <w:r>
              <w:rPr>
                <w:b/>
                <w:bCs/>
                <w:color w:val="FFFFFF"/>
              </w:rPr>
              <w:t xml:space="preserve">#</w:t>
            </w:r>
          </w:p>
        </w:tc>
        <w:tc>
          <w:tcPr>
            <w:tcW w:type="dxa" w:w="2592"/>
            <w:shd w:fill="1a3a5c" w:color="auto" w:val="clear"/>
          </w:tcPr>
          <w:p>
            <w:r>
              <w:rPr>
                <w:b/>
                <w:bCs/>
                <w:color w:val="FFFFFF"/>
              </w:rPr>
              <w:t xml:space="preserve">Assumption</w:t>
            </w:r>
          </w:p>
        </w:tc>
        <w:tc>
          <w:tcPr>
            <w:tcW w:type="dxa" w:w="1512"/>
            <w:shd w:fill="1a3a5c" w:color="auto" w:val="clear"/>
          </w:tcPr>
          <w:p>
            <w:r>
              <w:rPr>
                <w:b/>
                <w:bCs/>
                <w:color w:val="FFFFFF"/>
              </w:rPr>
              <w:t xml:space="preserve">Value used</w:t>
            </w:r>
          </w:p>
        </w:tc>
        <w:tc>
          <w:tcPr>
            <w:tcW w:type="dxa" w:w="3780"/>
            <w:shd w:fill="1a3a5c" w:color="auto" w:val="clear"/>
          </w:tcPr>
          <w:p>
            <w:r>
              <w:rPr>
                <w:b/>
                <w:bCs/>
                <w:color w:val="FFFFFF"/>
              </w:rPr>
              <w:t xml:space="preserve">Basis</w:t>
            </w:r>
          </w:p>
        </w:tc>
        <w:tc>
          <w:tcPr>
            <w:tcW w:type="dxa" w:w="2160"/>
            <w:shd w:fill="1a3a5c" w:color="auto" w:val="clear"/>
          </w:tcPr>
          <w:p>
            <w:r>
              <w:rPr>
                <w:b/>
                <w:bCs/>
                <w:color w:val="FFFFFF"/>
              </w:rPr>
              <w:t xml:space="preserve">Sensitivity</w:t>
            </w:r>
          </w:p>
        </w:tc>
      </w:tr>
      <w:tr>
        <w:tc>
          <w:tcPr>
            <w:tcW w:type="dxa" w:w="756"/>
          </w:tcPr>
          <w:p>
            <w:r>
              <w:t xml:space="preserve">MA1</w:t>
            </w:r>
          </w:p>
        </w:tc>
        <w:tc>
          <w:tcPr>
            <w:tcW w:type="dxa" w:w="2592"/>
          </w:tcPr>
          <w:p>
            <w:r>
              <w:t xml:space="preserve">Developed footprint, as a percent of each site’s total sourced acreage</w:t>
            </w:r>
          </w:p>
        </w:tc>
        <w:tc>
          <w:tcPr>
            <w:tcW w:type="dxa" w:w="1512"/>
          </w:tcPr>
          <w:p>
            <w:r>
              <w:t xml:space="preserve">1%</w:t>
            </w:r>
          </w:p>
        </w:tc>
        <w:tc>
          <w:tcPr>
            <w:tcW w:type="dxa" w:w="3780"/>
          </w:tcPr>
          <w:p>
            <w:r>
              <w:t xml:space="preserve">Reedway Safe Rest Village’s actual built footprint (about 3 acres, [S8]) is a small fraction of the scale of the multi-hundred-acre parks proposed here; this case assumes the city would develop a comparably modest fraction of each candidate’s total acreage, leaving the rest as park, golf, or preserve use.</w:t>
            </w:r>
          </w:p>
        </w:tc>
        <w:tc>
          <w:tcPr>
            <w:tcW w:type="dxa" w:w="2160"/>
          </w:tcPr>
          <w:p>
            <w:r>
              <w:t xml:space="preserve">The answer is sensitive to this value — see sensitivity_model.py.</w:t>
            </w:r>
          </w:p>
        </w:tc>
      </w:tr>
      <w:tr>
        <w:tc>
          <w:tcPr>
            <w:tcW w:type="dxa" w:w="756"/>
            <w:shd w:fill="F7F9FB" w:color="auto" w:val="clear"/>
          </w:tcPr>
          <w:p>
            <w:r>
              <w:t xml:space="preserve">MA2</w:t>
            </w:r>
          </w:p>
        </w:tc>
        <w:tc>
          <w:tcPr>
            <w:tcW w:type="dxa" w:w="2592"/>
            <w:shd w:fill="F7F9FB" w:color="auto" w:val="clear"/>
          </w:tcPr>
          <w:p>
            <w:r>
              <w:t xml:space="preserve">Residents housed per sleeping unit</w:t>
            </w:r>
          </w:p>
        </w:tc>
        <w:tc>
          <w:tcPr>
            <w:tcW w:type="dxa" w:w="1512"/>
            <w:shd w:fill="F7F9FB" w:color="auto" w:val="clear"/>
          </w:tcPr>
          <w:p>
            <w:r>
              <w:t xml:space="preserve">1</w:t>
            </w:r>
          </w:p>
        </w:tc>
        <w:tc>
          <w:tcPr>
            <w:tcW w:type="dxa" w:w="3780"/>
            <w:shd w:fill="F7F9FB" w:color="auto" w:val="clear"/>
          </w:tcPr>
          <w:p>
            <w:r>
              <w:t xml:space="preserve">Matches how Portland’s own Safe Rest Village reporting counts “units”/“pods” [S8], [S11].</w:t>
            </w:r>
          </w:p>
        </w:tc>
        <w:tc>
          <w:tcPr>
            <w:tcW w:type="dxa" w:w="2160"/>
            <w:shd w:fill="F7F9FB" w:color="auto" w:val="clear"/>
          </w:tcPr>
          <w:p>
            <w:r>
              <w:t xml:space="preserve">The answer is sensitive to this value — see sensitivity_model.py.</w:t>
            </w:r>
          </w:p>
        </w:tc>
      </w:tr>
      <w:tr>
        <w:tc>
          <w:tcPr>
            <w:tcW w:type="dxa" w:w="756"/>
          </w:tcPr>
          <w:p>
            <w:r>
              <w:t xml:space="preserve">MA3</w:t>
            </w:r>
          </w:p>
        </w:tc>
        <w:tc>
          <w:tcPr>
            <w:tcW w:type="dxa" w:w="2592"/>
          </w:tcPr>
          <w:p>
            <w:r>
              <w:t xml:space="preserve">Hayden Island Nature Preserve site = the northwest half of the island’s total acreage</w:t>
            </w:r>
          </w:p>
        </w:tc>
        <w:tc>
          <w:tcPr>
            <w:tcW w:type="dxa" w:w="1512"/>
          </w:tcPr>
          <w:p>
            <w:r>
              <w:t xml:space="preserve">50% of 1,081.60 ac</w:t>
            </w:r>
          </w:p>
        </w:tc>
        <w:tc>
          <w:tcPr>
            <w:tcW w:type="dxa" w:w="3780"/>
          </w:tcPr>
          <w:p>
            <w:r>
              <w:t xml:space="preserve">Matches the original 2021 ordinance’s own description of the site as “the northwest half of the island” (see Appendix A).</w:t>
            </w:r>
          </w:p>
        </w:tc>
        <w:tc>
          <w:tcPr>
            <w:tcW w:type="dxa" w:w="2160"/>
          </w:tcPr>
          <w:p>
            <w:r>
              <w:t xml:space="preserve">The answer is sensitive to this value — see sensitivity_model.py.</w:t>
            </w:r>
          </w:p>
        </w:tc>
      </w:tr>
      <w:tr>
        <w:tc>
          <w:tcPr>
            <w:tcW w:type="dxa" w:w="756"/>
            <w:shd w:fill="F7F9FB" w:color="auto" w:val="clear"/>
          </w:tcPr>
          <w:p>
            <w:r>
              <w:t xml:space="preserve">MA4</w:t>
            </w:r>
          </w:p>
        </w:tc>
        <w:tc>
          <w:tcPr>
            <w:tcW w:type="dxa" w:w="2592"/>
            <w:shd w:fill="F7F9FB" w:color="auto" w:val="clear"/>
          </w:tcPr>
          <w:p>
            <w:r>
              <w:t xml:space="preserve">Outreach-shuttle round trips per day</w:t>
            </w:r>
          </w:p>
        </w:tc>
        <w:tc>
          <w:tcPr>
            <w:tcW w:type="dxa" w:w="1512"/>
            <w:shd w:fill="F7F9FB" w:color="auto" w:val="clear"/>
          </w:tcPr>
          <w:p>
            <w:r>
              <w:t xml:space="preserve">1 round trip per 25 residents</w:t>
            </w:r>
          </w:p>
        </w:tc>
        <w:tc>
          <w:tcPr>
            <w:tcW w:type="dxa" w:w="3780"/>
            <w:shd w:fill="F7F9FB" w:color="auto" w:val="clear"/>
          </w:tcPr>
          <w:p>
            <w:r>
              <w:t xml:space="preserve">No public figure exists for this specific service model; sized to a typical mid-size paratransit shuttle van’s passenger capacity.</w:t>
            </w:r>
          </w:p>
        </w:tc>
        <w:tc>
          <w:tcPr>
            <w:tcW w:type="dxa" w:w="2160"/>
            <w:shd w:fill="F7F9FB" w:color="auto" w:val="clear"/>
          </w:tcPr>
          <w:p>
            <w:r>
              <w:t xml:space="preserve">The answer is sensitive to this value — see sensitivity_model.py.</w:t>
            </w:r>
          </w:p>
        </w:tc>
      </w:tr>
      <w:tr>
        <w:tc>
          <w:tcPr>
            <w:tcW w:type="dxa" w:w="756"/>
          </w:tcPr>
          <w:p>
            <w:r>
              <w:t xml:space="preserve">MA5</w:t>
            </w:r>
          </w:p>
        </w:tc>
        <w:tc>
          <w:tcPr>
            <w:tcW w:type="dxa" w:w="2592"/>
          </w:tcPr>
          <w:p>
            <w:r>
              <w:t xml:space="preserve">Cost-per-resident-unit baseline</w:t>
            </w:r>
          </w:p>
        </w:tc>
        <w:tc>
          <w:tcPr>
            <w:tcW w:type="dxa" w:w="1512"/>
          </w:tcPr>
          <w:p>
            <w:r>
              <w:t xml:space="preserve">City’s own $56.3M ÷ 6-village budget ÷ 49-unit average village size, applied flatly to both sites</w:t>
            </w:r>
          </w:p>
        </w:tc>
        <w:tc>
          <w:tcPr>
            <w:tcW w:type="dxa" w:w="3780"/>
          </w:tcPr>
          <w:p>
            <w:r>
              <w:t xml:space="preserve">No site-specific cost breakdown for either candidate is public; this applies the city’s own real, citywide average investment per resident-unit ([S9], [S10], [S11]) equally to both options rather than inventing a site-specific figure.</w:t>
            </w:r>
          </w:p>
        </w:tc>
        <w:tc>
          <w:tcPr>
            <w:tcW w:type="dxa" w:w="2160"/>
          </w:tcPr>
          <w:p>
            <w:r>
              <w:t xml:space="preserve">The answer is sensitive to this value — see sensitivity_model.py.</w:t>
            </w:r>
          </w:p>
        </w:tc>
      </w:tr>
      <w:tr>
        <w:tc>
          <w:tcPr>
            <w:tcW w:type="dxa" w:w="756"/>
            <w:shd w:fill="F7F9FB" w:color="auto" w:val="clear"/>
          </w:tcPr>
          <w:p>
            <w:r>
              <w:t xml:space="preserve">MA6</w:t>
            </w:r>
          </w:p>
        </w:tc>
        <w:tc>
          <w:tcPr>
            <w:tcW w:type="dxa" w:w="2592"/>
            <w:shd w:fill="F7F9FB" w:color="auto" w:val="clear"/>
          </w:tcPr>
          <w:p>
            <w:r>
              <w:t xml:space="preserve">Example criteria weights used to check this case’s own balance (accessibility / capacity / cost-efficiency)</w:t>
            </w:r>
          </w:p>
        </w:tc>
        <w:tc>
          <w:tcPr>
            <w:tcW w:type="dxa" w:w="1512"/>
            <w:shd w:fill="F7F9FB" w:color="auto" w:val="clear"/>
          </w:tcPr>
          <w:p>
            <w:r>
              <w:t xml:space="preserve">40% / 35% / 25%</w:t>
            </w:r>
          </w:p>
        </w:tc>
        <w:tc>
          <w:tcPr>
            <w:tcW w:type="dxa" w:w="3780"/>
            <w:shd w:fill="F7F9FB" w:color="auto" w:val="clear"/>
          </w:tcPr>
          <w:p>
            <w:r>
              <w:t xml:space="preserve">An author-chosen example weighting, used only to verify the case is balanced. Challenge D4 requires each Hero to choose and justify their own weights, which may differ from this example.</w:t>
            </w:r>
          </w:p>
        </w:tc>
        <w:tc>
          <w:tcPr>
            <w:tcW w:type="dxa" w:w="2160"/>
            <w:shd w:fill="F7F9FB" w:color="auto" w:val="clear"/>
          </w:tcPr>
          <w:p>
            <w:r>
              <w:t xml:space="preserve">The answer is sensitive to this value — see sensitivity_model.py.</w:t>
            </w:r>
          </w:p>
        </w:tc>
      </w:tr>
    </w:tbl>
    <w:p>
      <w:r>
        <w:br w:type="page"/>
      </w:r>
    </w:p>
    <w:p>
      <w:pPr>
        <w:pStyle w:val="Heading1"/>
        <w:pBdr>
          <w:left w:val="single" w:color="c9a227" w:sz="24" w:space="8"/>
        </w:pBdr>
        <w:spacing w:after="140" w:before="300"/>
      </w:pPr>
      <w:r>
        <w:t xml:space="preserve">Appendix G — Sources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48"/>
        <w:gridCol w:w="2376"/>
        <w:gridCol w:w="1836"/>
        <w:gridCol w:w="3456"/>
        <w:gridCol w:w="1404"/>
        <w:gridCol w:w="1080"/>
      </w:tblGrid>
      <w:tr>
        <w:trPr>
          <w:tblHeader/>
        </w:trPr>
        <w:tc>
          <w:tcPr>
            <w:tcW w:type="dxa" w:w="648"/>
            <w:shd w:fill="1a3a5c" w:color="auto" w:val="clear"/>
          </w:tcPr>
          <w:p>
            <w:r>
              <w:rPr>
                <w:b/>
                <w:bCs/>
                <w:color w:val="FFFFFF"/>
              </w:rPr>
              <w:t xml:space="preserve">#</w:t>
            </w:r>
          </w:p>
        </w:tc>
        <w:tc>
          <w:tcPr>
            <w:tcW w:type="dxa" w:w="2376"/>
            <w:shd w:fill="1a3a5c" w:color="auto" w:val="clear"/>
          </w:tcPr>
          <w:p>
            <w:r>
              <w:rPr>
                <w:b/>
                <w:bCs/>
                <w:color w:val="FFFFFF"/>
              </w:rPr>
              <w:t xml:space="preserve">Claim</w:t>
            </w:r>
          </w:p>
        </w:tc>
        <w:tc>
          <w:tcPr>
            <w:tcW w:type="dxa" w:w="1836"/>
            <w:shd w:fill="1a3a5c" w:color="auto" w:val="clear"/>
          </w:tcPr>
          <w:p>
            <w:r>
              <w:rPr>
                <w:b/>
                <w:bCs/>
                <w:color w:val="FFFFFF"/>
              </w:rPr>
              <w:t xml:space="preserve">Value</w:t>
            </w:r>
          </w:p>
        </w:tc>
        <w:tc>
          <w:tcPr>
            <w:tcW w:type="dxa" w:w="3456"/>
            <w:shd w:fill="1a3a5c" w:color="auto" w:val="clear"/>
          </w:tcPr>
          <w:p>
            <w:r>
              <w:rPr>
                <w:b/>
                <w:bCs/>
                <w:color w:val="FFFFFF"/>
              </w:rPr>
              <w:t xml:space="preserve">Source</w:t>
            </w:r>
          </w:p>
        </w:tc>
        <w:tc>
          <w:tcPr>
            <w:tcW w:type="dxa" w:w="1404"/>
            <w:shd w:fill="1a3a5c" w:color="auto" w:val="clear"/>
          </w:tcPr>
          <w:p>
            <w:r>
              <w:rPr>
                <w:b/>
                <w:bCs/>
                <w:color w:val="FFFFFF"/>
              </w:rPr>
              <w:t xml:space="preserve">Date</w:t>
            </w:r>
          </w:p>
        </w:tc>
        <w:tc>
          <w:tcPr>
            <w:tcW w:type="dxa" w:w="1080"/>
            <w:shd w:fill="1a3a5c" w:color="auto" w:val="clear"/>
          </w:tcPr>
          <w:p>
            <w:r>
              <w:rPr>
                <w:b/>
                <w:bCs/>
                <w:color w:val="FFFFFF"/>
              </w:rPr>
              <w:t xml:space="preserve">Confidence</w:t>
            </w:r>
          </w:p>
        </w:tc>
      </w:tr>
      <w:tr>
        <w:tc>
          <w:tcPr>
            <w:tcW w:type="dxa" w:w="648"/>
          </w:tcPr>
          <w:p>
            <w:r>
              <w:t xml:space="preserve">S1</w:t>
            </w:r>
          </w:p>
        </w:tc>
        <w:tc>
          <w:tcPr>
            <w:tcW w:type="dxa" w:w="2376"/>
          </w:tcPr>
          <w:p>
            <w:r>
              <w:t xml:space="preserve">Portland City Hall location</w:t>
            </w:r>
          </w:p>
        </w:tc>
        <w:tc>
          <w:tcPr>
            <w:tcW w:type="dxa" w:w="1836"/>
          </w:tcPr>
          <w:p>
            <w:r>
              <w:t xml:space="preserve">45.515014°N, 122.679122°W</w:t>
            </w:r>
          </w:p>
        </w:tc>
        <w:tc>
          <w:tcPr>
            <w:tcW w:type="dxa" w:w="3456"/>
          </w:tcPr>
          <w:p>
            <w:r>
              <w:t xml:space="preserve">Google Maps listing, 1221 SW 4th Ave, Portland, OR 97204</w:t>
            </w:r>
          </w:p>
        </w:tc>
        <w:tc>
          <w:tcPr>
            <w:tcW w:type="dxa" w:w="1404"/>
          </w:tcPr>
          <w:p>
            <w:r>
              <w:t xml:space="preserve">accessed 2026-08-20</w:t>
            </w:r>
          </w:p>
        </w:tc>
        <w:tc>
          <w:tcPr>
            <w:tcW w:type="dxa" w:w="1080"/>
          </w:tcPr>
          <w:p>
            <w:r>
              <w:t xml:space="preserve">HIGH</w:t>
            </w:r>
          </w:p>
        </w:tc>
      </w:tr>
      <w:tr>
        <w:tc>
          <w:tcPr>
            <w:tcW w:type="dxa" w:w="648"/>
            <w:shd w:fill="F7F9FB" w:color="auto" w:val="clear"/>
          </w:tcPr>
          <w:p>
            <w:r>
              <w:t xml:space="preserve">S2</w:t>
            </w:r>
          </w:p>
        </w:tc>
        <w:tc>
          <w:tcPr>
            <w:tcW w:type="dxa" w:w="2376"/>
            <w:shd w:fill="F7F9FB" w:color="auto" w:val="clear"/>
          </w:tcPr>
          <w:p>
            <w:r>
              <w:t xml:space="preserve">Standard degree-to-mile conversion for latitude/longitude</w:t>
            </w:r>
          </w:p>
        </w:tc>
        <w:tc>
          <w:tcPr>
            <w:tcW w:type="dxa" w:w="1836"/>
            <w:shd w:fill="F7F9FB" w:color="auto" w:val="clear"/>
          </w:tcPr>
          <w:p>
            <w:r>
              <w:t xml:space="preserve">1° lat ≈ 69.0 mi; 1° lon ≈ 69.172 × cos(lat) mi</w:t>
            </w:r>
          </w:p>
        </w:tc>
        <w:tc>
          <w:tcPr>
            <w:tcW w:type="dxa" w:w="3456"/>
            <w:shd w:fill="F7F9FB" w:color="auto" w:val="clear"/>
          </w:tcPr>
          <w:p>
            <w:r>
              <w:t xml:space="preserve">Standard geodetic approximation (NOAA/USGS convention for local coordinate grids)</w:t>
            </w:r>
          </w:p>
        </w:tc>
        <w:tc>
          <w:tcPr>
            <w:tcW w:type="dxa" w:w="1404"/>
            <w:shd w:fill="F7F9FB" w:color="auto" w:val="clear"/>
          </w:tcPr>
          <w:p>
            <w:r>
              <w:t xml:space="preserve">accessed 2026-08-20</w:t>
            </w:r>
          </w:p>
        </w:tc>
        <w:tc>
          <w:tcPr>
            <w:tcW w:type="dxa" w:w="1080"/>
            <w:shd w:fill="F7F9FB" w:color="auto" w:val="clear"/>
          </w:tcPr>
          <w:p>
            <w:r>
              <w:t xml:space="preserve">HIGH</w:t>
            </w:r>
          </w:p>
        </w:tc>
      </w:tr>
      <w:tr>
        <w:tc>
          <w:tcPr>
            <w:tcW w:type="dxa" w:w="648"/>
          </w:tcPr>
          <w:p>
            <w:r>
              <w:t xml:space="preserve">S3</w:t>
            </w:r>
          </w:p>
        </w:tc>
        <w:tc>
          <w:tcPr>
            <w:tcW w:type="dxa" w:w="2376"/>
          </w:tcPr>
          <w:p>
            <w:r>
              <w:t xml:space="preserve">Westmoreland Park coordinates</w:t>
            </w:r>
          </w:p>
        </w:tc>
        <w:tc>
          <w:tcPr>
            <w:tcW w:type="dxa" w:w="1836"/>
          </w:tcPr>
          <w:p>
            <w:r>
              <w:t xml:space="preserve">45.47056°N, 122.63972°W</w:t>
            </w:r>
          </w:p>
        </w:tc>
        <w:tc>
          <w:tcPr>
            <w:tcW w:type="dxa" w:w="3456"/>
          </w:tcPr>
          <w:p>
            <w:r>
              <w:t xml:space="preserve">Wikipedia, “Westmoreland Park” (citing Portland Parks &amp; Recreation)</w:t>
            </w:r>
          </w:p>
        </w:tc>
        <w:tc>
          <w:tcPr>
            <w:tcW w:type="dxa" w:w="1404"/>
          </w:tcPr>
          <w:p>
            <w:r>
              <w:t xml:space="preserve">accessed 2026-08-20</w:t>
            </w:r>
          </w:p>
        </w:tc>
        <w:tc>
          <w:tcPr>
            <w:tcW w:type="dxa" w:w="1080"/>
          </w:tcPr>
          <w:p>
            <w:r>
              <w:t xml:space="preserve">MEDIUM</w:t>
            </w:r>
          </w:p>
        </w:tc>
      </w:tr>
      <w:tr>
        <w:tc>
          <w:tcPr>
            <w:tcW w:type="dxa" w:w="648"/>
            <w:shd w:fill="F7F9FB" w:color="auto" w:val="clear"/>
          </w:tcPr>
          <w:p>
            <w:r>
              <w:t xml:space="preserve">S4</w:t>
            </w:r>
          </w:p>
        </w:tc>
        <w:tc>
          <w:tcPr>
            <w:tcW w:type="dxa" w:w="2376"/>
            <w:shd w:fill="F7F9FB" w:color="auto" w:val="clear"/>
          </w:tcPr>
          <w:p>
            <w:r>
              <w:t xml:space="preserve">Hayden Island coordinates and total area</w:t>
            </w:r>
          </w:p>
        </w:tc>
        <w:tc>
          <w:tcPr>
            <w:tcW w:type="dxa" w:w="1836"/>
            <w:shd w:fill="F7F9FB" w:color="auto" w:val="clear"/>
          </w:tcPr>
          <w:p>
            <w:r>
              <w:t xml:space="preserve">45.61190°N, 122.67606°W; 1.69 sq mi</w:t>
            </w:r>
          </w:p>
        </w:tc>
        <w:tc>
          <w:tcPr>
            <w:tcW w:type="dxa" w:w="3456"/>
            <w:shd w:fill="F7F9FB" w:color="auto" w:val="clear"/>
          </w:tcPr>
          <w:p>
            <w:r>
              <w:t xml:space="preserve">Wikipedia, “Hayden Island, Portland, Oregon”</w:t>
            </w:r>
          </w:p>
        </w:tc>
        <w:tc>
          <w:tcPr>
            <w:tcW w:type="dxa" w:w="1404"/>
            <w:shd w:fill="F7F9FB" w:color="auto" w:val="clear"/>
          </w:tcPr>
          <w:p>
            <w:r>
              <w:t xml:space="preserve">accessed 2026-08-20</w:t>
            </w:r>
          </w:p>
        </w:tc>
        <w:tc>
          <w:tcPr>
            <w:tcW w:type="dxa" w:w="1080"/>
            <w:shd w:fill="F7F9FB" w:color="auto" w:val="clear"/>
          </w:tcPr>
          <w:p>
            <w:r>
              <w:t xml:space="preserve">MEDIUM</w:t>
            </w:r>
          </w:p>
        </w:tc>
      </w:tr>
      <w:tr>
        <w:tc>
          <w:tcPr>
            <w:tcW w:type="dxa" w:w="648"/>
          </w:tcPr>
          <w:p>
            <w:r>
              <w:t xml:space="preserve">S5</w:t>
            </w:r>
          </w:p>
        </w:tc>
        <w:tc>
          <w:tcPr>
            <w:tcW w:type="dxa" w:w="2376"/>
          </w:tcPr>
          <w:p>
            <w:r>
              <w:t xml:space="preserve">Hayden Island approx. nine miles north of downtown Portland by road</w:t>
            </w:r>
          </w:p>
        </w:tc>
        <w:tc>
          <w:tcPr>
            <w:tcW w:type="dxa" w:w="1836"/>
          </w:tcPr>
          <w:p>
            <w:r>
              <w:t xml:space="preserve">~9 mi</w:t>
            </w:r>
          </w:p>
        </w:tc>
        <w:tc>
          <w:tcPr>
            <w:tcW w:type="dxa" w:w="3456"/>
          </w:tcPr>
          <w:p>
            <w:r>
              <w:t xml:space="preserve">hayden-island.com, community site overview</w:t>
            </w:r>
          </w:p>
        </w:tc>
        <w:tc>
          <w:tcPr>
            <w:tcW w:type="dxa" w:w="1404"/>
          </w:tcPr>
          <w:p>
            <w:r>
              <w:t xml:space="preserve">accessed 2026-08-20</w:t>
            </w:r>
          </w:p>
        </w:tc>
        <w:tc>
          <w:tcPr>
            <w:tcW w:type="dxa" w:w="1080"/>
          </w:tcPr>
          <w:p>
            <w:r>
              <w:t xml:space="preserve">LOW</w:t>
            </w:r>
          </w:p>
        </w:tc>
      </w:tr>
      <w:tr>
        <w:tc>
          <w:tcPr>
            <w:tcW w:type="dxa" w:w="648"/>
            <w:shd w:fill="F7F9FB" w:color="auto" w:val="clear"/>
          </w:tcPr>
          <w:p>
            <w:r>
              <w:t xml:space="preserve">S6</w:t>
            </w:r>
          </w:p>
        </w:tc>
        <w:tc>
          <w:tcPr>
            <w:tcW w:type="dxa" w:w="2376"/>
            <w:shd w:fill="F7F9FB" w:color="auto" w:val="clear"/>
          </w:tcPr>
          <w:p>
            <w:r>
              <w:t xml:space="preserve">Westmoreland Park acreage</w:t>
            </w:r>
          </w:p>
        </w:tc>
        <w:tc>
          <w:tcPr>
            <w:tcW w:type="dxa" w:w="1836"/>
            <w:shd w:fill="F7F9FB" w:color="auto" w:val="clear"/>
          </w:tcPr>
          <w:p>
            <w:r>
              <w:t xml:space="preserve">43.09 acres</w:t>
            </w:r>
          </w:p>
        </w:tc>
        <w:tc>
          <w:tcPr>
            <w:tcW w:type="dxa" w:w="3456"/>
            <w:shd w:fill="F7F9FB" w:color="auto" w:val="clear"/>
          </w:tcPr>
          <w:p>
            <w:r>
              <w:t xml:space="preserve">Portland.gov, “Westmoreland Park” official parks page</w:t>
            </w:r>
          </w:p>
        </w:tc>
        <w:tc>
          <w:tcPr>
            <w:tcW w:type="dxa" w:w="1404"/>
            <w:shd w:fill="F7F9FB" w:color="auto" w:val="clear"/>
          </w:tcPr>
          <w:p>
            <w:r>
              <w:t xml:space="preserve">accessed 2026-08-20</w:t>
            </w:r>
          </w:p>
        </w:tc>
        <w:tc>
          <w:tcPr>
            <w:tcW w:type="dxa" w:w="1080"/>
            <w:shd w:fill="F7F9FB" w:color="auto" w:val="clear"/>
          </w:tcPr>
          <w:p>
            <w:r>
              <w:t xml:space="preserve">HIGH</w:t>
            </w:r>
          </w:p>
        </w:tc>
      </w:tr>
      <w:tr>
        <w:tc>
          <w:tcPr>
            <w:tcW w:type="dxa" w:w="648"/>
          </w:tcPr>
          <w:p>
            <w:r>
              <w:t xml:space="preserve">S7</w:t>
            </w:r>
          </w:p>
        </w:tc>
        <w:tc>
          <w:tcPr>
            <w:tcW w:type="dxa" w:w="2376"/>
          </w:tcPr>
          <w:p>
            <w:r>
              <w:t xml:space="preserve">Eastmoreland Golf Course acreage</w:t>
            </w:r>
          </w:p>
        </w:tc>
        <w:tc>
          <w:tcPr>
            <w:tcW w:type="dxa" w:w="1836"/>
          </w:tcPr>
          <w:p>
            <w:r>
              <w:t xml:space="preserve">138.50 acres</w:t>
            </w:r>
          </w:p>
        </w:tc>
        <w:tc>
          <w:tcPr>
            <w:tcW w:type="dxa" w:w="3456"/>
          </w:tcPr>
          <w:p>
            <w:r>
              <w:t xml:space="preserve">Portland.gov, “Eastmoreland Golf Course” official parks page</w:t>
            </w:r>
          </w:p>
        </w:tc>
        <w:tc>
          <w:tcPr>
            <w:tcW w:type="dxa" w:w="1404"/>
          </w:tcPr>
          <w:p>
            <w:r>
              <w:t xml:space="preserve">accessed 2026-08-20</w:t>
            </w:r>
          </w:p>
        </w:tc>
        <w:tc>
          <w:tcPr>
            <w:tcW w:type="dxa" w:w="1080"/>
          </w:tcPr>
          <w:p>
            <w:r>
              <w:t xml:space="preserve">HIGH</w:t>
            </w:r>
          </w:p>
        </w:tc>
      </w:tr>
      <w:tr>
        <w:tc>
          <w:tcPr>
            <w:tcW w:type="dxa" w:w="648"/>
            <w:shd w:fill="F7F9FB" w:color="auto" w:val="clear"/>
          </w:tcPr>
          <w:p>
            <w:r>
              <w:t xml:space="preserve">S8</w:t>
            </w:r>
          </w:p>
        </w:tc>
        <w:tc>
          <w:tcPr>
            <w:tcW w:type="dxa" w:w="2376"/>
            <w:shd w:fill="F7F9FB" w:color="auto" w:val="clear"/>
          </w:tcPr>
          <w:p>
            <w:r>
              <w:t xml:space="preserve">Reedway Safe Rest Village site size and capacity</w:t>
            </w:r>
          </w:p>
        </w:tc>
        <w:tc>
          <w:tcPr>
            <w:tcW w:type="dxa" w:w="1836"/>
            <w:shd w:fill="F7F9FB" w:color="auto" w:val="clear"/>
          </w:tcPr>
          <w:p>
            <w:r>
              <w:t xml:space="preserve">130,000 sq ft site; 120 sleeping units</w:t>
            </w:r>
          </w:p>
        </w:tc>
        <w:tc>
          <w:tcPr>
            <w:tcW w:type="dxa" w:w="3456"/>
            <w:shd w:fill="F7F9FB" w:color="auto" w:val="clear"/>
          </w:tcPr>
          <w:p>
            <w:r>
              <w:t xml:space="preserve">Portland.gov, “SE Reedway Safe Rest Village” official program page</w:t>
            </w:r>
          </w:p>
        </w:tc>
        <w:tc>
          <w:tcPr>
            <w:tcW w:type="dxa" w:w="1404"/>
            <w:shd w:fill="F7F9FB" w:color="auto" w:val="clear"/>
          </w:tcPr>
          <w:p>
            <w:r>
              <w:t xml:space="preserve">accessed 2026-08-20</w:t>
            </w:r>
          </w:p>
        </w:tc>
        <w:tc>
          <w:tcPr>
            <w:tcW w:type="dxa" w:w="1080"/>
            <w:shd w:fill="F7F9FB" w:color="auto" w:val="clear"/>
          </w:tcPr>
          <w:p>
            <w:r>
              <w:t xml:space="preserve">HIGH</w:t>
            </w:r>
          </w:p>
        </w:tc>
      </w:tr>
      <w:tr>
        <w:tc>
          <w:tcPr>
            <w:tcW w:type="dxa" w:w="648"/>
          </w:tcPr>
          <w:p>
            <w:r>
              <w:t xml:space="preserve">S9</w:t>
            </w:r>
          </w:p>
        </w:tc>
        <w:tc>
          <w:tcPr>
            <w:tcW w:type="dxa" w:w="2376"/>
          </w:tcPr>
          <w:p>
            <w:r>
              <w:t xml:space="preserve">Safe Rest Village program total budget, 2021–2024</w:t>
            </w:r>
          </w:p>
        </w:tc>
        <w:tc>
          <w:tcPr>
            <w:tcW w:type="dxa" w:w="1836"/>
          </w:tcPr>
          <w:p>
            <w:r>
              <w:t xml:space="preserve">$56.3 million</w:t>
            </w:r>
          </w:p>
        </w:tc>
        <w:tc>
          <w:tcPr>
            <w:tcW w:type="dxa" w:w="3456"/>
          </w:tcPr>
          <w:p>
            <w:r>
              <w:t xml:space="preserve">Portland.gov, City Council document 864-2023</w:t>
            </w:r>
          </w:p>
        </w:tc>
        <w:tc>
          <w:tcPr>
            <w:tcW w:type="dxa" w:w="1404"/>
          </w:tcPr>
          <w:p>
            <w:r>
              <w:t xml:space="preserve">accessed 2026-08-20</w:t>
            </w:r>
          </w:p>
        </w:tc>
        <w:tc>
          <w:tcPr>
            <w:tcW w:type="dxa" w:w="1080"/>
          </w:tcPr>
          <w:p>
            <w:r>
              <w:t xml:space="preserve">HIGH</w:t>
            </w:r>
          </w:p>
        </w:tc>
      </w:tr>
      <w:tr>
        <w:tc>
          <w:tcPr>
            <w:tcW w:type="dxa" w:w="648"/>
            <w:shd w:fill="F7F9FB" w:color="auto" w:val="clear"/>
          </w:tcPr>
          <w:p>
            <w:r>
              <w:t xml:space="preserve">S10</w:t>
            </w:r>
          </w:p>
        </w:tc>
        <w:tc>
          <w:tcPr>
            <w:tcW w:type="dxa" w:w="2376"/>
            <w:shd w:fill="F7F9FB" w:color="auto" w:val="clear"/>
          </w:tcPr>
          <w:p>
            <w:r>
              <w:t xml:space="preserve">Number of Safe Rest Villages originally authorized</w:t>
            </w:r>
          </w:p>
        </w:tc>
        <w:tc>
          <w:tcPr>
            <w:tcW w:type="dxa" w:w="1836"/>
            <w:shd w:fill="F7F9FB" w:color="auto" w:val="clear"/>
          </w:tcPr>
          <w:p>
            <w:r>
              <w:t xml:space="preserve">6</w:t>
            </w:r>
          </w:p>
        </w:tc>
        <w:tc>
          <w:tcPr>
            <w:tcW w:type="dxa" w:w="3456"/>
            <w:shd w:fill="F7F9FB" w:color="auto" w:val="clear"/>
          </w:tcPr>
          <w:p>
            <w:r>
              <w:t xml:space="preserve">Portland Mercury, “Portland Leaders Unveil Locations for All Six Safe Rest Villages”</w:t>
            </w:r>
          </w:p>
        </w:tc>
        <w:tc>
          <w:tcPr>
            <w:tcW w:type="dxa" w:w="1404"/>
            <w:shd w:fill="F7F9FB" w:color="auto" w:val="clear"/>
          </w:tcPr>
          <w:p>
            <w:r>
              <w:t xml:space="preserve">2022-02-24 (accessed 2026-08-20)</w:t>
            </w:r>
          </w:p>
        </w:tc>
        <w:tc>
          <w:tcPr>
            <w:tcW w:type="dxa" w:w="1080"/>
            <w:shd w:fill="F7F9FB" w:color="auto" w:val="clear"/>
          </w:tcPr>
          <w:p>
            <w:r>
              <w:t xml:space="preserve">MEDIUM</w:t>
            </w:r>
          </w:p>
        </w:tc>
      </w:tr>
      <w:tr>
        <w:tc>
          <w:tcPr>
            <w:tcW w:type="dxa" w:w="648"/>
          </w:tcPr>
          <w:p>
            <w:r>
              <w:t xml:space="preserve">S11</w:t>
            </w:r>
          </w:p>
        </w:tc>
        <w:tc>
          <w:tcPr>
            <w:tcW w:type="dxa" w:w="2376"/>
          </w:tcPr>
          <w:p>
            <w:r>
              <w:t xml:space="preserve">Average sleeping-pod capacity across Portland’s built Safe Rest Villages</w:t>
            </w:r>
          </w:p>
        </w:tc>
        <w:tc>
          <w:tcPr>
            <w:tcW w:type="dxa" w:w="1836"/>
          </w:tcPr>
          <w:p>
            <w:r>
              <w:t xml:space="preserve">49 pods average (60 largest)</w:t>
            </w:r>
          </w:p>
        </w:tc>
        <w:tc>
          <w:tcPr>
            <w:tcW w:type="dxa" w:w="3456"/>
          </w:tcPr>
          <w:p>
            <w:r>
              <w:t xml:space="preserve">Portland Tribune, “Multnomah Safe Rest Village could become Portland’s largest”</w:t>
            </w:r>
          </w:p>
        </w:tc>
        <w:tc>
          <w:tcPr>
            <w:tcW w:type="dxa" w:w="1404"/>
          </w:tcPr>
          <w:p>
            <w:r>
              <w:t xml:space="preserve">2023-11-30 (accessed 2026-08-20)</w:t>
            </w:r>
          </w:p>
        </w:tc>
        <w:tc>
          <w:tcPr>
            <w:tcW w:type="dxa" w:w="1080"/>
          </w:tcPr>
          <w:p>
            <w:r>
              <w:t xml:space="preserve">MEDIUM</w:t>
            </w:r>
          </w:p>
        </w:tc>
      </w:tr>
      <w:tr>
        <w:tc>
          <w:tcPr>
            <w:tcW w:type="dxa" w:w="648"/>
            <w:shd w:fill="F7F9FB" w:color="auto" w:val="clear"/>
          </w:tcPr>
          <w:p>
            <w:r>
              <w:t xml:space="preserve">S12</w:t>
            </w:r>
          </w:p>
        </w:tc>
        <w:tc>
          <w:tcPr>
            <w:tcW w:type="dxa" w:w="2376"/>
            <w:shd w:fill="F7F9FB" w:color="auto" w:val="clear"/>
          </w:tcPr>
          <w:p>
            <w:r>
              <w:t xml:space="preserve">2026 federal business standard mileage rate</w:t>
            </w:r>
          </w:p>
        </w:tc>
        <w:tc>
          <w:tcPr>
            <w:tcW w:type="dxa" w:w="1836"/>
            <w:shd w:fill="F7F9FB" w:color="auto" w:val="clear"/>
          </w:tcPr>
          <w:p>
            <w:r>
              <w:t xml:space="preserve">$0.725 per mile</w:t>
            </w:r>
          </w:p>
        </w:tc>
        <w:tc>
          <w:tcPr>
            <w:tcW w:type="dxa" w:w="3456"/>
            <w:shd w:fill="F7F9FB" w:color="auto" w:val="clear"/>
          </w:tcPr>
          <w:p>
            <w:r>
              <w:t xml:space="preserve">IRS.gov newsroom</w:t>
            </w:r>
          </w:p>
        </w:tc>
        <w:tc>
          <w:tcPr>
            <w:tcW w:type="dxa" w:w="1404"/>
            <w:shd w:fill="F7F9FB" w:color="auto" w:val="clear"/>
          </w:tcPr>
          <w:p>
            <w:r>
              <w:t xml:space="preserve">2026 (accessed 2026-08-20)</w:t>
            </w:r>
          </w:p>
        </w:tc>
        <w:tc>
          <w:tcPr>
            <w:tcW w:type="dxa" w:w="1080"/>
            <w:shd w:fill="F7F9FB" w:color="auto" w:val="clear"/>
          </w:tcPr>
          <w:p>
            <w:r>
              <w:t xml:space="preserve">HIGH</w:t>
            </w:r>
          </w:p>
        </w:tc>
      </w:tr>
    </w:tbl>
    <w:p>
      <w:r>
        <w:br w:type="page"/>
      </w:r>
    </w:p>
    <w:p>
      <w:pPr>
        <w:pStyle w:val="Heading1"/>
        <w:pBdr>
          <w:left w:val="single" w:color="c9a227" w:sz="24" w:space="8"/>
        </w:pBdr>
        <w:spacing w:after="140" w:before="300"/>
      </w:pPr>
      <w:r>
        <w:t xml:space="preserve">Appendix H — “How To…” Math Questions To Research</w:t>
      </w:r>
    </w:p>
    <w:p>
      <w:pPr>
        <w:spacing w:after="140"/>
      </w:pPr>
      <w:r>
        <w:rPr>
          <w:b/>
          <w:bCs/>
        </w:rPr>
        <w:t xml:space="preserve">Vocabulary terms</w:t>
      </w:r>
    </w:p>
    <w:p>
      <w:pPr>
        <w:pStyle w:val="ListParagraph"/>
        <w:numPr>
          <w:ilvl w:val="0"/>
          <w:numId w:val="2"/>
        </w:numPr>
        <w:spacing w:after="80"/>
      </w:pPr>
      <w:r>
        <w:t xml:space="preserve">Coordinate Plane</w:t>
      </w:r>
    </w:p>
    <w:p>
      <w:pPr>
        <w:pStyle w:val="ListParagraph"/>
        <w:numPr>
          <w:ilvl w:val="0"/>
          <w:numId w:val="2"/>
        </w:numPr>
        <w:spacing w:after="80"/>
      </w:pPr>
      <w:r>
        <w:t xml:space="preserve">X-Axis</w:t>
      </w:r>
    </w:p>
    <w:p>
      <w:pPr>
        <w:pStyle w:val="ListParagraph"/>
        <w:numPr>
          <w:ilvl w:val="0"/>
          <w:numId w:val="2"/>
        </w:numPr>
        <w:spacing w:after="80"/>
      </w:pPr>
      <w:r>
        <w:t xml:space="preserve">Y-Axis</w:t>
      </w:r>
    </w:p>
    <w:p>
      <w:pPr>
        <w:pStyle w:val="ListParagraph"/>
        <w:numPr>
          <w:ilvl w:val="0"/>
          <w:numId w:val="2"/>
        </w:numPr>
        <w:spacing w:after="80"/>
      </w:pPr>
      <w:r>
        <w:t xml:space="preserve">Origin</w:t>
      </w:r>
    </w:p>
    <w:p>
      <w:pPr>
        <w:pStyle w:val="ListParagraph"/>
        <w:numPr>
          <w:ilvl w:val="0"/>
          <w:numId w:val="2"/>
        </w:numPr>
        <w:spacing w:after="80"/>
      </w:pPr>
      <w:r>
        <w:t xml:space="preserve">Quadrant</w:t>
      </w:r>
    </w:p>
    <w:p>
      <w:pPr>
        <w:pStyle w:val="ListParagraph"/>
        <w:numPr>
          <w:ilvl w:val="0"/>
          <w:numId w:val="2"/>
        </w:numPr>
        <w:spacing w:after="80"/>
      </w:pPr>
      <w:r>
        <w:t xml:space="preserve">Coordinate Pair (also Ordered Pair)</w:t>
      </w:r>
    </w:p>
    <w:p>
      <w:pPr>
        <w:pStyle w:val="ListParagraph"/>
        <w:numPr>
          <w:ilvl w:val="0"/>
          <w:numId w:val="2"/>
        </w:numPr>
        <w:spacing w:after="80"/>
      </w:pPr>
      <w:r>
        <w:t xml:space="preserve">Pythagorean Theorem</w:t>
      </w:r>
    </w:p>
    <w:p>
      <w:pPr>
        <w:pStyle w:val="ListParagraph"/>
        <w:numPr>
          <w:ilvl w:val="0"/>
          <w:numId w:val="2"/>
        </w:numPr>
        <w:spacing w:after="80"/>
      </w:pPr>
      <w:r>
        <w:t xml:space="preserve">Right Triangle</w:t>
      </w:r>
    </w:p>
    <w:p>
      <w:pPr>
        <w:pStyle w:val="ListParagraph"/>
        <w:numPr>
          <w:ilvl w:val="0"/>
          <w:numId w:val="2"/>
        </w:numPr>
        <w:spacing w:after="80"/>
      </w:pPr>
      <w:r>
        <w:t xml:space="preserve">Hypotenuse</w:t>
      </w:r>
    </w:p>
    <w:p>
      <w:pPr>
        <w:pStyle w:val="ListParagraph"/>
        <w:numPr>
          <w:ilvl w:val="0"/>
          <w:numId w:val="2"/>
        </w:numPr>
        <w:spacing w:after="80"/>
      </w:pPr>
      <w:r>
        <w:t xml:space="preserve">Parallel Lines</w:t>
      </w:r>
    </w:p>
    <w:p>
      <w:pPr>
        <w:pStyle w:val="ListParagraph"/>
        <w:numPr>
          <w:ilvl w:val="0"/>
          <w:numId w:val="2"/>
        </w:numPr>
        <w:spacing w:after="80"/>
      </w:pPr>
      <w:r>
        <w:t xml:space="preserve">Perpendicular Lines</w:t>
      </w:r>
    </w:p>
    <w:p>
      <w:pPr>
        <w:pStyle w:val="ListParagraph"/>
        <w:numPr>
          <w:ilvl w:val="0"/>
          <w:numId w:val="2"/>
        </w:numPr>
        <w:spacing w:after="80"/>
      </w:pPr>
      <w:r>
        <w:t xml:space="preserve">Convex</w:t>
      </w:r>
    </w:p>
    <w:p>
      <w:pPr>
        <w:pStyle w:val="ListParagraph"/>
        <w:numPr>
          <w:ilvl w:val="0"/>
          <w:numId w:val="2"/>
        </w:numPr>
        <w:spacing w:after="80"/>
      </w:pPr>
      <w:r>
        <w:t xml:space="preserve">Area</w:t>
      </w:r>
    </w:p>
    <w:p>
      <w:pPr>
        <w:pStyle w:val="ListParagraph"/>
        <w:numPr>
          <w:ilvl w:val="0"/>
          <w:numId w:val="2"/>
        </w:numPr>
        <w:spacing w:after="80"/>
      </w:pPr>
      <w:r>
        <w:t xml:space="preserve">Distance</w:t>
      </w:r>
    </w:p>
    <w:p>
      <w:pPr>
        <w:pStyle w:val="ListParagraph"/>
        <w:numPr>
          <w:ilvl w:val="0"/>
          <w:numId w:val="2"/>
        </w:numPr>
        <w:spacing w:after="80"/>
      </w:pPr>
      <w:r>
        <w:t xml:space="preserve">Ratio</w:t>
      </w:r>
    </w:p>
    <w:p>
      <w:pPr>
        <w:pStyle w:val="ListParagraph"/>
        <w:numPr>
          <w:ilvl w:val="0"/>
          <w:numId w:val="2"/>
        </w:numPr>
        <w:spacing w:after="80"/>
      </w:pPr>
      <w:r>
        <w:t xml:space="preserve">Proportion</w:t>
      </w:r>
    </w:p>
    <w:p>
      <w:pPr>
        <w:pStyle w:val="ListParagraph"/>
        <w:numPr>
          <w:ilvl w:val="0"/>
          <w:numId w:val="2"/>
        </w:numPr>
        <w:spacing w:after="80"/>
      </w:pPr>
      <w:r>
        <w:t xml:space="preserve">Percent</w:t>
      </w:r>
    </w:p>
    <w:p>
      <w:pPr>
        <w:pStyle w:val="ListParagraph"/>
        <w:numPr>
          <w:ilvl w:val="0"/>
          <w:numId w:val="2"/>
        </w:numPr>
        <w:spacing w:after="80"/>
      </w:pPr>
      <w:r>
        <w:t xml:space="preserve">Bar Graph</w:t>
      </w:r>
    </w:p>
    <w:p>
      <w:pPr>
        <w:spacing w:after="140"/>
      </w:pPr>
      <w:r>
        <w:rPr>
          <w:b/>
          <w:bCs/>
        </w:rPr>
        <w:t xml:space="preserve">“How to…” questions</w:t>
      </w:r>
    </w:p>
    <w:p>
      <w:pPr>
        <w:pStyle w:val="ListParagraph"/>
        <w:numPr>
          <w:ilvl w:val="0"/>
          <w:numId w:val="2"/>
        </w:numPr>
        <w:spacing w:after="80"/>
      </w:pPr>
      <w:r>
        <w:t xml:space="preserve">How to graph a coordinate pair on the coordinate plane</w:t>
      </w:r>
    </w:p>
    <w:p>
      <w:pPr>
        <w:pStyle w:val="ListParagraph"/>
        <w:numPr>
          <w:ilvl w:val="0"/>
          <w:numId w:val="2"/>
        </w:numPr>
        <w:spacing w:after="80"/>
      </w:pPr>
      <w:r>
        <w:t xml:space="preserve">How to find the distance between two coordinate pairs on a coordinate plane</w:t>
      </w:r>
    </w:p>
    <w:p>
      <w:pPr>
        <w:pStyle w:val="ListParagraph"/>
        <w:numPr>
          <w:ilvl w:val="0"/>
          <w:numId w:val="2"/>
        </w:numPr>
        <w:spacing w:after="80"/>
      </w:pPr>
      <w:r>
        <w:t xml:space="preserve">How to find the area of a rectangle</w:t>
      </w:r>
    </w:p>
    <w:p>
      <w:pPr>
        <w:pStyle w:val="ListParagraph"/>
        <w:numPr>
          <w:ilvl w:val="0"/>
          <w:numId w:val="2"/>
        </w:numPr>
        <w:spacing w:after="80"/>
      </w:pPr>
      <w:r>
        <w:t xml:space="preserve">How to convert an amount from one unit to another unit</w:t>
      </w:r>
    </w:p>
    <w:p>
      <w:pPr>
        <w:pStyle w:val="ListParagraph"/>
        <w:numPr>
          <w:ilvl w:val="0"/>
          <w:numId w:val="2"/>
        </w:numPr>
        <w:spacing w:after="80"/>
      </w:pPr>
      <w:r>
        <w:t xml:space="preserve">How to convert an amount with compound units</w:t>
      </w:r>
    </w:p>
    <w:p>
      <w:pPr>
        <w:pStyle w:val="ListParagraph"/>
        <w:numPr>
          <w:ilvl w:val="0"/>
          <w:numId w:val="2"/>
        </w:numPr>
        <w:spacing w:after="80"/>
      </w:pPr>
      <w:r>
        <w:t xml:space="preserve">How to find a missing amount in a proportion</w:t>
      </w:r>
    </w:p>
    <w:p>
      <w:pPr>
        <w:pStyle w:val="ListParagraph"/>
        <w:numPr>
          <w:ilvl w:val="0"/>
          <w:numId w:val="2"/>
        </w:numPr>
        <w:spacing w:after="80"/>
      </w:pPr>
      <w:r>
        <w:t xml:space="preserve">How to find the percent of a number</w:t>
      </w:r>
    </w:p>
    <w:p>
      <w:pPr>
        <w:pStyle w:val="ListParagraph"/>
        <w:numPr>
          <w:ilvl w:val="0"/>
          <w:numId w:val="2"/>
        </w:numPr>
        <w:spacing w:after="80"/>
      </w:pPr>
      <w:r>
        <w:t xml:space="preserve">How to convert numbers to percents</w:t>
      </w:r>
    </w:p>
    <w:p>
      <w:pPr>
        <w:pStyle w:val="ListParagraph"/>
        <w:numPr>
          <w:ilvl w:val="0"/>
          <w:numId w:val="2"/>
        </w:numPr>
        <w:spacing w:after="80"/>
      </w:pPr>
      <w:r>
        <w:t xml:space="preserve">How to round a number to a specified place value</w:t>
      </w:r>
    </w:p>
    <w:p>
      <w:pPr>
        <w:pStyle w:val="ListParagraph"/>
        <w:numPr>
          <w:ilvl w:val="0"/>
          <w:numId w:val="2"/>
        </w:numPr>
        <w:spacing w:after="80"/>
      </w:pPr>
      <w:r>
        <w:t xml:space="preserve">How to multiply decimal numbers</w:t>
      </w:r>
    </w:p>
    <w:p>
      <w:pPr>
        <w:pStyle w:val="ListParagraph"/>
        <w:numPr>
          <w:ilvl w:val="0"/>
          <w:numId w:val="2"/>
        </w:numPr>
        <w:spacing w:after="80"/>
      </w:pPr>
      <w:r>
        <w:t xml:space="preserve">How to add multi-digit numbers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2026-08-20T22:55:40.863Z</dcterms:created>
  <dcterms:modified xsi:type="dcterms:W3CDTF">2026-08-20T22:55:40.864Z</dcterms:modified>
</cp:coreProperties>
</file>

<file path=docProps/custom.xml><?xml version="1.0" encoding="utf-8"?>
<Properties xmlns="http://schemas.openxmlformats.org/officeDocument/2006/custom-properties" xmlns:vt="http://schemas.openxmlformats.org/officeDocument/2006/docPropsVTypes"/>
</file>