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Late Run</w:t>
      </w:r>
    </w:p>
    <w:p>
      <w:pPr>
        <w:spacing w:after="240"/>
        <w:jc w:val="center"/>
      </w:pPr>
      <w:r>
        <w:rPr>
          <w:i/>
          <w:iCs/>
          <w:sz w:val="22"/>
          <w:szCs w:val="22"/>
        </w:rPr>
        <w:t xml:space="preserve"/>
      </w:r>
    </w:p>
    <w:p>
      <w:r>
        <w:t xml:space="preserve">MS | Math | Case Study | 2026-27 | Adventure</w:t>
      </w:r>
    </w:p>
    <w:p>
      <w:r>
        <w:rPr>
          <w:i/>
          <w:iCs/>
        </w:rPr>
        <w:t xml:space="preserve">(Band: MS-core. This case uses precalculus trigonometry — the Pythagorean identity, inverse trigonometric functions, and solving a trig equation over a restricted interval — and is written for a Hero who already knows the sine and cosine functions and is ready to use them to make a real, timed decision.)</w:t>
      </w:r>
    </w:p>
    <w:p>
      <w:pPr>
        <w:pStyle w:val="Heading2"/>
        <w:spacing w:after="120" w:before="240"/>
      </w:pPr>
      <w:r>
        <w:t xml:space="preserve">Overview</w:t>
      </w:r>
    </w:p>
    <w:p>
      <w:r>
        <w:t xml:space="preserve">Mara Ellison has the production calendar open on one screen and a blank booking form on the other, and her cursor has been sitting on the date field for four minutes.</w:t>
      </w:r>
    </w:p>
    <w:p>
      <w:r>
        <w:t xml:space="preserve">The underground viewing room at the Ballard Locks only lets her crew in for one day. Not one day per run — one day, period, for the whole film. Behind her, a printed still from last year's scout visit is taped to the wall: the glass, the water column, a single Chinook mid-strike against the current, glare sitting across the pane like a second, unwanted subject in the frame. She knows exactly what her polarizer can and can't do about that glare — she's run the math twice already this morning. What she doesn't know is which day to point the math at.</w:t>
      </w:r>
    </w:p>
    <w:p>
      <w:r>
        <w:t xml:space="preserve">Her production coordinator is refreshing his own screen down the hall, waiting to lock the crew's travel and the fish ladder's viewing-room reservation the second she says a date out loud. Two real windows are open on her calendar: one in the losing light of late summer, one three weeks later, at the edge of what the season still has left to give her.</w:t>
      </w:r>
    </w:p>
    <w:p>
      <w:r>
        <w:t xml:space="preserve">She has shot glass before. She knows precisely how clean this filter can get her, on this window, on any given afternoon — that part isn't the question anymore. The question is which afternoon.</w:t>
      </w:r>
    </w:p>
    <w:p>
      <w:r>
        <w:t xml:space="preserve">Mara picks up the phone and doesn't dial yet.</w:t>
      </w:r>
    </w:p>
    <w:p>
      <w:pPr>
        <w:pStyle w:val="Heading2"/>
        <w:spacing w:after="120" w:before="240"/>
      </w:pPr>
      <w:r>
        <w:t xml:space="preserve">Background</w:t>
      </w:r>
    </w:p>
    <w:p>
      <w:r>
        <w:t xml:space="preserve">Mara Ellison is the director of photography for a single-day segment of a conservation documentary tracking the salmon runs through the Ballard Locks fish ladder in Seattle, filmed as part of a project built around the endangered Southern Resident orca population's dependence on Chinook salmon as a food source (SEE APPENDIX F). She has full authority over every camera and lens decision on this shoot day; she does not have authority over the calendar — the production gets exactly one underground-viewing-room shoot day for the entire film, and she has to commit to a date weeks before she rolls a single frame (SEE APPENDIX C).</w:t>
      </w:r>
    </w:p>
    <w:p>
      <w:r>
        <w:t xml:space="preserve">Her camera is fitted with a single circular polarizing filter (SEE APPENDIX B), rotated to one fixed angle before she calls "rolling." A polarizing filter is most effective at removing reflected glare from a surface when the light striking that surface arrives at the surface's Brewster angle (SEE APPENDIX A) — the one incidence angle at which reflected light becomes fully polarized, and therefore fully blockable by a correctly rotated filter. At every other incidence angle, some of the reflected light is </w:t>
      </w:r>
      <w:r>
        <w:rPr>
          <w:i/>
          <w:iCs/>
        </w:rPr>
        <w:t xml:space="preserve">not</w:t>
      </w:r>
      <w:r>
        <w:t xml:space="preserve"> polarized at all, and no amount of rotating the ring removes it (SEE APPENDIX D). The viewing room's glass window doesn't move and doesn't change material between one shoot day and another — but the sun does. The real angle at which sunlight strikes that glass depends entirely on the date and the time of day Mara books (SEE APPENDIX C), and that angle is what decides how much of the window's own glare her filter can actually remove, no matter how well she rotates it.</w:t>
      </w:r>
    </w:p>
    <w:p>
      <w:r>
        <w:rPr>
          <w:b/>
          <w:bCs/>
        </w:rPr>
        <w:t xml:space="preserve">The August Call.</w:t>
      </w:r>
      <w:r>
        <w:t xml:space="preserve"> Book the shoot for August 19, 2026 — the real, verified single best Chinook day of this year's run — and roll at 2:00 PM.</w:t>
      </w:r>
    </w:p>
    <w:p>
      <w:r>
        <w:rPr>
          <w:b/>
          <w:bCs/>
        </w:rPr>
        <w:t xml:space="preserve">The September Call.</w:t>
      </w:r>
      <w:r>
        <w:t xml:space="preserve"> Book the shoot for a date inside the real, documented Coho peak-viewing window at the Locks — the last two weeks of September — and roll at 2:00 PM.</w:t>
      </w:r>
    </w:p>
    <w:p>
      <w:r>
        <w:t xml:space="preserve">One filter. One glass window. Two real dates, two real sun angles, two different ceilings on how much of the window's glare a perfectly-tuned polarizer can remove (SEE APPENDIX D) — and only one of these two runs is even still swimming by the time the other one shows up (SEE APPENDIX E).</w:t>
      </w:r>
    </w:p>
    <w:p>
      <w:r>
        <w:t xml:space="preserve">Where this case's exact camera position or window orientation can't be pinned to a public floor plan, that gap is stated openly as a Modeling Assumption (SEE APPENDIX G). Every external source cited anywhere in this case is collected in Appendix H. The vocabulary and "how to…" skills this case asks you to research are listed in Appendix I — that is where Challenge 1 sends you.</w:t>
      </w:r>
    </w:p>
    <w:p>
      <w:pPr>
        <w:pStyle w:val="Heading2"/>
        <w:spacing w:after="120" w:before="240"/>
      </w:pPr>
      <w:r>
        <w:t xml:space="preserve">Dilemma</w:t>
      </w:r>
    </w:p>
    <w:p>
      <w:r>
        <w:t xml:space="preserve">You are Mara Ellison.</w:t>
      </w:r>
    </w:p>
    <w:p>
      <w:r>
        <w:t xml:space="preserve">Do you:</w:t>
      </w:r>
    </w:p>
    <w:p>
      <w:r>
        <w:rPr>
          <w:b/>
          <w:bCs/>
        </w:rPr>
        <w:t xml:space="preserve">A.)</w:t>
      </w:r>
      <w:r>
        <w:t xml:space="preserve"> Book </w:t>
      </w:r>
      <w:r>
        <w:rPr>
          <w:b/>
          <w:bCs/>
        </w:rPr>
        <w:t xml:space="preserve">the August Call</w:t>
      </w:r>
      <w:r>
        <w:t xml:space="preserve"> — shoot the underground viewing-room window on August 19, 2026, 2:00 PM, the verified single best Chinook day of the season </w:t>
      </w:r>
      <w:r>
        <w:rPr>
          <w:b/>
          <w:bCs/>
        </w:rPr>
        <w:t xml:space="preserve">OR</w:t>
      </w:r>
    </w:p>
    <w:p>
      <w:r>
        <w:rPr>
          <w:b/>
          <w:bCs/>
        </w:rPr>
        <w:t xml:space="preserve">B.)</w:t>
      </w:r>
      <w:r>
        <w:t xml:space="preserve"> Book </w:t>
      </w:r>
      <w:r>
        <w:rPr>
          <w:b/>
          <w:bCs/>
        </w:rPr>
        <w:t xml:space="preserve">the September Call</w:t>
      </w:r>
      <w:r>
        <w:t xml:space="preserve"> — shoot the same window on a date inside the real Coho peak-viewing window (the last two weeks of September), 2:00 PM</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Brewster-angle worksheet. Using the glass window's refractive index (Appendix A) and     the Brewster-angle relationship, evaluate the inverse trigonometric function needed to find     the window's own Brewster angle, showing your algebra and the exact inverse trig function you     used.     D2. A rotation-tolerance worksheet. Starting from the rotation model in Appendix D, solve the     resulting trigonometric equation, for each of the two shoot dates, for the rotation-offset     angle at which the window's total transmitted glare reaches the stated production tolerance     (Appendix D), over the interval 0° to 90°, showing every step of your algebra.     D3. An identity-verification worksheet. Using the Pythagorean identity, verify — algebraically,     not just numerically — that sin²θ = 1 − cos²θ holds, then apply that verified identity to     express each shoot date's transmitted-glare function (Appendix D) in an alternate, checkable     form and show that both forms agree.     D4. A percent-glare-removed comparison table. For the August Call and the September Call,     compute the percent of the glass window's own specular glare that a perfectly-tuned polarizer     can remove at each shoot's real sun-incidence angle (Appendices A, C, D), and state the margin     between the two options.     D5. An original visual (this satisfies Challenge 2(b)). A graph of transmitted-intensity     fraction versus polarizer rotation-offset angle for both shoot dates, overlaid on the same     axes, with the window's Brewster angle marked and each date's best-achievable-residual floor     labeled.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Glass Window and Brewster's Angle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Refractive index of standard viewing-room window glass</w:t>
            </w:r>
          </w:p>
        </w:tc>
        <w:tc>
          <w:tcPr>
            <w:tcW w:type="dxa" w:w="4500"/>
          </w:tcPr>
          <w:p>
            <w:r>
              <w:t xml:space="preserve">n = 1.52 [S1]</w:t>
            </w:r>
          </w:p>
        </w:tc>
      </w:tr>
      <w:tr>
        <w:tc>
          <w:tcPr>
            <w:tcW w:type="dxa" w:w="4500"/>
          </w:tcPr>
          <w:p>
            <w:r>
              <w:t xml:space="preserve">Brewster-angle relationship (air-to-medium interface)</w:t>
            </w:r>
          </w:p>
        </w:tc>
        <w:tc>
          <w:tcPr>
            <w:tcW w:type="dxa" w:w="4500"/>
          </w:tcPr>
          <w:p>
            <w:r>
              <w:t xml:space="preserve">tan θ_p = n₂ / n₁, where n₁ = refractive index of air and n₂ = refractive index of the reflecting medium [S2]</w:t>
            </w:r>
          </w:p>
        </w:tc>
      </w:tr>
      <w:tr>
        <w:tc>
          <w:tcPr>
            <w:tcW w:type="dxa" w:w="4500"/>
          </w:tcPr>
          <w:p>
            <w:r>
              <w:t xml:space="preserve">Brewster angle of the viewing-room glass</w:t>
            </w:r>
          </w:p>
        </w:tc>
        <w:tc>
          <w:tcPr>
            <w:tcW w:type="dxa" w:w="4500"/>
          </w:tcPr>
          <w:p>
            <w:r>
              <w:t xml:space="preserve">56.66° (= arctan(1.52)) [S1][S2]</w:t>
            </w:r>
          </w:p>
        </w:tc>
      </w:tr>
    </w:tbl>
    <w:p/>
    <w:p>
      <w:r>
        <w:rPr>
          <w:i/>
          <w:iCs/>
        </w:rPr>
        <w:t xml:space="preserve">A polarizing filter fully blocks reflected glare only when the reflected light is fully polarized — which happens at exactly one incidence angle for a given material, its Brewster angle. Away from that angle, some of the reflected light is unpolarized, and no rotation of the filter removes it (SEE APPENDIX D).</w:t>
      </w:r>
    </w:p>
    <w:p>
      <w:pPr>
        <w:pStyle w:val="Heading2"/>
        <w:spacing w:after="120" w:before="240"/>
      </w:pPr>
      <w:r>
        <w:t xml:space="preserve">Appendix B: The Polarizer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Filter model</w:t>
            </w:r>
          </w:p>
        </w:tc>
        <w:tc>
          <w:tcPr>
            <w:tcW w:type="dxa" w:w="4500"/>
          </w:tcPr>
          <w:p>
            <w:r>
              <w:t xml:space="preserve">Tiffen 138mm UltraPol Circular Polarizer, Multi Rota Tray mount</w:t>
            </w:r>
          </w:p>
        </w:tc>
      </w:tr>
      <w:tr>
        <w:tc>
          <w:tcPr>
            <w:tcW w:type="dxa" w:w="4500"/>
          </w:tcPr>
          <w:p>
            <w:r>
              <w:t xml:space="preserve">Average light transmission</w:t>
            </w:r>
          </w:p>
        </w:tc>
        <w:tc>
          <w:tcPr>
            <w:tcW w:type="dxa" w:w="4500"/>
          </w:tcPr>
          <w:p>
            <w:r>
              <w:t xml:space="preserve">≈40% [S3]</w:t>
            </w:r>
          </w:p>
        </w:tc>
      </w:tr>
      <w:tr>
        <w:tc>
          <w:tcPr>
            <w:tcW w:type="dxa" w:w="4500"/>
          </w:tcPr>
          <w:p>
            <w:r>
              <w:t xml:space="preserve">Filter factor / stop loss</w:t>
            </w:r>
          </w:p>
        </w:tc>
        <w:tc>
          <w:tcPr>
            <w:tcW w:type="dxa" w:w="4500"/>
          </w:tcPr>
          <w:p>
            <w:r>
              <w:t xml:space="preserve">4x filter factor, 2-stop exposure compensation [S3]</w:t>
            </w:r>
          </w:p>
        </w:tc>
      </w:tr>
    </w:tbl>
    <w:p/>
    <w:p>
      <w:pPr>
        <w:pStyle w:val="Heading2"/>
        <w:spacing w:after="120" w:before="240"/>
      </w:pPr>
      <w:r>
        <w:t xml:space="preserve">Appendix C: Sun Position at the Locks — Two Shoot Windows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The August Call</w:t>
            </w:r>
          </w:p>
        </w:tc>
        <w:tc>
          <w:tcPr>
            <w:tcW w:type="dxa" w:w="3000"/>
            <w:shd w:fill="DDDDDD" w:val="clear"/>
          </w:tcPr>
          <w:p>
            <w:r>
              <w:t xml:space="preserve">The September Call</w:t>
            </w:r>
          </w:p>
        </w:tc>
      </w:tr>
      <w:tr>
        <w:tc>
          <w:tcPr>
            <w:tcW w:type="dxa" w:w="3000"/>
          </w:tcPr>
          <w:p>
            <w:r>
              <w:t xml:space="preserve">Location</w:t>
            </w:r>
          </w:p>
        </w:tc>
        <w:tc>
          <w:tcPr>
            <w:tcW w:type="dxa" w:w="3000"/>
          </w:tcPr>
          <w:p>
            <w:r>
              <w:t xml:space="preserve">Ballard Locks fish-ladder viewing window, Seattle, WA — 47°39′56″N, 122°23′50″W (47.66556°N, 122.39722°W) [S4]</w:t>
            </w:r>
          </w:p>
        </w:tc>
        <w:tc>
          <w:tcPr>
            <w:tcW w:type="dxa" w:w="3000"/>
          </w:tcPr>
          <w:p>
            <w:r>
              <w:t xml:space="preserve">(same location)</w:t>
            </w:r>
          </w:p>
        </w:tc>
      </w:tr>
      <w:tr>
        <w:tc>
          <w:tcPr>
            <w:tcW w:type="dxa" w:w="3000"/>
          </w:tcPr>
          <w:p>
            <w:r>
              <w:t xml:space="preserve">Shoot date and local time used for this case</w:t>
            </w:r>
          </w:p>
        </w:tc>
        <w:tc>
          <w:tcPr>
            <w:tcW w:type="dxa" w:w="3000"/>
          </w:tcPr>
          <w:p>
            <w:r>
              <w:t xml:space="preserve">August 19, 2026, 2:00 PM PDT [S5][MA2]</w:t>
            </w:r>
          </w:p>
        </w:tc>
        <w:tc>
          <w:tcPr>
            <w:tcW w:type="dxa" w:w="3000"/>
          </w:tcPr>
          <w:p>
            <w:r>
              <w:t xml:space="preserve">September 22, 2026, 2:00 PM PDT [S6][S7][MA2][MA3]</w:t>
            </w:r>
          </w:p>
        </w:tc>
      </w:tr>
      <w:tr>
        <w:tc>
          <w:tcPr>
            <w:tcW w:type="dxa" w:w="3000"/>
          </w:tcPr>
          <w:p>
            <w:r>
              <w:t xml:space="preserve">Sun azimuth at that date/time/location</w:t>
            </w:r>
          </w:p>
        </w:tc>
        <w:tc>
          <w:tcPr>
            <w:tcW w:type="dxa" w:w="3000"/>
          </w:tcPr>
          <w:p>
            <w:r>
              <w:t xml:space="preserve">199.48° [S8]</w:t>
            </w:r>
          </w:p>
        </w:tc>
        <w:tc>
          <w:tcPr>
            <w:tcW w:type="dxa" w:w="3000"/>
          </w:tcPr>
          <w:p>
            <w:r>
              <w:t xml:space="preserve">199.23° [S9]</w:t>
            </w:r>
          </w:p>
        </w:tc>
      </w:tr>
      <w:tr>
        <w:tc>
          <w:tcPr>
            <w:tcW w:type="dxa" w:w="3000"/>
          </w:tcPr>
          <w:p>
            <w:r>
              <w:t xml:space="preserve">Sun elevation at that date/time/location</w:t>
            </w:r>
          </w:p>
        </w:tc>
        <w:tc>
          <w:tcPr>
            <w:tcW w:type="dxa" w:w="3000"/>
          </w:tcPr>
          <w:p>
            <w:r>
              <w:t xml:space="preserve">53.55° [S8]</w:t>
            </w:r>
          </w:p>
        </w:tc>
        <w:tc>
          <w:tcPr>
            <w:tcW w:type="dxa" w:w="3000"/>
          </w:tcPr>
          <w:p>
            <w:r>
              <w:t xml:space="preserve">40.77° [S9]</w:t>
            </w:r>
          </w:p>
        </w:tc>
      </w:tr>
      <w:tr>
        <w:tc>
          <w:tcPr>
            <w:tcW w:type="dxa" w:w="3000"/>
          </w:tcPr>
          <w:p>
            <w:r>
              <w:t xml:space="preserve">Angle of incidence of sunlight on the glass window (derived from window orientation, see Appendix G)</w:t>
            </w:r>
          </w:p>
        </w:tc>
        <w:tc>
          <w:tcPr>
            <w:tcW w:type="dxa" w:w="3000"/>
          </w:tcPr>
          <w:p>
            <w:r>
              <w:t xml:space="preserve">55.9° (derived) [S8][MA1]</w:t>
            </w:r>
          </w:p>
        </w:tc>
        <w:tc>
          <w:tcPr>
            <w:tcW w:type="dxa" w:w="3000"/>
          </w:tcPr>
          <w:p>
            <w:r>
              <w:t xml:space="preserve">44.4° (derived) [S9][MA1]</w:t>
            </w:r>
          </w:p>
        </w:tc>
      </w:tr>
    </w:tbl>
    <w:p/>
    <w:p>
      <w:r>
        <w:rPr>
          <w:i/>
          <w:iCs/>
        </w:rPr>
        <w:t xml:space="preserve">Both shoot windows use the same window, the same camera position, and the same stated 2:00 PM call time (SEE APPENDIX G) — only the date changes, and with it, the real position of the sun.</w:t>
      </w:r>
    </w:p>
    <w:p>
      <w:pPr>
        <w:pStyle w:val="Heading2"/>
        <w:spacing w:after="120" w:before="240"/>
      </w:pPr>
      <w:r>
        <w:t xml:space="preserve">Appendix D: The Rotation Model — Malus's Law, Snell's Law, and the Fresnel Reflectance</w:t>
      </w:r>
    </w:p>
    <w:p>
      <w:r>
        <w:rPr>
          <w:b/>
          <w:bCs/>
        </w:rPr>
        <w:t xml:space="preserve">Why a polarizer cannot always fully null a surface's glare.</w:t>
      </w:r>
      <w:r>
        <w:t xml:space="preserve"> Reflected sunlight is not always 100% polarized. At a surface's Brewster angle (Appendix A), the reflected light is fully polarized and a correctly rotated filter can remove all of it. At any other incidence angle, the reflected light is a mix of a polarized part and an unpolarized part, found using the Fresnel reflectance formulas for s- and p-polarized light:</w:t>
      </w:r>
    </w:p>
    <w:p>
      <w:r>
        <w:t xml:space="preserve">$$R_s = \left|\frac{n_1\cos\theta_i - n_2\cos\theta_t}{n_1\cos\theta_i + n_2\cos\theta_t}\right|^2 \qquad R_p = \left|\frac{n_1\cos\theta_t - n_2\cos\theta_i}{n_1\cos\theta_t + n_2\cos\theta_i}\right|^2$$</w:t>
      </w:r>
    </w:p>
    <w:p>
      <w:r>
        <w:t xml:space="preserve">where $\theta_i$ is the real angle of incidence (Appendix C) and $\theta_t$ is the transmitted (refracted) angle from Snell's Law, $n_1 \sin\theta_i = n_2\sin\theta_t$. The total reflectance for unpolarized sunlight is $R = (R_s+R_p)/2$; the </w:t>
      </w:r>
      <w:r>
        <w:rPr>
          <w:i/>
          <w:iCs/>
        </w:rPr>
        <w:t xml:space="preserve">unremovable</w:t>
      </w:r>
      <w:r>
        <w:t xml:space="preserve"> part — what no polarizer rotation can block — is $R_p/2$. (At the Brewster angle, $R_p = 0$ by definition, so the unremovable part is zero — this is the special case Appendix A describes.)</w:t>
      </w:r>
    </w:p>
    <w:p>
      <w:r>
        <w:rPr>
          <w:b/>
          <w:bCs/>
        </w:rPr>
        <w:t xml:space="preserve">Malus's Law and the rotation-offset angle.</w:t>
      </w:r>
      <w:r>
        <w:t xml:space="preserve"> Let $\theta$ be the polarizer's rotation </w:t>
      </w:r>
      <w:r>
        <w:rPr>
          <w:i/>
          <w:iCs/>
        </w:rPr>
        <w:t xml:space="preserve">offset</w:t>
      </w:r>
      <w:r>
        <w:t xml:space="preserve"> from the setting that best removes the window's glare at a given shoot's real incidence angle ($\theta = 0°$ is the best possible setting; $\theta = 90°$ is fully rotated away from it). The total glare transmitted to the lens follows a Malus's-Law-shaped relationship:</w:t>
      </w:r>
    </w:p>
    <w:p>
      <w:r>
        <w:t xml:space="preserve">$$I(\theta) = \frac{R_p}{2} + \left(R - \frac{R_p}{2}\right)\sin^2\theta$$</w:t>
      </w:r>
    </w:p>
    <w:p>
      <w:r>
        <w:t xml:space="preserve">This is the equation Challenge D2 asks you to solve for $\theta$, at each shoot date's own $R$ and $R_p$ values, for the stated production tolerance below. The Pythagorean identity ($\sin^2\theta = 1-\cos^2\theta$) is what Challenge D3 asks you to verify and then use to express this same relationship in its alternate, checkable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The August Call</w:t>
            </w:r>
          </w:p>
        </w:tc>
        <w:tc>
          <w:tcPr>
            <w:tcW w:type="dxa" w:w="3000"/>
            <w:shd w:fill="DDDDDD" w:val="clear"/>
          </w:tcPr>
          <w:p>
            <w:r>
              <w:t xml:space="preserve">The September Call</w:t>
            </w:r>
          </w:p>
        </w:tc>
      </w:tr>
      <w:tr>
        <w:tc>
          <w:tcPr>
            <w:tcW w:type="dxa" w:w="3000"/>
          </w:tcPr>
          <w:p>
            <w:r>
              <w:t xml:space="preserve">$R_s$ at the real incidence angle (Appendix C)</w:t>
            </w:r>
          </w:p>
        </w:tc>
        <w:tc>
          <w:tcPr>
            <w:tcW w:type="dxa" w:w="3000"/>
          </w:tcPr>
          <w:p>
            <w:r>
              <w:t xml:space="preserve">15.16% (derived) [S1][S10]</w:t>
            </w:r>
          </w:p>
        </w:tc>
        <w:tc>
          <w:tcPr>
            <w:tcW w:type="dxa" w:w="3000"/>
          </w:tcPr>
          <w:p>
            <w:r>
              <w:t xml:space="preserve">9.45% (derived) [S1][S10]</w:t>
            </w:r>
          </w:p>
        </w:tc>
      </w:tr>
      <w:tr>
        <w:tc>
          <w:tcPr>
            <w:tcW w:type="dxa" w:w="3000"/>
          </w:tcPr>
          <w:p>
            <w:r>
              <w:t xml:space="preserve">$R_p$ at the real incidence angle (Appendix C)</w:t>
            </w:r>
          </w:p>
        </w:tc>
        <w:tc>
          <w:tcPr>
            <w:tcW w:type="dxa" w:w="3000"/>
          </w:tcPr>
          <w:p>
            <w:r>
              <w:t xml:space="preserve">0.006% (derived) [S1][S10]</w:t>
            </w:r>
          </w:p>
        </w:tc>
        <w:tc>
          <w:tcPr>
            <w:tcW w:type="dxa" w:w="3000"/>
          </w:tcPr>
          <w:p>
            <w:r>
              <w:t xml:space="preserve">1.02% (derived) [S1][S10]</w:t>
            </w:r>
          </w:p>
        </w:tc>
      </w:tr>
      <w:tr>
        <w:tc>
          <w:tcPr>
            <w:tcW w:type="dxa" w:w="3000"/>
          </w:tcPr>
          <w:p>
            <w:r>
              <w:t xml:space="preserve">$R = (R_s+R_p)/2$, total reflectance</w:t>
            </w:r>
          </w:p>
        </w:tc>
        <w:tc>
          <w:tcPr>
            <w:tcW w:type="dxa" w:w="3000"/>
          </w:tcPr>
          <w:p>
            <w:r>
              <w:t xml:space="preserve">7.58% (derived) [S1][S10]</w:t>
            </w:r>
          </w:p>
        </w:tc>
        <w:tc>
          <w:tcPr>
            <w:tcW w:type="dxa" w:w="3000"/>
          </w:tcPr>
          <w:p>
            <w:r>
              <w:t xml:space="preserve">5.23% (derived) [S1][S10]</w:t>
            </w:r>
          </w:p>
        </w:tc>
      </w:tr>
      <w:tr>
        <w:tc>
          <w:tcPr>
            <w:tcW w:type="dxa" w:w="3000"/>
          </w:tcPr>
          <w:p>
            <w:r>
              <w:t xml:space="preserve">Best-achievable residual, $R_p/2$ (unremovable by any rotation)</w:t>
            </w:r>
          </w:p>
        </w:tc>
        <w:tc>
          <w:tcPr>
            <w:tcW w:type="dxa" w:w="3000"/>
          </w:tcPr>
          <w:p>
            <w:r>
              <w:t xml:space="preserve">0.003% (derived) [S1][S10]</w:t>
            </w:r>
          </w:p>
        </w:tc>
        <w:tc>
          <w:tcPr>
            <w:tcW w:type="dxa" w:w="3000"/>
          </w:tcPr>
          <w:p>
            <w:r>
              <w:t xml:space="preserve">0.51% (derived) [S1][S10]</w:t>
            </w:r>
          </w:p>
        </w:tc>
      </w:tr>
      <w:tr>
        <w:tc>
          <w:tcPr>
            <w:tcW w:type="dxa" w:w="3000"/>
          </w:tcPr>
          <w:p>
            <w:r>
              <w:t xml:space="preserve">Percent of the window's own glare a perfectly-tuned polarizer removes</w:t>
            </w:r>
          </w:p>
        </w:tc>
        <w:tc>
          <w:tcPr>
            <w:tcW w:type="dxa" w:w="3000"/>
          </w:tcPr>
          <w:p>
            <w:r>
              <w:t xml:space="preserve">99.96% (derived) [S1][S10]</w:t>
            </w:r>
          </w:p>
        </w:tc>
        <w:tc>
          <w:tcPr>
            <w:tcW w:type="dxa" w:w="3000"/>
          </w:tcPr>
          <w:p>
            <w:r>
              <w:t xml:space="preserve">90.30% (derived) [S1][S10]</w:t>
            </w:r>
          </w:p>
        </w:tc>
      </w:tr>
      <w:tr>
        <w:tc>
          <w:tcPr>
            <w:tcW w:type="dxa" w:w="3000"/>
          </w:tcPr>
          <w:p>
            <w:r>
              <w:t xml:space="preserve">Stated production tolerance for Challenge D2</w:t>
            </w:r>
          </w:p>
        </w:tc>
        <w:tc>
          <w:tcPr>
            <w:tcW w:type="dxa" w:w="3000"/>
          </w:tcPr>
          <w:p>
            <w:r>
              <w:t xml:space="preserve">Glare no more than double the best-achievable residual (2 × R_p/2) [MA4]</w:t>
            </w:r>
          </w:p>
        </w:tc>
        <w:tc>
          <w:tcPr>
            <w:tcW w:type="dxa" w:w="3000"/>
          </w:tcPr>
          <w:p>
            <w:r>
              <w:t xml:space="preserve">(same stated tolerance) [MA4]</w:t>
            </w:r>
          </w:p>
        </w:tc>
      </w:tr>
    </w:tbl>
    <w:p/>
    <w:p>
      <w:pPr>
        <w:pStyle w:val="Heading2"/>
        <w:spacing w:after="120" w:before="240"/>
      </w:pPr>
      <w:r>
        <w:t xml:space="preserve">Appendix E: The Two Runs — Why Both Dates Matter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2026-season Chinook count at Ballard Locks around the August Call date</w:t>
            </w:r>
          </w:p>
        </w:tc>
        <w:tc>
          <w:tcPr>
            <w:tcW w:type="dxa" w:w="4500"/>
          </w:tcPr>
          <w:p>
            <w:r>
              <w:t xml:space="preserve">August 19 daily count: 957. Running total through August 25, 2026 (most recent published date): 9,566 [S5]</w:t>
            </w:r>
          </w:p>
        </w:tc>
      </w:tr>
      <w:tr>
        <w:tc>
          <w:tcPr>
            <w:tcW w:type="dxa" w:w="4500"/>
          </w:tcPr>
          <w:p>
            <w:r>
              <w:t xml:space="preserve">Whether the August Call date is confirmed, in-season, as the single best Chinook day of 2026</w:t>
            </w:r>
          </w:p>
        </w:tc>
        <w:tc>
          <w:tcPr>
            <w:tcW w:type="dxa" w:w="4500"/>
          </w:tcPr>
          <w:p>
            <w:r>
              <w:t xml:space="preserve">Confirmed — August 19, 2026 is the single highest daily Chinook count of the 2026 season as of the most recent published WDFW data (through 8/25) [S5]</w:t>
            </w:r>
          </w:p>
        </w:tc>
      </w:tr>
      <w:tr>
        <w:tc>
          <w:tcPr>
            <w:tcW w:type="dxa" w:w="4500"/>
          </w:tcPr>
          <w:p>
            <w:r>
              <w:t xml:space="preserve">Real documented Coho peak-viewing window at the Locks</w:t>
            </w:r>
          </w:p>
        </w:tc>
        <w:tc>
          <w:tcPr>
            <w:tcW w:type="dxa" w:w="4500"/>
          </w:tcPr>
          <w:p>
            <w:r>
              <w:t xml:space="preserve">Last two weeks of September [S6][S7]</w:t>
            </w:r>
          </w:p>
        </w:tc>
      </w:tr>
      <w:tr>
        <w:tc>
          <w:tcPr>
            <w:tcW w:type="dxa" w:w="4500"/>
          </w:tcPr>
          <w:p>
            <w:r>
              <w:t xml:space="preserve">Whether day-by-day Coho counts are available this far ahead of the September Call date</w:t>
            </w:r>
          </w:p>
        </w:tc>
        <w:tc>
          <w:tcPr>
            <w:tcW w:type="dxa" w:w="4500"/>
          </w:tcPr>
          <w:p>
            <w:r>
              <w:t xml:space="preserve">No — WDFW's own page states preliminary daily coho counts are "typically available from early September into October" [S5]</w:t>
            </w:r>
          </w:p>
        </w:tc>
      </w:tr>
    </w:tbl>
    <w:p/>
    <w:p>
      <w:r>
        <w:rPr>
          <w:i/>
          <w:iCs/>
        </w:rPr>
        <w:t xml:space="preserve">Context: Chinook and Coho are not the same footage. The August Call captures a run already confirmed, by real in-season count data, to be the best day of the year for that species. The September Call captures a different species entirely, in the real, historically documented window when it runs — and it is the last salmon-viewing opportunity of the season. This appendix does not change the primary metric's math; it is the real-world reason the choice carries weight beyond the optics.</w:t>
      </w:r>
    </w:p>
    <w:p>
      <w:pPr>
        <w:pStyle w:val="Heading2"/>
        <w:spacing w:after="120" w:before="240"/>
      </w:pPr>
      <w:r>
        <w:t xml:space="preserve">Appendix F: The Real Optics, Equipment, and Data Behind This Case</w:t>
      </w:r>
    </w:p>
    <w:p>
      <w:r>
        <w:t xml:space="preserve">Several real, published facts sit behind this case's dilemma.</w:t>
      </w:r>
    </w:p>
    <w:p>
      <w:r>
        <w:rPr>
          <w:b/>
          <w:bCs/>
        </w:rPr>
        <w:t xml:space="preserve">Brewster's angle, Snell's Law, and the Fresnel reflectance equations are real, standard optics content</w:t>
      </w:r>
      <w:r>
        <w:t xml:space="preserve">, taught in any introductory optics course and published in optics handbooks and references (SEE APPENDIX H) [S1][S2][S10].</w:t>
      </w:r>
    </w:p>
    <w:p>
      <w:r>
        <w:rPr>
          <w:b/>
          <w:bCs/>
        </w:rPr>
        <w:t xml:space="preserve">The Tiffen 138mm UltraPol Circular Polarizer is a real, currently-sold filter</w:t>
      </w:r>
      <w:r>
        <w:t xml:space="preserve"> with a published manufacturer spec sheet (SEE APPENDIX H) [S3].</w:t>
      </w:r>
    </w:p>
    <w:p>
      <w:r>
        <w:rPr>
          <w:b/>
          <w:bCs/>
        </w:rPr>
        <w:t xml:space="preserve">The NOAA Solar Calculator is a real, publicly available tool</w:t>
      </w:r>
      <w:r>
        <w:t xml:space="preserve"> that computes deterministic sun azimuth and elevation for any given coordinates, date, and time (SEE APPENDIX H) [S8][S9].</w:t>
      </w:r>
    </w:p>
    <w:p>
      <w:r>
        <w:rPr>
          <w:b/>
          <w:bCs/>
        </w:rPr>
        <w:t xml:space="preserve">The Ballard Locks Chinook and Coho run-count and run-timing data are real</w:t>
      </w:r>
      <w:r>
        <w:t xml:space="preserve">, maintained by the Washington Department of Fish and Wildlife's ongoing Lake Washington counts program and corroborated by independent Seattle-area salmon-viewing sources (SEE APPENDIX H) [S5][S6][S7].</w:t>
      </w:r>
    </w:p>
    <w:p>
      <w:r>
        <w:rPr>
          <w:b/>
          <w:bCs/>
        </w:rPr>
        <w:t xml:space="preserve">Chinook salmon are a real, documented primary prey source for the Southern Resident orca population</w:t>
      </w:r>
      <w:r>
        <w:t xml:space="preserve">, and that population is real and formally listed as endangered (SEE APPENDIX H) [S12].</w:t>
      </w:r>
    </w:p>
    <w:p>
      <w:r>
        <w:t xml:space="preserve">None of these real facts, on its own, produces this case's central mathematical tension — that comes from combining the real, physically-grounded gap between a fixed material's Brewster angle and the real sun-incidence angle on two different real calendar dates. Mara Ellison and this specific shoot-day decision are a scenario construction built on real optics, real equipment, and real environmental and biological data (SEE APPENDIX G).</w:t>
      </w:r>
    </w:p>
    <w:p>
      <w:pPr>
        <w:pStyle w:val="Heading2"/>
        <w:spacing w:after="120" w:before="240"/>
      </w:pPr>
      <w:r>
        <w:t xml:space="preserve">Appendix G: Modeling Assumptions</w:t>
      </w:r>
    </w:p>
    <w:p>
      <w:pPr>
        <w:ind w:left="480"/>
      </w:pPr>
      <w:r>
        <w:t xml:space="preserve">These figures are </w:t>
      </w:r>
      <w:r>
        <w:rPr>
          <w:b/>
          <w:bCs/>
        </w:rPr>
        <w:t xml:space="preserve">not sourced</w:t>
      </w:r>
      <w:r>
        <w:t xml:space="preserve">. They are stated scenario assumptions chosen by the case author after a genuine public search failed to locate the underlying real-world detail.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underground viewing-room glass window's outward-facing compass orientation (its surface normal's azimuth)</w:t>
            </w:r>
          </w:p>
        </w:tc>
        <w:tc>
          <w:tcPr>
            <w:tcW w:type="dxa" w:w="1800"/>
          </w:tcPr>
          <w:p>
            <w:r>
              <w:t xml:space="preserve">Due south (window-normal azimuth = 180°)</w:t>
            </w:r>
          </w:p>
        </w:tc>
        <w:tc>
          <w:tcPr>
            <w:tcW w:type="dxa" w:w="1800"/>
          </w:tcPr>
          <w:p>
            <w:r>
              <w:t xml:space="preserve">No public floor plan or engineering drawing states the window's exact compass bearing. Two independently fetched sources both place the fish ladder/viewing room on the </w:t>
            </w:r>
            <w:r>
              <w:rPr>
                <w:b/>
                <w:bCs/>
              </w:rPr>
              <w:t xml:space="preserve">south side</w:t>
            </w:r>
            <w:r>
              <w:t xml:space="preserve"> of the Locks complex (myballard.com: "Built on the south side of the canal..."; corroborated by a separate general search) [S11]</w:t>
            </w:r>
          </w:p>
        </w:tc>
        <w:tc>
          <w:tcPr>
            <w:tcW w:type="dxa" w:w="1800"/>
          </w:tcPr>
          <w:p>
            <w:r>
              <w:rPr>
                <w:b/>
                <w:bCs/>
              </w:rPr>
              <w:t xml:space="preserve">Can flip the dilemma.</w:t>
            </w:r>
            <w:r>
              <w:t xml:space="preserve"> Re-checked against four other candidate orientations besides the due-south value used: at some of them the recommendation stays the same as the due-south case; at others it </w:t>
            </w:r>
            <w:r>
              <w:rPr>
                <w:b/>
                <w:bCs/>
              </w:rPr>
              <w:t xml:space="preserve">inverts</w:t>
            </w:r>
            <w:r>
              <w:t xml:space="preserve"> to the opposite option. The due-south value is the only one of the five with an actual documentary basis — the others have none — but a Hero who disputes the window's orientation has real grounds to argue for a different recommendation.</w:t>
            </w:r>
          </w:p>
        </w:tc>
      </w:tr>
      <w:tr>
        <w:tc>
          <w:tcPr>
            <w:tcW w:type="dxa" w:w="1800"/>
          </w:tcPr>
          <w:p>
            <w:r>
              <w:t xml:space="preserve">MA2</w:t>
            </w:r>
          </w:p>
        </w:tc>
        <w:tc>
          <w:tcPr>
            <w:tcW w:type="dxa" w:w="1800"/>
          </w:tcPr>
          <w:p>
            <w:r>
              <w:t xml:space="preserve">Exact shoot time on both stated dates</w:t>
            </w:r>
          </w:p>
        </w:tc>
        <w:tc>
          <w:tcPr>
            <w:tcW w:type="dxa" w:w="1800"/>
          </w:tcPr>
          <w:p>
            <w:r>
              <w:t xml:space="preserve">2:00 PM PDT (both dates)</w:t>
            </w:r>
          </w:p>
        </w:tc>
        <w:tc>
          <w:tcPr>
            <w:tcW w:type="dxa" w:w="1800"/>
          </w:tcPr>
          <w:p>
            <w:r>
              <w:t xml:space="preserve">No public record states an actual scheduled call time for either shoot. A shared, mid-afternoon, same-convention time keeps the two dates on an apples-to-apples footing rather than optimizing one date's own light</w:t>
            </w:r>
          </w:p>
        </w:tc>
        <w:tc>
          <w:tcPr>
            <w:tcW w:type="dxa" w:w="1800"/>
          </w:tcPr>
          <w:p>
            <w:r>
              <w:t xml:space="preserve">Checked 1:00 PM, 2:00 PM (used), and 3:00 PM PDT for both dates under MA1. The same option stays ahead across the whole range — the gap between the two options narrows toward late afternoon but never closes across this range.</w:t>
            </w:r>
          </w:p>
        </w:tc>
      </w:tr>
      <w:tr>
        <w:tc>
          <w:tcPr>
            <w:tcW w:type="dxa" w:w="1800"/>
          </w:tcPr>
          <w:p>
            <w:r>
              <w:t xml:space="preserve">MA3</w:t>
            </w:r>
          </w:p>
        </w:tc>
        <w:tc>
          <w:tcPr>
            <w:tcW w:type="dxa" w:w="1800"/>
          </w:tcPr>
          <w:p>
            <w:r>
              <w:t xml:space="preserve">The exact date within the real Coho peak-viewing window used for the September Call</w:t>
            </w:r>
          </w:p>
        </w:tc>
        <w:tc>
          <w:tcPr>
            <w:tcW w:type="dxa" w:w="1800"/>
          </w:tcPr>
          <w:p>
            <w:r>
              <w:t xml:space="preserve">September 22, 2026</w:t>
            </w:r>
          </w:p>
        </w:tc>
        <w:tc>
          <w:tcPr>
            <w:tcW w:type="dxa" w:w="1800"/>
          </w:tcPr>
          <w:p>
            <w:r>
              <w:t xml:space="preserve">The real Coho peak window is documented as a range (the last two weeks of September, Sept 16–30) by converging local sources [S6][S7], not a single official day the way August 19 is pinned down by live WDFW count data. September 22 is the numeric midpoint of that documented window.</w:t>
            </w:r>
          </w:p>
        </w:tc>
        <w:tc>
          <w:tcPr>
            <w:tcW w:type="dxa" w:w="1800"/>
          </w:tcPr>
          <w:p>
            <w:r>
              <w:t xml:space="preserve">Checked September 15, 22 (used), and 29, 2026, all 2:00 PM PDT. The gap between the two options </w:t>
            </w:r>
            <w:r>
              <w:rPr>
                <w:b/>
                <w:bCs/>
              </w:rPr>
              <w:t xml:space="preserve">widens</w:t>
            </w:r>
            <w:r>
              <w:t xml:space="preserve">, not narrows, later in the window, as the sun keeps dropping toward the autumnal equinox — the midpoint date is a conservative pick, not one chosen to maximize either option's case.</w:t>
            </w:r>
          </w:p>
        </w:tc>
      </w:tr>
      <w:tr>
        <w:tc>
          <w:tcPr>
            <w:tcW w:type="dxa" w:w="1800"/>
          </w:tcPr>
          <w:p>
            <w:r>
              <w:t xml:space="preserve">MA4</w:t>
            </w:r>
          </w:p>
        </w:tc>
        <w:tc>
          <w:tcPr>
            <w:tcW w:type="dxa" w:w="1800"/>
          </w:tcPr>
          <w:p>
            <w:r>
              <w:t xml:space="preserve">The stated production glare tolerance used in Challenge D2</w:t>
            </w:r>
          </w:p>
        </w:tc>
        <w:tc>
          <w:tcPr>
            <w:tcW w:type="dxa" w:w="1800"/>
          </w:tcPr>
          <w:p>
            <w:r>
              <w:t xml:space="preserve">Glare no more than double the best-achievable residual (tolerance = 2 × R_p/2), evaluated separately for each date's own residual</w:t>
            </w:r>
          </w:p>
        </w:tc>
        <w:tc>
          <w:tcPr>
            <w:tcW w:type="dxa" w:w="1800"/>
          </w:tcPr>
          <w:p>
            <w:r>
              <w:t xml:space="preserve">No manufacturer or industry document states an acceptable on-set glare tolerance for this kind of shoot — this is a disclosed scenario choice, sized relative to each date's own physical floor rather than a fixed absolute number</w:t>
            </w:r>
          </w:p>
        </w:tc>
        <w:tc>
          <w:tcPr>
            <w:tcW w:type="dxa" w:w="1800"/>
          </w:tcPr>
          <w:p>
            <w:r>
              <w:t xml:space="preserve">Solving Challenge D2's equation at 1.5×, 2×, and 3× the residual for each date: the August Call's rotation-offset answer barely moves across this range, while the September Call's answer moves substantially. The tolerance choice matters far more for the September worksheet's answer than for the August worksheet's.</w:t>
            </w:r>
          </w:p>
        </w:tc>
      </w:tr>
    </w:tbl>
    <w:p/>
    <w:p>
      <w:pPr>
        <w:pStyle w:val="Heading2"/>
        <w:spacing w:after="120" w:before="240"/>
      </w:pPr>
      <w:r>
        <w:t xml:space="preserve">Appendix H: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Refractive index of soda-lime window glass</w:t>
            </w:r>
          </w:p>
        </w:tc>
        <w:tc>
          <w:tcPr>
            <w:tcW w:type="dxa" w:w="1500"/>
          </w:tcPr>
          <w:p>
            <w:r>
              <w:t xml:space="preserve">n = 1.52</w:t>
            </w:r>
          </w:p>
        </w:tc>
        <w:tc>
          <w:tcPr>
            <w:tcW w:type="dxa" w:w="1500"/>
          </w:tcPr>
          <w:p>
            <w:r>
              <w:t xml:space="preserve">refractiveindex.info, Rubin dataset — </w:t>
            </w:r>
            <w:hyperlink w:history="1" r:id="rIdd2vmmtda9ag6e3qjfoh6t">
              <w:r>
                <w:rPr>
                  <w:rStyle w:val="Hyperlink"/>
                </w:rPr>
                <w:t xml:space="preserve">Refractive index of Soda lime glass, Rubin-clear</w:t>
              </w:r>
            </w:hyperlink>
            <w:r>
              <w:t xml:space="preserve">, citing M. Rubin, </w:t>
            </w:r>
            <w:r>
              <w:rPr>
                <w:i/>
                <w:iCs/>
              </w:rPr>
              <w:t xml:space="preserve">Optical properties of soda lime silica glasses</w:t>
            </w:r>
            <w:r>
              <w:t xml:space="preserve">, Solar Energy Materials 12, 275–288 (1985)</w:t>
            </w:r>
          </w:p>
        </w:tc>
        <w:tc>
          <w:tcPr>
            <w:tcW w:type="dxa" w:w="1500"/>
          </w:tcPr>
          <w:p>
            <w:r>
              <w:t xml:space="preserve">1985 (accessed 2026-08-31)</w:t>
            </w:r>
          </w:p>
        </w:tc>
        <w:tc>
          <w:tcPr>
            <w:tcW w:type="dxa" w:w="1500"/>
          </w:tcPr>
          <w:p>
            <w:r>
              <w:t xml:space="preserve">HIGH</w:t>
            </w:r>
          </w:p>
        </w:tc>
      </w:tr>
      <w:tr>
        <w:tc>
          <w:tcPr>
            <w:tcW w:type="dxa" w:w="1500"/>
          </w:tcPr>
          <w:p>
            <w:r>
              <w:t xml:space="preserve">S2</w:t>
            </w:r>
          </w:p>
        </w:tc>
        <w:tc>
          <w:tcPr>
            <w:tcW w:type="dxa" w:w="1500"/>
          </w:tcPr>
          <w:p>
            <w:r>
              <w:t xml:space="preserve">Brewster's-angle formula</w:t>
            </w:r>
          </w:p>
        </w:tc>
        <w:tc>
          <w:tcPr>
            <w:tcW w:type="dxa" w:w="1500"/>
          </w:tcPr>
          <w:p>
            <w:r>
              <w:t xml:space="preserve">tan θ_p = n₂/n₁; glass example ≈56°</w:t>
            </w:r>
          </w:p>
        </w:tc>
        <w:tc>
          <w:tcPr>
            <w:tcW w:type="dxa" w:w="1500"/>
          </w:tcPr>
          <w:p>
            <w:r>
              <w:t xml:space="preserve">Wikipedia — </w:t>
            </w:r>
            <w:hyperlink w:history="1" r:id="rIdgg1u8rs6qnjismknttrhs">
              <w:r>
                <w:rPr>
                  <w:rStyle w:val="Hyperlink"/>
                </w:rPr>
                <w:t xml:space="preserve">Brewster's angle</w:t>
              </w:r>
            </w:hyperlink>
          </w:p>
        </w:tc>
        <w:tc>
          <w:tcPr>
            <w:tcW w:type="dxa" w:w="1500"/>
          </w:tcPr>
          <w:p>
            <w:r>
              <w:t xml:space="preserve">Accessed 2026-08-31</w:t>
            </w:r>
          </w:p>
        </w:tc>
        <w:tc>
          <w:tcPr>
            <w:tcW w:type="dxa" w:w="1500"/>
          </w:tcPr>
          <w:p>
            <w:r>
              <w:t xml:space="preserve">HIGH</w:t>
            </w:r>
          </w:p>
        </w:tc>
      </w:tr>
      <w:tr>
        <w:tc>
          <w:tcPr>
            <w:tcW w:type="dxa" w:w="1500"/>
          </w:tcPr>
          <w:p>
            <w:r>
              <w:t xml:space="preserve">S3</w:t>
            </w:r>
          </w:p>
        </w:tc>
        <w:tc>
          <w:tcPr>
            <w:tcW w:type="dxa" w:w="1500"/>
          </w:tcPr>
          <w:p>
            <w:r>
              <w:t xml:space="preserve">Tiffen 138mm UltraPol Circular Polarizer transmission and filter factor</w:t>
            </w:r>
          </w:p>
        </w:tc>
        <w:tc>
          <w:tcPr>
            <w:tcW w:type="dxa" w:w="1500"/>
          </w:tcPr>
          <w:p>
            <w:r>
              <w:t xml:space="preserve">≈40% transmission; 4x filter factor, 2-stop compensation</w:t>
            </w:r>
          </w:p>
        </w:tc>
        <w:tc>
          <w:tcPr>
            <w:tcW w:type="dxa" w:w="1500"/>
          </w:tcPr>
          <w:p>
            <w:r>
              <w:t xml:space="preserve">Tiffen (manufacturer) — </w:t>
            </w:r>
            <w:hyperlink w:history="1" r:id="rIdjf7bqefyyyulv5w1p-0wy">
              <w:r>
                <w:rPr>
                  <w:rStyle w:val="Hyperlink"/>
                </w:rPr>
                <w:t xml:space="preserve">138mm Mounted UltraPol Circular Polarizer Filter</w:t>
              </w:r>
            </w:hyperlink>
          </w:p>
        </w:tc>
        <w:tc>
          <w:tcPr>
            <w:tcW w:type="dxa" w:w="1500"/>
          </w:tcPr>
          <w:p>
            <w:r>
              <w:t xml:space="preserve">Accessed 2026-08-31</w:t>
            </w:r>
          </w:p>
        </w:tc>
        <w:tc>
          <w:tcPr>
            <w:tcW w:type="dxa" w:w="1500"/>
          </w:tcPr>
          <w:p>
            <w:r>
              <w:t xml:space="preserve">HIGH</w:t>
            </w:r>
          </w:p>
        </w:tc>
      </w:tr>
      <w:tr>
        <w:tc>
          <w:tcPr>
            <w:tcW w:type="dxa" w:w="1500"/>
          </w:tcPr>
          <w:p>
            <w:r>
              <w:t xml:space="preserve">S4</w:t>
            </w:r>
          </w:p>
        </w:tc>
        <w:tc>
          <w:tcPr>
            <w:tcW w:type="dxa" w:w="1500"/>
          </w:tcPr>
          <w:p>
            <w:r>
              <w:t xml:space="preserve">Ballard Locks coordinates</w:t>
            </w:r>
          </w:p>
        </w:tc>
        <w:tc>
          <w:tcPr>
            <w:tcW w:type="dxa" w:w="1500"/>
          </w:tcPr>
          <w:p>
            <w:r>
              <w:t xml:space="preserve">47°39′56″N, 122°23′50″W (47.66556°N, 122.39722°W)</w:t>
            </w:r>
          </w:p>
        </w:tc>
        <w:tc>
          <w:tcPr>
            <w:tcW w:type="dxa" w:w="1500"/>
          </w:tcPr>
          <w:p>
            <w:r>
              <w:t xml:space="preserve">Wikipedia — </w:t>
            </w:r>
            <w:hyperlink w:history="1" r:id="rIdctnzzc3fpubgrtpkwamiu">
              <w:r>
                <w:rPr>
                  <w:rStyle w:val="Hyperlink"/>
                </w:rPr>
                <w:t xml:space="preserve">Ballard Locks</w:t>
              </w:r>
            </w:hyperlink>
          </w:p>
        </w:tc>
        <w:tc>
          <w:tcPr>
            <w:tcW w:type="dxa" w:w="1500"/>
          </w:tcPr>
          <w:p>
            <w:r>
              <w:t xml:space="preserve">Accessed 2026-08-31</w:t>
            </w:r>
          </w:p>
        </w:tc>
        <w:tc>
          <w:tcPr>
            <w:tcW w:type="dxa" w:w="1500"/>
          </w:tcPr>
          <w:p>
            <w:r>
              <w:t xml:space="preserve">MEDIUM</w:t>
            </w:r>
          </w:p>
        </w:tc>
      </w:tr>
      <w:tr>
        <w:tc>
          <w:tcPr>
            <w:tcW w:type="dxa" w:w="1500"/>
          </w:tcPr>
          <w:p>
            <w:r>
              <w:t xml:space="preserve">S5</w:t>
            </w:r>
          </w:p>
        </w:tc>
        <w:tc>
          <w:tcPr>
            <w:tcW w:type="dxa" w:w="1500"/>
          </w:tcPr>
          <w:p>
            <w:r>
              <w:t xml:space="preserve">2026-season Chinook daily/running-total counts; August 19 confirmed season-best day; Coho count-availability statement</w:t>
            </w:r>
          </w:p>
        </w:tc>
        <w:tc>
          <w:tcPr>
            <w:tcW w:type="dxa" w:w="1500"/>
          </w:tcPr>
          <w:p>
            <w:r>
              <w:t xml:space="preserve">Aug 19 daily = 957; running total through 8/25 = 9,566; no other 2026 day exceeds 957; "preliminary daily coho counts are typically available from early September into October"</w:t>
            </w:r>
          </w:p>
        </w:tc>
        <w:tc>
          <w:tcPr>
            <w:tcW w:type="dxa" w:w="1500"/>
          </w:tcPr>
          <w:p>
            <w:r>
              <w:t xml:space="preserve">WDFW — </w:t>
            </w:r>
            <w:hyperlink w:history="1" r:id="rIdysejrrbdrxgsbykjwiyux">
              <w:r>
                <w:rPr>
                  <w:rStyle w:val="Hyperlink"/>
                </w:rPr>
                <w:t xml:space="preserve">Lake Washington salmon counts</w:t>
              </w:r>
            </w:hyperlink>
          </w:p>
        </w:tc>
        <w:tc>
          <w:tcPr>
            <w:tcW w:type="dxa" w:w="1500"/>
          </w:tcPr>
          <w:p>
            <w:r>
              <w:t xml:space="preserve">Accessed 2026-08-31 (data current through 2026-08-25)</w:t>
            </w:r>
          </w:p>
        </w:tc>
        <w:tc>
          <w:tcPr>
            <w:tcW w:type="dxa" w:w="1500"/>
          </w:tcPr>
          <w:p>
            <w:r>
              <w:t xml:space="preserve">HIGH</w:t>
            </w:r>
          </w:p>
        </w:tc>
      </w:tr>
      <w:tr>
        <w:tc>
          <w:tcPr>
            <w:tcW w:type="dxa" w:w="1500"/>
          </w:tcPr>
          <w:p>
            <w:r>
              <w:t xml:space="preserve">S6</w:t>
            </w:r>
          </w:p>
        </w:tc>
        <w:tc>
          <w:tcPr>
            <w:tcW w:type="dxa" w:w="1500"/>
          </w:tcPr>
          <w:p>
            <w:r>
              <w:t xml:space="preserve">Coho peak-viewing window at Ballard Locks</w:t>
            </w:r>
          </w:p>
        </w:tc>
        <w:tc>
          <w:tcPr>
            <w:tcW w:type="dxa" w:w="1500"/>
          </w:tcPr>
          <w:p>
            <w:r>
              <w:t xml:space="preserve">"August through November: Coho, or Silver Salmon (best viewing last two weeks of September)"</w:t>
            </w:r>
          </w:p>
        </w:tc>
        <w:tc>
          <w:tcPr>
            <w:tcW w:type="dxa" w:w="1500"/>
          </w:tcPr>
          <w:p>
            <w:r>
              <w:t xml:space="preserve">Greater Seattle on the Cheap — </w:t>
            </w:r>
            <w:hyperlink w:history="1" r:id="rIduesfc_nfljwddjlqcz7i2">
              <w:r>
                <w:rPr>
                  <w:rStyle w:val="Hyperlink"/>
                </w:rPr>
                <w:t xml:space="preserve">Fall salmon spawning season in Western Washington</w:t>
              </w:r>
            </w:hyperlink>
          </w:p>
        </w:tc>
        <w:tc>
          <w:tcPr>
            <w:tcW w:type="dxa" w:w="1500"/>
          </w:tcPr>
          <w:p>
            <w:r>
              <w:t xml:space="preserve">Accessed 2026-08-31</w:t>
            </w:r>
          </w:p>
        </w:tc>
        <w:tc>
          <w:tcPr>
            <w:tcW w:type="dxa" w:w="1500"/>
          </w:tcPr>
          <w:p>
            <w:r>
              <w:t xml:space="preserve">MEDIUM</w:t>
            </w:r>
          </w:p>
        </w:tc>
      </w:tr>
      <w:tr>
        <w:tc>
          <w:tcPr>
            <w:tcW w:type="dxa" w:w="1500"/>
          </w:tcPr>
          <w:p>
            <w:r>
              <w:t xml:space="preserve">S7</w:t>
            </w:r>
          </w:p>
        </w:tc>
        <w:tc>
          <w:tcPr>
            <w:tcW w:type="dxa" w:w="1500"/>
          </w:tcPr>
          <w:p>
            <w:r>
              <w:t xml:space="preserve">Coho peak-viewing window at Ballard Locks (corroborating)</w:t>
            </w:r>
          </w:p>
        </w:tc>
        <w:tc>
          <w:tcPr>
            <w:tcW w:type="dxa" w:w="1500"/>
          </w:tcPr>
          <w:p>
            <w:r>
              <w:t xml:space="preserve">Coho run August–November, best viewing last two weeks of September</w:t>
            </w:r>
          </w:p>
        </w:tc>
        <w:tc>
          <w:tcPr>
            <w:tcW w:type="dxa" w:w="1500"/>
          </w:tcPr>
          <w:p>
            <w:r>
              <w:t xml:space="preserve">ParentMap — </w:t>
            </w:r>
            <w:hyperlink w:history="1" r:id="rIdsask1lo43uhnckgvwf1ah">
              <w:r>
                <w:rPr>
                  <w:rStyle w:val="Hyperlink"/>
                </w:rPr>
                <w:t xml:space="preserve">Salmon Viewing at the Ballard Locks</w:t>
              </w:r>
            </w:hyperlink>
          </w:p>
        </w:tc>
        <w:tc>
          <w:tcPr>
            <w:tcW w:type="dxa" w:w="1500"/>
          </w:tcPr>
          <w:p>
            <w:r>
              <w:t xml:space="preserve">Accessed 2026-08-31</w:t>
            </w:r>
          </w:p>
        </w:tc>
        <w:tc>
          <w:tcPr>
            <w:tcW w:type="dxa" w:w="1500"/>
          </w:tcPr>
          <w:p>
            <w:r>
              <w:t xml:space="preserve">MEDIUM</w:t>
            </w:r>
          </w:p>
        </w:tc>
      </w:tr>
      <w:tr>
        <w:tc>
          <w:tcPr>
            <w:tcW w:type="dxa" w:w="1500"/>
          </w:tcPr>
          <w:p>
            <w:r>
              <w:t xml:space="preserve">S8</w:t>
            </w:r>
          </w:p>
        </w:tc>
        <w:tc>
          <w:tcPr>
            <w:tcW w:type="dxa" w:w="1500"/>
          </w:tcPr>
          <w:p>
            <w:r>
              <w:t xml:space="preserve">Sun azimuth/elevation, Ballard Locks, August 19 2026 2:00 PM PDT</w:t>
            </w:r>
          </w:p>
        </w:tc>
        <w:tc>
          <w:tcPr>
            <w:tcW w:type="dxa" w:w="1500"/>
          </w:tcPr>
          <w:p>
            <w:r>
              <w:t xml:space="preserve">Azimuth 199.48°, elevation 53.55°</w:t>
            </w:r>
          </w:p>
        </w:tc>
        <w:tc>
          <w:tcPr>
            <w:tcW w:type="dxa" w:w="1500"/>
          </w:tcPr>
          <w:p>
            <w:r>
              <w:t xml:space="preserve">NOAA GML — </w:t>
            </w:r>
            <w:hyperlink w:history="1" r:id="rIdbafmswxs5dj07yyz6r2yl">
              <w:r>
                <w:rPr>
                  <w:rStyle w:val="Hyperlink"/>
                </w:rPr>
                <w:t xml:space="preserve">Solar Position Calculator</w:t>
              </w:r>
            </w:hyperlink>
            <w:r>
              <w:t xml:space="preserve">, live query at 47°39′54″N/122°23′50″W, UTC−8 offset field / DST=Yes</w:t>
            </w:r>
          </w:p>
        </w:tc>
        <w:tc>
          <w:tcPr>
            <w:tcW w:type="dxa" w:w="1500"/>
          </w:tcPr>
          <w:p>
            <w:r>
              <w:t xml:space="preserve">Accessed 2026-08-31</w:t>
            </w:r>
          </w:p>
        </w:tc>
        <w:tc>
          <w:tcPr>
            <w:tcW w:type="dxa" w:w="1500"/>
          </w:tcPr>
          <w:p>
            <w:r>
              <w:t xml:space="preserve">HIGH</w:t>
            </w:r>
          </w:p>
        </w:tc>
      </w:tr>
      <w:tr>
        <w:tc>
          <w:tcPr>
            <w:tcW w:type="dxa" w:w="1500"/>
          </w:tcPr>
          <w:p>
            <w:r>
              <w:t xml:space="preserve">S9</w:t>
            </w:r>
          </w:p>
        </w:tc>
        <w:tc>
          <w:tcPr>
            <w:tcW w:type="dxa" w:w="1500"/>
          </w:tcPr>
          <w:p>
            <w:r>
              <w:t xml:space="preserve">Sun azimuth/elevation, Ballard Locks, September 22 2026 2:00 PM PDT</w:t>
            </w:r>
          </w:p>
        </w:tc>
        <w:tc>
          <w:tcPr>
            <w:tcW w:type="dxa" w:w="1500"/>
          </w:tcPr>
          <w:p>
            <w:r>
              <w:t xml:space="preserve">Azimuth 199.23°, elevation 40.77°</w:t>
            </w:r>
          </w:p>
        </w:tc>
        <w:tc>
          <w:tcPr>
            <w:tcW w:type="dxa" w:w="1500"/>
          </w:tcPr>
          <w:p>
            <w:r>
              <w:t xml:space="preserve">NOAA GML — </w:t>
            </w:r>
            <w:hyperlink w:history="1" r:id="rIdlqslcuozbkvwm-oz1qge9">
              <w:r>
                <w:rPr>
                  <w:rStyle w:val="Hyperlink"/>
                </w:rPr>
                <w:t xml:space="preserve">Solar Position Calculator</w:t>
              </w:r>
            </w:hyperlink>
            <w:r>
              <w:t xml:space="preserve">, live query, same coordinates/settings as S8</w:t>
            </w:r>
          </w:p>
        </w:tc>
        <w:tc>
          <w:tcPr>
            <w:tcW w:type="dxa" w:w="1500"/>
          </w:tcPr>
          <w:p>
            <w:r>
              <w:t xml:space="preserve">Accessed 2026-08-31</w:t>
            </w:r>
          </w:p>
        </w:tc>
        <w:tc>
          <w:tcPr>
            <w:tcW w:type="dxa" w:w="1500"/>
          </w:tcPr>
          <w:p>
            <w:r>
              <w:t xml:space="preserve">HIGH</w:t>
            </w:r>
          </w:p>
        </w:tc>
      </w:tr>
      <w:tr>
        <w:tc>
          <w:tcPr>
            <w:tcW w:type="dxa" w:w="1500"/>
          </w:tcPr>
          <w:p>
            <w:r>
              <w:t xml:space="preserve">S10</w:t>
            </w:r>
          </w:p>
        </w:tc>
        <w:tc>
          <w:tcPr>
            <w:tcW w:type="dxa" w:w="1500"/>
          </w:tcPr>
          <w:p>
            <w:r>
              <w:t xml:space="preserve">Fresnel reflectance formulas (R_s, R_p, unpolarized R)</w:t>
            </w:r>
          </w:p>
        </w:tc>
        <w:tc>
          <w:tcPr>
            <w:tcW w:type="dxa" w:w="1500"/>
          </w:tcPr>
          <w:p>
            <w:r>
              <w:t xml:space="preserve">R_s, R_p as in Appendix D; R=(R_s+R_p)/2</w:t>
            </w:r>
          </w:p>
        </w:tc>
        <w:tc>
          <w:tcPr>
            <w:tcW w:type="dxa" w:w="1500"/>
          </w:tcPr>
          <w:p>
            <w:r>
              <w:t xml:space="preserve">Wikipedia — </w:t>
            </w:r>
            <w:hyperlink w:history="1" r:id="rIdybb53abusfumrzuxpwpos">
              <w:r>
                <w:rPr>
                  <w:rStyle w:val="Hyperlink"/>
                </w:rPr>
                <w:t xml:space="preserve">Fresnel equations</w:t>
              </w:r>
            </w:hyperlink>
          </w:p>
        </w:tc>
        <w:tc>
          <w:tcPr>
            <w:tcW w:type="dxa" w:w="1500"/>
          </w:tcPr>
          <w:p>
            <w:r>
              <w:t xml:space="preserve">Accessed 2026-08-31</w:t>
            </w:r>
          </w:p>
        </w:tc>
        <w:tc>
          <w:tcPr>
            <w:tcW w:type="dxa" w:w="1500"/>
          </w:tcPr>
          <w:p>
            <w:r>
              <w:t xml:space="preserve">HIGH</w:t>
            </w:r>
          </w:p>
        </w:tc>
      </w:tr>
      <w:tr>
        <w:tc>
          <w:tcPr>
            <w:tcW w:type="dxa" w:w="1500"/>
          </w:tcPr>
          <w:p>
            <w:r>
              <w:t xml:space="preserve">S11</w:t>
            </w:r>
          </w:p>
        </w:tc>
        <w:tc>
          <w:tcPr>
            <w:tcW w:type="dxa" w:w="1500"/>
          </w:tcPr>
          <w:p>
            <w:r>
              <w:t xml:space="preserve">Fish ladder / underground viewing room location relative to the Locks</w:t>
            </w:r>
          </w:p>
        </w:tc>
        <w:tc>
          <w:tcPr>
            <w:tcW w:type="dxa" w:w="1500"/>
          </w:tcPr>
          <w:p>
            <w:r>
              <w:t xml:space="preserve">"Built on the south side of the canal, the fish ladder is a critical ecological corridor..."</w:t>
            </w:r>
          </w:p>
        </w:tc>
        <w:tc>
          <w:tcPr>
            <w:tcW w:type="dxa" w:w="1500"/>
          </w:tcPr>
          <w:p>
            <w:r>
              <w:t xml:space="preserve">My Ballard — </w:t>
            </w:r>
            <w:hyperlink w:history="1" r:id="rIdal4gni07ln_0iervwx0eg">
              <w:r>
                <w:rPr>
                  <w:rStyle w:val="Hyperlink"/>
                </w:rPr>
                <w:t xml:space="preserve">Ballard Locks, Seattle</w:t>
              </w:r>
            </w:hyperlink>
          </w:p>
        </w:tc>
        <w:tc>
          <w:tcPr>
            <w:tcW w:type="dxa" w:w="1500"/>
          </w:tcPr>
          <w:p>
            <w:r>
              <w:t xml:space="preserve">Accessed 2026-08-31</w:t>
            </w:r>
          </w:p>
        </w:tc>
        <w:tc>
          <w:tcPr>
            <w:tcW w:type="dxa" w:w="1500"/>
          </w:tcPr>
          <w:p>
            <w:r>
              <w:t xml:space="preserve">MEDIUM</w:t>
            </w:r>
          </w:p>
        </w:tc>
      </w:tr>
      <w:tr>
        <w:tc>
          <w:tcPr>
            <w:tcW w:type="dxa" w:w="1500"/>
          </w:tcPr>
          <w:p>
            <w:r>
              <w:t xml:space="preserve">S12</w:t>
            </w:r>
          </w:p>
        </w:tc>
        <w:tc>
          <w:tcPr>
            <w:tcW w:type="dxa" w:w="1500"/>
          </w:tcPr>
          <w:p>
            <w:r>
              <w:t xml:space="preserve">Southern Resident killer whale ESA status and Chinook dependence</w:t>
            </w:r>
          </w:p>
        </w:tc>
        <w:tc>
          <w:tcPr>
            <w:tcW w:type="dxa" w:w="1500"/>
          </w:tcPr>
          <w:p>
            <w:r>
              <w:t xml:space="preserve">Listed endangered under the ESA in 2005; fewer than 80 individuals remain; Chinook is their preferred prey</w:t>
            </w:r>
          </w:p>
        </w:tc>
        <w:tc>
          <w:tcPr>
            <w:tcW w:type="dxa" w:w="1500"/>
          </w:tcPr>
          <w:p>
            <w:r>
              <w:t xml:space="preserve">NOAA Fisheries — </w:t>
            </w:r>
            <w:hyperlink w:history="1" r:id="rId759dy1cxqmkevf7c7ltqm">
              <w:r>
                <w:rPr>
                  <w:rStyle w:val="Hyperlink"/>
                </w:rPr>
                <w:t xml:space="preserve">Saving the Southern Resident Killer Whales</w:t>
              </w:r>
            </w:hyperlink>
          </w:p>
        </w:tc>
        <w:tc>
          <w:tcPr>
            <w:tcW w:type="dxa" w:w="1500"/>
          </w:tcPr>
          <w:p>
            <w:r>
              <w:t xml:space="preserve">Accessed 2026-08-31</w:t>
            </w:r>
          </w:p>
        </w:tc>
        <w:tc>
          <w:tcPr>
            <w:tcW w:type="dxa" w:w="1500"/>
          </w:tcPr>
          <w:p>
            <w:r>
              <w:t xml:space="preserve">HIGH</w:t>
            </w:r>
          </w:p>
        </w:tc>
      </w:tr>
    </w:tbl>
    <w:p/>
    <w:p>
      <w:r>
        <w:t xml:space="preserve">All derived figures (Brewster angle, angles of incidence, Fresnel R_s/R_p/R/residual/percent-removed, and the D4 margin) are computed from the sourced constants above and shown with their arithmetic in </w:t>
      </w:r>
      <w:r>
        <w:rPr>
          <w:rFonts w:ascii="Courier New" w:cs="Courier New" w:eastAsia="Courier New" w:hAnsi="Courier New"/>
        </w:rPr>
        <w:t xml:space="preserve">RESEARCH_LOG.md</w:t>
      </w:r>
      <w:r>
        <w:t xml:space="preserve">; no derived number is asserted without the inputs it came from being cited here.</w:t>
      </w:r>
    </w:p>
    <w:p>
      <w:pPr>
        <w:pStyle w:val="Heading3"/>
        <w:spacing w:after="120" w:before="240"/>
      </w:pPr>
      <w:r>
        <w:t xml:space="preserve">Appendix I — "How To…" Math Questions To Research</w:t>
      </w:r>
    </w:p>
    <w:p>
      <w:r>
        <w:rPr>
          <w:b/>
          <w:bCs/>
        </w:rPr>
        <w:t xml:space="preserve">Vocabulary terms</w:t>
      </w:r>
    </w:p>
    <w:p>
      <w:pPr>
        <w:ind w:left="360"/>
      </w:pPr>
      <w:r>
        <w:t xml:space="preserve">- Pythagorean Identity</w:t>
      </w:r>
    </w:p>
    <w:p>
      <w:pPr>
        <w:ind w:left="360"/>
      </w:pPr>
      <w:r>
        <w:t xml:space="preserve">- Inverse Trigonometric Function</w:t>
      </w:r>
    </w:p>
    <w:p>
      <w:pPr>
        <w:ind w:left="360"/>
      </w:pPr>
      <w:r>
        <w:t xml:space="preserve">- Angle</w:t>
      </w:r>
    </w:p>
    <w:p>
      <w:r>
        <w:rPr>
          <w:b/>
          <w:bCs/>
        </w:rPr>
        <w:t xml:space="preserve">"How to…" questions</w:t>
      </w:r>
    </w:p>
    <w:p>
      <w:pPr>
        <w:ind w:left="360"/>
      </w:pPr>
      <w:r>
        <w:t xml:space="preserve">- How to verify a trigonometric identity</w:t>
      </w:r>
    </w:p>
    <w:p>
      <w:pPr>
        <w:ind w:left="360"/>
      </w:pPr>
      <w:r>
        <w:t xml:space="preserve">- How to solve a trigonometric equation over a given interval</w:t>
      </w:r>
    </w:p>
    <w:p>
      <w:pPr>
        <w:ind w:left="360"/>
      </w:pPr>
      <w:r>
        <w:t xml:space="preserve">- How to evaluate an inverse trigonometric function</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2vmmtda9ag6e3qjfoh6t" Type="http://schemas.openxmlformats.org/officeDocument/2006/relationships/hyperlink" Target="https://refractiveindex.info/?shelf=glass&amp;book=soda-lime&amp;page=Rubin-clear" TargetMode="External"/><Relationship Id="rIdgg1u8rs6qnjismknttrhs" Type="http://schemas.openxmlformats.org/officeDocument/2006/relationships/hyperlink" Target="https://en.wikipedia.org/wiki/Brewster%27s_angle" TargetMode="External"/><Relationship Id="rIdjf7bqefyyyulv5w1p-0wy" Type="http://schemas.openxmlformats.org/officeDocument/2006/relationships/hyperlink" Target="https://tiffen.com/products/138mm-mounted-ultrapol-circular-polarizer-filter" TargetMode="External"/><Relationship Id="rIdctnzzc3fpubgrtpkwamiu" Type="http://schemas.openxmlformats.org/officeDocument/2006/relationships/hyperlink" Target="https://en.wikipedia.org/wiki/Ballard_Locks" TargetMode="External"/><Relationship Id="rIdysejrrbdrxgsbykjwiyux" Type="http://schemas.openxmlformats.org/officeDocument/2006/relationships/hyperlink" Target="https://wdfw.wa.gov/fishing/reports/counts/lake-washington" TargetMode="External"/><Relationship Id="rIduesfc_nfljwddjlqcz7i2" Type="http://schemas.openxmlformats.org/officeDocument/2006/relationships/hyperlink" Target="https://www.greaterseattleonthecheap.com/fall-salmon-spawning-season-in-western-washington/" TargetMode="External"/><Relationship Id="rIdsask1lo43uhnckgvwf1ah" Type="http://schemas.openxmlformats.org/officeDocument/2006/relationships/hyperlink" Target="https://www.parentmap.com/calendar/salmon-viewing-ballard-locks" TargetMode="External"/><Relationship Id="rIdbafmswxs5dj07yyz6r2yl" Type="http://schemas.openxmlformats.org/officeDocument/2006/relationships/hyperlink" Target="https://gml.noaa.gov/grad/solcalc/azel.html" TargetMode="External"/><Relationship Id="rIdlqslcuozbkvwm-oz1qge9" Type="http://schemas.openxmlformats.org/officeDocument/2006/relationships/hyperlink" Target="https://gml.noaa.gov/grad/solcalc/azel.html" TargetMode="External"/><Relationship Id="rIdybb53abusfumrzuxpwpos" Type="http://schemas.openxmlformats.org/officeDocument/2006/relationships/hyperlink" Target="https://en.wikipedia.org/wiki/Fresnel_equations" TargetMode="External"/><Relationship Id="rIdal4gni07ln_0iervwx0eg" Type="http://schemas.openxmlformats.org/officeDocument/2006/relationships/hyperlink" Target="https://www.myballard.com/ballard-locks-seattle/" TargetMode="External"/><Relationship Id="rId759dy1cxqmkevf7c7ltqm" Type="http://schemas.openxmlformats.org/officeDocument/2006/relationships/hyperlink" Target="https://www.fisheries.noaa.gov/west-coast/endangered-species-conservation/saving-southern-resident-killer-whale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2026-08-31T18:43:31.729Z</dcterms:created>
  <dcterms:modified xsi:type="dcterms:W3CDTF">2026-08-31T18:43:31.738Z</dcterms:modified>
</cp:coreProperties>
</file>

<file path=docProps/custom.xml><?xml version="1.0" encoding="utf-8"?>
<Properties xmlns="http://schemas.openxmlformats.org/officeDocument/2006/custom-properties" xmlns:vt="http://schemas.openxmlformats.org/officeDocument/2006/docPropsVTypes"/>
</file>