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Facilitator Guide: Panel Layout</w:t>
      </w:r>
    </w:p>
    <w:p>
      <w:pPr>
        <w:spacing w:after="300"/>
        <w:jc w:val="center"/>
      </w:pPr>
      <w:r>
        <w:rPr>
          <w:i/>
          <w:iCs/>
          <w:color w:val="B00000"/>
          <w:sz w:val="20"/>
          <w:szCs w:val="20"/>
        </w:rPr>
        <w:t xml:space="preserve">MS | Math | Case Study | 2026 | Adventure — FACILITATOR ONLY, do not distribute to students</w:t>
      </w:r>
    </w:p>
    <w:p>
      <w:pPr>
        <w:pStyle w:val="Heading1"/>
        <w:spacing w:after="160" w:before="320"/>
      </w:pPr>
      <w:r>
        <w:t xml:space="preserve">Case Snapshot</w:t>
      </w:r>
    </w:p>
    <w:p>
      <w:pPr>
        <w:spacing w:after="160"/>
      </w:pPr>
      <w:r>
        <w:rPr>
          <w:b/>
          <w:bCs/>
        </w:rPr>
        <w:t xml:space="preserve">Tier: </w:t>
      </w:r>
      <w:r>
        <w:t xml:space="preserve">T2   </w:t>
      </w:r>
      <w:r>
        <w:rPr>
          <w:b/>
          <w:bCs/>
        </w:rPr>
        <w:t xml:space="preserve">Band: </w:t>
      </w:r>
      <w:r>
        <w:t xml:space="preserve">MS-core   </w:t>
      </w:r>
      <w:r>
        <w:rPr>
          <w:b/>
          <w:bCs/>
        </w:rPr>
        <w:t xml:space="preserve">Studio: </w:t>
      </w:r>
      <w:r>
        <w:t xml:space="preserve">MS Adventure</w:t>
      </w:r>
    </w:p>
    <w:p>
      <w:pPr>
        <w:spacing w:after="160"/>
      </w:pPr>
      <w:r>
        <w:t xml:space="preserve">Standards: calculus-critical-point; calculus-how-to-find-critical-points-of-a-function; calculus-how-to-use-the-first-derivative-test-to-classify-a-critical-point; calculus-how-to-solve-an-optimization-problem-using-derivatives. All four already at n=2 before this case (covered by The Curve's Turn and The Optimal Can) — this is a second-pass/reinforcement case; new_coverage[] is correctly empty.</w:t>
      </w:r>
    </w:p>
    <w:p>
      <w:pPr>
        <w:spacing w:after="160"/>
      </w:pPr>
      <w:r>
        <w:t xml:space="preserve">Appendix A's endpoint specs and Appendix C's tested miss rates are stated Modeling Assumptions (MA1–MA13; Meridian Medical is an invented device). Appendix B's Fitts's Law coefficients (a=0.6992 s, b=0.1714 s/bit) are a real, cited source (S1: Hassan, Magee &amp; MacKenzie, HCII 2019 — MEDIUM confidence, a touchpad-tap proxy for the panel's hand-reach task).</w:t>
      </w:r>
    </w:p>
    <w:p>
      <w:pPr>
        <w:pBdr>
          <w:top w:val="single" w:color="444444" w:sz="6"/>
          <w:bottom w:val="single" w:color="444444" w:sz="6"/>
          <w:left w:val="single" w:color="444444" w:sz="6"/>
          <w:right w:val="single" w:color="444444" w:sz="6"/>
        </w:pBdr>
        <w:shd w:fill="F2F2F2" w:val="clear"/>
        <w:spacing w:after="200" w:before="100"/>
      </w:pPr>
      <w:r>
        <w:t xml:space="preserve">Computed result — never state this exact figure in the student packet. T(x) has one critical point in [0,1]: x* = 3/4 − √15/12 ≈ 0.4273, a genuine global minimum of raw movement time (T(0) ≈ 4.625 s, T(1) ≈ 4.611 s, T(x*) ≈ 4.607 s). Once Appendix C's tested miss rates are folded in (D4), Option B (Long Reach) wins: E(Long Reach) ≈ 4.777 s vs. E(Close Reach) ≈ 4.894 s — margin_pct = 2.46% (well under the ~20% retune threshold). Three Modeling Assumptions are the real levers, mechanically verified in sensitivity_model.py: MA8 (flip threshold n* ≈ 2.365, case uses n=3), MA6 (flip threshold ≈118.07 mm, case uses 140 mm), and MA13 (flip threshold ≈4.12%, case uses 7%).</w:t>
      </w:r>
    </w:p>
    <w:p>
      <w:pPr>
        <w:pStyle w:val="Heading1"/>
        <w:spacing w:after="160" w:before="320"/>
      </w:pPr>
      <w:r>
        <w:t xml:space="preserve">Sensitivity Note (SPEC §6)</w:t>
      </w:r>
    </w:p>
    <w:p>
      <w:pPr>
        <w:spacing w:after="160"/>
      </w:pPr>
      <w:r>
        <w:t xml:space="preserve">Medical-device framing. This case must stay strictly about the layout-optimization engineering decision — panel space, predicted movement time, tested miss rate — and never drift into depicting an actual patient-harm incident. case.md's Overview and Background were written in a routine engineering register on purpose: the stakes are a tooling sign-off and a design-history-file finding, never a described clinical event. Keep the discussion in that same register — if it drifts toward “what if a patient is hurt,” redirect to the actual math question: which layout minimizes predicted time and rework across the whole control sequence.</w:t>
      </w:r>
    </w:p>
    <w:p>
      <w:pPr>
        <w:pStyle w:val="Heading1"/>
        <w:spacing w:after="160" w:before="320"/>
      </w:pPr>
      <w:r>
        <w:t xml:space="preserve">Balance Argument</w:t>
      </w:r>
    </w:p>
    <w:p>
      <w:pPr>
        <w:spacing w:after="160"/>
      </w:pPr>
      <w:r>
        <w:rPr>
          <w:b/>
          <w:bCs/>
        </w:rPr>
        <w:t xml:space="preserve">Argument for A (Close Reach). </w:t>
      </w:r>
      <w:r>
        <w:t xml:space="preserve">The Confirm control is the single most-used control in the sequence. Close Reach minimizes its own predicted movement time and tested miss rate (0.36 s and 5 points of miss rate better than Long Reach). If the other required controls' movement time is not very sensitive to losing a little near-zone space, Close Reach's advantage on the panel's single most-used control can dominate the whole-sequence total — the raw endpoint comparison alone (D3, before miss-rate weighting) shows Close Reach's T(1) ≈ 4.611 s already beats Long Reach's T(0) ≈ 4.625 s.</w:t>
      </w:r>
    </w:p>
    <w:p>
      <w:pPr>
        <w:spacing w:after="160"/>
      </w:pPr>
      <w:r>
        <w:rPr>
          <w:b/>
          <w:bCs/>
        </w:rPr>
        <w:t xml:space="preserve">Argument for B (Long Reach). </w:t>
      </w:r>
      <w:r>
        <w:t xml:space="preserve">There are more “other required controls” than Confirm controls, and Long Reach keeps every one of them close and easy. A small per-pass cost on the Confirm control can be outweighed by a smaller-looking benefit paid once per other control and summed across all of them. Computed with Appendix C's tested miss rates folded in (D4): Long Reach's expected time per successful actuation is about 4.777 s versus Close Reach's about 4.894 s — Long Reach wins by 2.46%.</w:t>
      </w:r>
    </w:p>
    <w:p>
      <w:pPr>
        <w:spacing w:after="160"/>
      </w:pPr>
      <w:r>
        <w:rPr>
          <w:b/>
          <w:bCs/>
        </w:rPr>
        <w:t xml:space="preserve">The margin. </w:t>
      </w:r>
      <w:r>
        <w:t xml:space="preserve">margin_pct = 2.46%, Option B (Long Reach) wins on the primary metric. Method: build T(x), differentiate it, classify its critical point(s), compare T(x) at x=0, x=1, and every interior critical point (D3), then fold in the tested miss-rate data to compute expected seconds per successful actuation at all three x-values (D4) and compare.</w:t>
      </w:r>
    </w:p>
    <w:p>
      <w:pPr>
        <w:pStyle w:val="Heading1"/>
        <w:spacing w:after="160" w:before="320"/>
      </w:pPr>
      <w:r>
        <w:t xml:space="preserve">The Five Socratic Questions</w:t>
      </w:r>
    </w:p>
    <w:p>
      <w:pPr>
        <w:pStyle w:val="ListParagraph"/>
        <w:numPr>
          <w:ilvl w:val="0"/>
          <w:numId w:val="2"/>
        </w:numPr>
        <w:spacing w:after="100"/>
      </w:pPr>
      <w:r>
        <w:t xml:space="preserve">Your D3 table found x* beats both named endpoints on raw time — so why doesn't Marcus recommend a third panel built at x*?</w:t>
      </w:r>
    </w:p>
    <w:p>
      <w:pPr>
        <w:pStyle w:val="ListParagraph"/>
        <w:numPr>
          <w:ilvl w:val="0"/>
          <w:numId w:val="2"/>
        </w:numPr>
        <w:spacing w:after="100"/>
      </w:pPr>
      <w:r>
        <w:t xml:space="preserve">The Confirm control is reached once per pass and the other required controls are reached collectively more often — how does that asymmetry show up in T(x)'s derivative?</w:t>
      </w:r>
    </w:p>
    <w:p>
      <w:pPr>
        <w:pStyle w:val="ListParagraph"/>
        <w:numPr>
          <w:ilvl w:val="0"/>
          <w:numId w:val="2"/>
        </w:numPr>
        <w:spacing w:after="100"/>
      </w:pPr>
      <w:r>
        <w:t xml:space="preserve">D3 asks you to check T(x) at both domain endpoints, not just at the interior critical point from D1–D2 — what would have to be true about T(x)'s shape for an endpoint to beat the interior point?</w:t>
      </w:r>
    </w:p>
    <w:p>
      <w:pPr>
        <w:pStyle w:val="ListParagraph"/>
        <w:numPr>
          <w:ilvl w:val="0"/>
          <w:numId w:val="2"/>
        </w:numPr>
        <w:spacing w:after="100"/>
      </w:pPr>
      <w:r>
        <w:t xml:space="preserve">D4 asks you to state explicitly what is and is not known about miss rate at x* — what should Marcus do with a result that depends on an untested layout's assumed miss rate?</w:t>
      </w:r>
    </w:p>
    <w:p>
      <w:pPr>
        <w:pStyle w:val="ListParagraph"/>
        <w:numPr>
          <w:ilvl w:val="0"/>
          <w:numId w:val="2"/>
        </w:numPr>
        <w:spacing w:after="100"/>
      </w:pPr>
      <w:r>
        <w:t xml:space="preserve">MA6, MA8, and MA13 each independently flip this case's recommendation on their own — what would you need to see in a real usability report before trusting any one of those three assumed figures?</w:t>
      </w:r>
    </w:p>
    <w:p>
      <w:pPr>
        <w:pStyle w:val="Heading1"/>
        <w:spacing w:after="160" w:before="320"/>
      </w:pPr>
      <w:r>
        <w:t xml:space="preserve">The Trap</w:t>
      </w:r>
    </w:p>
    <w:p>
      <w:pPr>
        <w:spacing w:after="160"/>
      </w:pPr>
      <w:r>
        <w:t xml:space="preserve">The trap is comparing Close Reach and Long Reach only on the Confirm control's own predicted movement time and miss rate — exactly the number Close Reach is built to win, since it is the only option that improves the Confirm control in isolation. A Hero who stops there has quietly ignored that the Confirm control is only one of several required controls in the same sequence, and that the near-zone space Close Reach claims for itself has a real, non-decorative cost paid by every other control, every single pass. The case's primary metric is explicitly the whole-sequence predicted time per successful actuation, not the Confirm control's own time — a Hero who never builds and optimizes T(x) across the full sequence (D1–D3) has answered a narrower, easier question than the one Marcus actually has to sign off on, and may confidently recommend the wrong layout as a result.</w:t>
      </w:r>
    </w:p>
    <w:p>
      <w:pPr>
        <w:spacing w:after="160"/>
      </w:pPr>
      <w:r>
        <w:t xml:space="preserve">A second, subtler version of the same trap, which the Twist is built to surface: assuming the interior critical point x* must be the right recommendation just because it beats both named options on raw time, without checking whether it can actually be scored on the case's real primary metric at all — a critical point on a closed interval is a candidate for the global minimum of movement time, not automatically a recommendable, tested, buildable panel.</w:t>
      </w:r>
    </w:p>
    <w:p>
      <w:r>
        <w:br w:type="page"/>
      </w:r>
    </w:p>
    <w:p>
      <w:pPr>
        <w:pStyle w:val="Heading1"/>
        <w:spacing w:after="160" w:before="320"/>
      </w:pPr>
      <w:r>
        <w:t xml:space="preserve">Run of Show</w:t>
      </w:r>
    </w:p>
    <w:p>
      <w:pPr>
        <w:pStyle w:val="Heading2"/>
        <w:spacing w:after="160" w:before="320"/>
      </w:pPr>
      <w:r>
        <w:t xml:space="preserve">Intro</w:t>
      </w:r>
    </w:p>
    <w:p>
      <w:pPr>
        <w:spacing w:after="160"/>
      </w:pPr>
      <w:r>
        <w:t xml:space="preserve">Frame the format before anything else: this is a real hardware sign-off with a hard deadline, not a worksheet. Name the opener — “You're Marcus Feld, Human Factors Engineer at Meridian Medical. Both prototype panels are on your bench. Once you submit this sign-off, the injection-mold cavity gets cut and the layout is locked for the life of this hardware revision — and if a miss-rate problem ever turns up in the field, it's your name on the sign-off line.” Let the stakes land before moving to the Launch.</w:t>
      </w:r>
    </w:p>
    <w:p>
      <w:pPr>
        <w:pStyle w:val="Heading2"/>
        <w:spacing w:after="160" w:before="320"/>
      </w:pPr>
      <w:r>
        <w:t xml:space="preserve">Launch</w:t>
      </w:r>
    </w:p>
    <w:p>
      <w:pPr>
        <w:spacing w:after="160"/>
      </w:pPr>
      <w:r>
        <w:t xml:space="preserve">Hand out (or project) the two named prototype descriptions — Close Reach and Long Reach — with no numbers yet, just the trade-off in plain language. Ask: “If you had to guess right now, with nothing but the description, which one finishes the whole sequence faster?” Take the answers without correcting anyone. Most rooms will jump to “Close Reach, because the Confirm control is the one you use every time” — that instinct is worth recording out loud, because it is exactly the wrong path named in The Trap above.</w:t>
      </w:r>
    </w:p>
    <w:p>
      <w:pPr>
        <w:pStyle w:val="Heading2"/>
        <w:spacing w:after="160" w:before="320"/>
      </w:pPr>
      <w:r>
        <w:t xml:space="preserve">Anchor 1 — Take a stand and vote</w:t>
      </w:r>
    </w:p>
    <w:p>
      <w:pPr>
        <w:spacing w:after="160"/>
      </w:pPr>
      <w:r>
        <w:t xml:space="preserve">No reasoning yet, just commit. “Is anyone courageous enough to stand with Long Reach — the option with the smaller Confirm control?” Show of hands, both options, no discussion. Record the count.</w:t>
      </w:r>
    </w:p>
    <w:p>
      <w:pPr>
        <w:pStyle w:val="Heading2"/>
        <w:spacing w:after="160" w:before="320"/>
      </w:pPr>
      <w:r>
        <w:t xml:space="preserve">Anchor 2</w:t>
      </w:r>
    </w:p>
    <w:p>
      <w:pPr>
        <w:spacing w:after="160"/>
      </w:pPr>
      <w:r>
        <w:t xml:space="preserve">“Is 'which control is faster' the right question, or is it 'which whole sequence is faster'?” Push on what Marcus's recommendation actually has to be judged on. Also push: “Could the actual fastest layout be a design nobody has built yet?” — let the room sit with that discomfort before Anchor 3 resolves it.</w:t>
      </w:r>
    </w:p>
    <w:p>
      <w:pPr>
        <w:pStyle w:val="Heading2"/>
        <w:spacing w:after="160" w:before="320"/>
      </w:pPr>
      <w:r>
        <w:t xml:space="preserve">Anchor 3</w:t>
      </w:r>
    </w:p>
    <w:p>
      <w:pPr>
        <w:spacing w:after="160"/>
      </w:pPr>
      <w:r>
        <w:t xml:space="preserve">“If we go through this process and find the data, how will we decide?” Make the room name the steps before opening an appendix: (1) express every control's width and distance as a function of x, (2) build T(x) from Fitts's Law, (3) differentiate T(x) and solve T'(x)=0, (4) classify each critical point, (5) compare T(x) at both endpoints and every interior critical point, (6) fold in tested miss-rate data for the final recommendation.</w:t>
      </w:r>
    </w:p>
    <w:p>
      <w:pPr>
        <w:pStyle w:val="Heading2"/>
        <w:spacing w:after="160" w:before="320"/>
      </w:pPr>
      <w:r>
        <w:t xml:space="preserve">Anchor 4</w:t>
      </w:r>
    </w:p>
    <w:p>
      <w:pPr>
        <w:spacing w:after="160"/>
      </w:pPr>
      <w:r>
        <w:t xml:space="preserve">“Do we need to make assumptions? Which ones are critical?” Surface the honest gaps: MA1–MA13 are stated assumptions, not measurements. Ask which ones actually change the graded D4 result if they move. The honest answer: MA8, MA6, and MA13 are the three load-bearing figures — each one alone can flip the recommendation; the sourced Fitts's-law coefficients cannot.</w:t>
      </w:r>
    </w:p>
    <w:p>
      <w:pPr>
        <w:pStyle w:val="Heading2"/>
        <w:spacing w:after="160" w:before="320"/>
      </w:pPr>
      <w:r>
        <w:t xml:space="preserve">Data Deep Dive</w:t>
      </w:r>
    </w:p>
    <w:p>
      <w:pPr>
        <w:spacing w:after="160"/>
      </w:pPr>
      <w:r>
        <w:t xml:space="preserve">Now, and only now, open Appendices A–C and work D1–D4 together as a room, cold-calling for D4 specifically — this is where a Hero who correctly built T(x) and found x* ≈ 0.4273 but never folded in Appendix C's miss rates will visibly struggle to explain why Long Reach, not the time-minimizing x*, is the actual recommendation. That struggle is useful information, not a moment to rescue.</w:t>
      </w:r>
    </w:p>
    <w:p>
      <w:pPr>
        <w:pBdr>
          <w:top w:val="single" w:color="444444" w:sz="6"/>
          <w:bottom w:val="single" w:color="444444" w:sz="6"/>
          <w:left w:val="single" w:color="444444" w:sz="6"/>
          <w:right w:val="single" w:color="444444" w:sz="6"/>
        </w:pBdr>
        <w:shd w:fill="F2F2F2" w:val="clear"/>
        <w:spacing w:after="200" w:before="100"/>
      </w:pPr>
      <w:r>
        <w:t xml:space="preserve">Arithmetic reference. T(x) = 4a + b·log2(Dc(x)/Wc(x)+1) + 3b·log2(Do(x)/20+1) where Dc(x)=120−60x, Wc(x)=10+20x, Do(x)=80+60x, a=0.6992, b=0.1714. T'(x)=0 reduces to 24x²−36x+11=0, giving the single feasible root x*=3/4−√15/12≈0.4273 (a genuine global minimum of raw T(x)): T(0)≈4.625 s, T(1)≈4.611 s, T(x*)≈4.607 s. Folding in tested miss rates for D4 (expected attempts = 1/(1−miss rate)): E(Long Reach) = MTc(0)/(1−0.06) + 3·MTo(0)/(1−0.02) ≈ 4.777 s; E(Close Reach) = MTc(1)/(1−0.01) + 3·MTo(1)/(1−0.07) ≈ 4.894 s. Long Reach wins by 2.46%.</w:t>
      </w:r>
    </w:p>
    <w:p>
      <w:pPr>
        <w:pStyle w:val="Heading2"/>
        <w:spacing w:after="160" w:before="320"/>
      </w:pPr>
      <w:r>
        <w:t xml:space="preserve">Twist (deliver ~15 minutes in)</w:t>
      </w:r>
    </w:p>
    <w:p>
      <w:pPr>
        <w:spacing w:after="160"/>
      </w:pPr>
      <w:r>
        <w:t xml:space="preserve">“Someone points out that your D1–D3 work already found something interesting: the layout that actually minimizes raw movement time isn't either prototype on your bench. It's x* ≈ 0.43 — faster than both named options on raw time. If you had a third prototype milled at that exact allocation, would you recommend it instead of either panel actually on your bench?” Let the room want to say yes. Then: “Appendix C's usability lab has never tested a layout at x* — it only tested the two named endpoints. What miss rate would that third panel actually have in the field?”</w:t>
      </w:r>
    </w:p>
    <w:p>
      <w:pPr>
        <w:spacing w:after="160"/>
      </w:pPr>
      <w:r>
        <w:t xml:space="preserve">What this does, and does not, change. x* and T(x*) are not new numbers — they are the direct output of D1–D3, which every Hero has already computed. The twist is not a new sourced figure; it is a consequence of the case's own math most rooms will not have connected to the actual recommendation. No layout strictly between the two named prototypes has ever been physically built or tested, so there is no tested miss-rate figure for x* — and Appendix D says outright that MA9's linear interpolation of width and distance is not license to assume miss rate interpolates the same simple way. Do not hand the room a specific answer for whether x* “would” have a good or bad miss rate if it were built — the case has no sourced basis for that.</w:t>
      </w:r>
    </w:p>
    <w:p>
      <w:pPr>
        <w:pStyle w:val="Heading2"/>
        <w:spacing w:after="160" w:before="320"/>
      </w:pPr>
      <w:r>
        <w:t xml:space="preserve">Immediate Recommit</w:t>
      </w:r>
    </w:p>
    <w:p>
      <w:pPr>
        <w:spacing w:after="160"/>
      </w:pPr>
      <w:r>
        <w:t xml:space="preserve">Re-vote immediately. Ask by name: “Does knowing x* exists change your vote — or does it just tell you that neither named prototype is the mathematically perfect layout, only the two that have actually been tested?” That distinction is the transferable skill, not the vote itself.</w:t>
      </w:r>
    </w:p>
    <w:p>
      <w:pPr>
        <w:pStyle w:val="Heading2"/>
        <w:spacing w:after="160" w:before="320"/>
      </w:pPr>
      <w:r>
        <w:t xml:space="preserve">Deep Conflict (20–30 minutes)</w:t>
      </w:r>
    </w:p>
    <w:p>
      <w:pPr>
        <w:pStyle w:val="ListParagraph"/>
        <w:numPr>
          <w:ilvl w:val="0"/>
          <w:numId w:val="2"/>
        </w:numPr>
        <w:spacing w:after="100"/>
      </w:pPr>
      <w:r>
        <w:t xml:space="preserve">A closed-domain critical point is a candidate, not a guarantee. x* beats both named endpoints on raw time — yet it loses the actual recommendation because D4's miss-rate data doesn't exist for it. What does that say about the difference between “the calculus says this point is optimal” and “this point is buildable, tested, and defensible today”?</w:t>
      </w:r>
    </w:p>
    <w:p>
      <w:pPr>
        <w:pStyle w:val="ListParagraph"/>
        <w:numPr>
          <w:ilvl w:val="0"/>
          <w:numId w:val="2"/>
        </w:numPr>
        <w:spacing w:after="100"/>
      </w:pPr>
      <w:r>
        <w:t xml:space="preserve">The Confirm control is used every pass; the other controls are used collectively more often. How does that asymmetry show up in T(x)'s derivative, and why doesn't the Confirm control's own movement-time advantage at Close Reach automatically translate into a whole-panel advantage?</w:t>
      </w:r>
    </w:p>
    <w:p>
      <w:pPr>
        <w:pStyle w:val="ListParagraph"/>
        <w:numPr>
          <w:ilvl w:val="0"/>
          <w:numId w:val="2"/>
        </w:numPr>
        <w:spacing w:after="100"/>
      </w:pPr>
      <w:r>
        <w:t xml:space="preserve">Three assumptions, not the sourced Fitts's-law coefficients, drive the whole result. MA6, MA8, and MA13 each independently flip the recommendation; the real, cited human-factors data never does. Is a 2.46%-margin recommendation built on three contested assumptions one Marcus should state flatly, or one he should hedge in the sign-off form?</w:t>
      </w:r>
    </w:p>
    <w:p>
      <w:pPr>
        <w:pStyle w:val="Heading2"/>
        <w:spacing w:after="160" w:before="320"/>
      </w:pPr>
      <w:r>
        <w:t xml:space="preserve">Full-Session Socratic 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D9D9D9" w:val="clear"/>
            <w:tcMar>
              <w:top w:type="dxa" w:w="80"/>
              <w:left w:type="dxa" w:w="100"/>
              <w:bottom w:type="dxa" w:w="80"/>
              <w:right w:type="dxa" w:w="100"/>
            </w:tcMar>
          </w:tcPr>
          <w:p>
            <w:r>
              <w:rPr>
                <w:b/>
                <w:bCs/>
                <w:sz w:val="20"/>
                <w:szCs w:val="20"/>
              </w:rPr>
              <w:t xml:space="preserve">Time</w:t>
            </w:r>
          </w:p>
        </w:tc>
        <w:tc>
          <w:tcPr>
            <w:tcW w:type="dxa" w:w="7300"/>
            <w:shd w:fill="D9D9D9" w:val="clear"/>
            <w:tcMar>
              <w:top w:type="dxa" w:w="80"/>
              <w:left w:type="dxa" w:w="100"/>
              <w:bottom w:type="dxa" w:w="80"/>
              <w:right w:type="dxa" w:w="100"/>
            </w:tcMar>
          </w:tcPr>
          <w:p>
            <w:r>
              <w:rPr>
                <w:b/>
                <w:bCs/>
                <w:sz w:val="20"/>
                <w:szCs w:val="20"/>
              </w:rPr>
              <w:t xml:space="preserve">Move</w:t>
            </w:r>
          </w:p>
        </w:tc>
      </w:tr>
      <w:tr>
        <w:tc>
          <w:tcPr>
            <w:tcW w:type="dxa" w:w="2200"/>
            <w:tcMar>
              <w:top w:type="dxa" w:w="80"/>
              <w:left w:type="dxa" w:w="100"/>
              <w:bottom w:type="dxa" w:w="80"/>
              <w:right w:type="dxa" w:w="100"/>
            </w:tcMar>
          </w:tcPr>
          <w:p>
            <w:r>
              <w:rPr>
                <w:b w:val="false"/>
                <w:bCs w:val="false"/>
                <w:sz w:val="20"/>
                <w:szCs w:val="20"/>
              </w:rPr>
              <w:t xml:space="preserve">0:00–3:00</w:t>
            </w:r>
          </w:p>
        </w:tc>
        <w:tc>
          <w:tcPr>
            <w:tcW w:type="dxa" w:w="7300"/>
            <w:tcMar>
              <w:top w:type="dxa" w:w="80"/>
              <w:left w:type="dxa" w:w="100"/>
              <w:bottom w:type="dxa" w:w="80"/>
              <w:right w:type="dxa" w:w="100"/>
            </w:tcMar>
          </w:tcPr>
          <w:p>
            <w:r>
              <w:rPr>
                <w:b w:val="false"/>
                <w:bCs w:val="false"/>
                <w:sz w:val="20"/>
                <w:szCs w:val="20"/>
              </w:rPr>
              <w:t xml:space="preserve">Launch — show both prototypes side by side, cold-call for a gut read, no numbers yet</w:t>
            </w:r>
          </w:p>
        </w:tc>
      </w:tr>
      <w:tr>
        <w:tc>
          <w:tcPr>
            <w:tcW w:type="dxa" w:w="2200"/>
            <w:tcMar>
              <w:top w:type="dxa" w:w="80"/>
              <w:left w:type="dxa" w:w="100"/>
              <w:bottom w:type="dxa" w:w="80"/>
              <w:right w:type="dxa" w:w="100"/>
            </w:tcMar>
          </w:tcPr>
          <w:p>
            <w:r>
              <w:rPr>
                <w:b w:val="false"/>
                <w:bCs w:val="false"/>
                <w:sz w:val="20"/>
                <w:szCs w:val="20"/>
              </w:rPr>
              <w:t xml:space="preserve">3:00–10:00</w:t>
            </w:r>
          </w:p>
        </w:tc>
        <w:tc>
          <w:tcPr>
            <w:tcW w:type="dxa" w:w="7300"/>
            <w:tcMar>
              <w:top w:type="dxa" w:w="80"/>
              <w:left w:type="dxa" w:w="100"/>
              <w:bottom w:type="dxa" w:w="80"/>
              <w:right w:type="dxa" w:w="100"/>
            </w:tcMar>
          </w:tcPr>
          <w:p>
            <w:r>
              <w:rPr>
                <w:b w:val="false"/>
                <w:bCs w:val="false"/>
                <w:sz w:val="20"/>
                <w:szCs w:val="20"/>
              </w:rPr>
              <w:t xml:space="preserve">Position defense — “Convince us your layout wins the whole sequence, not just the Confirm control”</w:t>
            </w:r>
          </w:p>
        </w:tc>
      </w:tr>
      <w:tr>
        <w:tc>
          <w:tcPr>
            <w:tcW w:type="dxa" w:w="2200"/>
            <w:tcMar>
              <w:top w:type="dxa" w:w="80"/>
              <w:left w:type="dxa" w:w="100"/>
              <w:bottom w:type="dxa" w:w="80"/>
              <w:right w:type="dxa" w:w="100"/>
            </w:tcMar>
          </w:tcPr>
          <w:p>
            <w:r>
              <w:rPr>
                <w:b w:val="false"/>
                <w:bCs w:val="false"/>
                <w:sz w:val="20"/>
                <w:szCs w:val="20"/>
              </w:rPr>
              <w:t xml:space="preserve">10:00–15:00</w:t>
            </w:r>
          </w:p>
        </w:tc>
        <w:tc>
          <w:tcPr>
            <w:tcW w:type="dxa" w:w="7300"/>
            <w:tcMar>
              <w:top w:type="dxa" w:w="80"/>
              <w:left w:type="dxa" w:w="100"/>
              <w:bottom w:type="dxa" w:w="80"/>
              <w:right w:type="dxa" w:w="100"/>
            </w:tcMar>
          </w:tcPr>
          <w:p>
            <w:r>
              <w:rPr>
                <w:b w:val="false"/>
                <w:bCs w:val="false"/>
                <w:sz w:val="20"/>
                <w:szCs w:val="20"/>
              </w:rPr>
              <w:t xml:space="preserve">Pressure-test the models — “Which of MA6, MA8, or MA13 would have to change, and by how much, for your answer to flip?”</w:t>
            </w:r>
          </w:p>
        </w:tc>
      </w:tr>
      <w:tr>
        <w:tc>
          <w:tcPr>
            <w:tcW w:type="dxa" w:w="2200"/>
            <w:tcMar>
              <w:top w:type="dxa" w:w="80"/>
              <w:left w:type="dxa" w:w="100"/>
              <w:bottom w:type="dxa" w:w="80"/>
              <w:right w:type="dxa" w:w="100"/>
            </w:tcMar>
          </w:tcPr>
          <w:p>
            <w:r>
              <w:rPr>
                <w:b w:val="false"/>
                <w:bCs w:val="false"/>
                <w:sz w:val="20"/>
                <w:szCs w:val="20"/>
              </w:rPr>
              <w:t xml:space="preserve">15:00</w:t>
            </w:r>
          </w:p>
        </w:tc>
        <w:tc>
          <w:tcPr>
            <w:tcW w:type="dxa" w:w="7300"/>
            <w:tcMar>
              <w:top w:type="dxa" w:w="80"/>
              <w:left w:type="dxa" w:w="100"/>
              <w:bottom w:type="dxa" w:w="80"/>
              <w:right w:type="dxa" w:w="100"/>
            </w:tcMar>
          </w:tcPr>
          <w:p>
            <w:r>
              <w:rPr>
                <w:b w:val="false"/>
                <w:bCs w:val="false"/>
                <w:sz w:val="20"/>
                <w:szCs w:val="20"/>
              </w:rPr>
              <w:t xml:space="preserve">DROP THE TWIST — x* beats both named options on raw time, but has no tested miss-rate figure</w:t>
            </w:r>
          </w:p>
        </w:tc>
      </w:tr>
      <w:tr>
        <w:tc>
          <w:tcPr>
            <w:tcW w:type="dxa" w:w="2200"/>
            <w:tcMar>
              <w:top w:type="dxa" w:w="80"/>
              <w:left w:type="dxa" w:w="100"/>
              <w:bottom w:type="dxa" w:w="80"/>
              <w:right w:type="dxa" w:w="100"/>
            </w:tcMar>
          </w:tcPr>
          <w:p>
            <w:r>
              <w:rPr>
                <w:b w:val="false"/>
                <w:bCs w:val="false"/>
                <w:sz w:val="20"/>
                <w:szCs w:val="20"/>
              </w:rPr>
              <w:t xml:space="preserve">15:00–20:00</w:t>
            </w:r>
          </w:p>
        </w:tc>
        <w:tc>
          <w:tcPr>
            <w:tcW w:type="dxa" w:w="7300"/>
            <w:tcMar>
              <w:top w:type="dxa" w:w="80"/>
              <w:left w:type="dxa" w:w="100"/>
              <w:bottom w:type="dxa" w:w="80"/>
              <w:right w:type="dxa" w:w="100"/>
            </w:tcMar>
          </w:tcPr>
          <w:p>
            <w:r>
              <w:rPr>
                <w:b w:val="false"/>
                <w:bCs w:val="false"/>
                <w:sz w:val="20"/>
                <w:szCs w:val="20"/>
              </w:rPr>
              <w:t xml:space="preserve">Immediate recommit — who reverses, and why</w:t>
            </w:r>
          </w:p>
        </w:tc>
      </w:tr>
      <w:tr>
        <w:tc>
          <w:tcPr>
            <w:tcW w:type="dxa" w:w="2200"/>
            <w:tcMar>
              <w:top w:type="dxa" w:w="80"/>
              <w:left w:type="dxa" w:w="100"/>
              <w:bottom w:type="dxa" w:w="80"/>
              <w:right w:type="dxa" w:w="100"/>
            </w:tcMar>
          </w:tcPr>
          <w:p>
            <w:r>
              <w:rPr>
                <w:b w:val="false"/>
                <w:bCs w:val="false"/>
                <w:sz w:val="20"/>
                <w:szCs w:val="20"/>
              </w:rPr>
              <w:t xml:space="preserve">20:00–30:00</w:t>
            </w:r>
          </w:p>
        </w:tc>
        <w:tc>
          <w:tcPr>
            <w:tcW w:type="dxa" w:w="7300"/>
            <w:tcMar>
              <w:top w:type="dxa" w:w="80"/>
              <w:left w:type="dxa" w:w="100"/>
              <w:bottom w:type="dxa" w:w="80"/>
              <w:right w:type="dxa" w:w="100"/>
            </w:tcMar>
          </w:tcPr>
          <w:p>
            <w:r>
              <w:rPr>
                <w:b w:val="false"/>
                <w:bCs w:val="false"/>
                <w:sz w:val="20"/>
                <w:szCs w:val="20"/>
              </w:rPr>
              <w:t xml:space="preserve">Threaded deep conflict</w:t>
            </w:r>
          </w:p>
        </w:tc>
      </w:tr>
      <w:tr>
        <w:tc>
          <w:tcPr>
            <w:tcW w:type="dxa" w:w="2200"/>
            <w:tcMar>
              <w:top w:type="dxa" w:w="80"/>
              <w:left w:type="dxa" w:w="100"/>
              <w:bottom w:type="dxa" w:w="80"/>
              <w:right w:type="dxa" w:w="100"/>
            </w:tcMar>
          </w:tcPr>
          <w:p>
            <w:r>
              <w:rPr>
                <w:b w:val="false"/>
                <w:bCs w:val="false"/>
                <w:sz w:val="20"/>
                <w:szCs w:val="20"/>
              </w:rPr>
              <w:t xml:space="preserve">30:00–end</w:t>
            </w:r>
          </w:p>
        </w:tc>
        <w:tc>
          <w:tcPr>
            <w:tcW w:type="dxa" w:w="7300"/>
            <w:tcMar>
              <w:top w:type="dxa" w:w="80"/>
              <w:left w:type="dxa" w:w="100"/>
              <w:bottom w:type="dxa" w:w="80"/>
              <w:right w:type="dxa" w:w="100"/>
            </w:tcMar>
          </w:tcPr>
          <w:p>
            <w:r>
              <w:rPr>
                <w:b w:val="false"/>
                <w:bCs w:val="false"/>
                <w:sz w:val="20"/>
                <w:szCs w:val="20"/>
              </w:rPr>
              <w:t xml:space="preserve">Close, re-vote, reflection, lessons learned</w:t>
            </w:r>
          </w:p>
        </w:tc>
      </w:tr>
    </w:tbl>
    <w:p>
      <w:pPr>
        <w:spacing w:before="160"/>
      </w:pPr>
      <w:r>
        <w:t xml:space="preserve"/>
      </w:r>
    </w:p>
    <w:p>
      <w:pPr>
        <w:pStyle w:val="Heading2"/>
        <w:spacing w:after="160" w:before="320"/>
      </w:pPr>
      <w:r>
        <w:t xml:space="preserve">Close</w:t>
      </w:r>
    </w:p>
    <w:p>
      <w:pPr>
        <w:spacing w:after="160"/>
      </w:pPr>
      <w:r>
        <w:t xml:space="preserve">VOTE AGAIN. “Did we ask the right question at the start?” Ask what math was new to each Hero, and specifically whether checking the domain endpoints in D3 (rather than stopping at the interior critical point), or discovering x* has no tested miss rate at all, changed anyone's answer.</w:t>
      </w:r>
    </w:p>
    <w:p>
      <w:pPr>
        <w:pStyle w:val="Heading2"/>
        <w:spacing w:after="160" w:before="320"/>
      </w:pPr>
      <w:r>
        <w:t xml:space="preserve">What a Strong Defense Sounds Like</w:t>
      </w:r>
    </w:p>
    <w:p>
      <w:pPr>
        <w:spacing w:after="160"/>
      </w:pPr>
      <w:r>
        <w:t xml:space="preserve">There is no single right answer here, so listen for reasoning quality rather than the vote itself. A strong defense builds T(x) across the whole sequence (not just the Confirm control), correctly classifies the critical point with the first-derivative test, checks both domain endpoints against the interior point rather than assuming the interior point wins by default, and folds in the tested miss-rate data before recommending — explicitly naming what is and is not known about an untested layout's miss rate. A strong defense can also name which one or two Modeling Assumptions (MA6, MA8, MA13) would have to move to flip the recommendation, and says so as a real hedge rather than false confidence in a 2.46% margin.</w:t>
      </w:r>
    </w:p>
    <w:p>
      <w:pPr>
        <w:pStyle w:val="Heading1"/>
        <w:spacing w:after="160" w:before="320"/>
      </w:pPr>
      <w:r>
        <w:t xml:space="preserve">Cohort Bands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D9D9D9" w:val="clear"/>
            <w:tcMar>
              <w:top w:type="dxa" w:w="80"/>
              <w:left w:type="dxa" w:w="100"/>
              <w:bottom w:type="dxa" w:w="80"/>
              <w:right w:type="dxa" w:w="100"/>
            </w:tcMar>
          </w:tcPr>
          <w:p>
            <w:r>
              <w:rPr>
                <w:b/>
                <w:bCs/>
                <w:sz w:val="20"/>
                <w:szCs w:val="20"/>
              </w:rPr>
              <w:t xml:space="preserve">Band</w:t>
            </w:r>
          </w:p>
        </w:tc>
        <w:tc>
          <w:tcPr>
            <w:tcW w:type="dxa" w:w="6900"/>
            <w:shd w:fill="D9D9D9" w:val="clear"/>
            <w:tcMar>
              <w:top w:type="dxa" w:w="80"/>
              <w:left w:type="dxa" w:w="100"/>
              <w:bottom w:type="dxa" w:w="80"/>
              <w:right w:type="dxa" w:w="100"/>
            </w:tcMar>
          </w:tcPr>
          <w:p>
            <w:r>
              <w:rPr>
                <w:b/>
                <w:bCs/>
                <w:sz w:val="20"/>
                <w:szCs w:val="20"/>
              </w:rPr>
              <w:t xml:space="preserve">What changes</w:t>
            </w:r>
          </w:p>
        </w:tc>
      </w:tr>
      <w:tr>
        <w:tc>
          <w:tcPr>
            <w:tcW w:type="dxa" w:w="2600"/>
            <w:tcMar>
              <w:top w:type="dxa" w:w="80"/>
              <w:left w:type="dxa" w:w="100"/>
              <w:bottom w:type="dxa" w:w="80"/>
              <w:right w:type="dxa" w:w="100"/>
            </w:tcMar>
          </w:tcPr>
          <w:p>
            <w:r>
              <w:rPr>
                <w:b w:val="false"/>
                <w:bCs w:val="false"/>
                <w:sz w:val="20"/>
                <w:szCs w:val="20"/>
              </w:rPr>
              <w:t xml:space="preserve">Full (a full MS-core class section)</w:t>
            </w:r>
          </w:p>
        </w:tc>
        <w:tc>
          <w:tcPr>
            <w:tcW w:type="dxa" w:w="6900"/>
            <w:tcMar>
              <w:top w:type="dxa" w:w="80"/>
              <w:left w:type="dxa" w:w="100"/>
              <w:bottom w:type="dxa" w:w="80"/>
              <w:right w:type="dxa" w:w="100"/>
            </w:tcMar>
          </w:tcPr>
          <w:p>
            <w:r>
              <w:rPr>
                <w:b w:val="false"/>
                <w:bCs w:val="false"/>
                <w:sz w:val="20"/>
                <w:szCs w:val="20"/>
              </w:rPr>
              <w:t xml:space="preserve">the Socratic plan runs as written; both stand/sit votes are taken as a group.</w:t>
            </w:r>
          </w:p>
        </w:tc>
      </w:tr>
      <w:tr>
        <w:tc>
          <w:tcPr>
            <w:tcW w:type="dxa" w:w="2600"/>
            <w:tcMar>
              <w:top w:type="dxa" w:w="80"/>
              <w:left w:type="dxa" w:w="100"/>
              <w:bottom w:type="dxa" w:w="80"/>
              <w:right w:type="dxa" w:w="100"/>
            </w:tcMar>
          </w:tcPr>
          <w:p>
            <w:r>
              <w:rPr>
                <w:b w:val="false"/>
                <w:bCs w:val="false"/>
                <w:sz w:val="20"/>
                <w:szCs w:val="20"/>
              </w:rPr>
              <w:t xml:space="preserve">Compressed (roughly half)</w:t>
            </w:r>
          </w:p>
        </w:tc>
        <w:tc>
          <w:tcPr>
            <w:tcW w:type="dxa" w:w="6900"/>
            <w:tcMar>
              <w:top w:type="dxa" w:w="80"/>
              <w:left w:type="dxa" w:w="100"/>
              <w:bottom w:type="dxa" w:w="80"/>
              <w:right w:type="dxa" w:w="100"/>
            </w:tcMar>
          </w:tcPr>
          <w:p>
            <w:r>
              <w:rPr>
                <w:b w:val="false"/>
                <w:bCs w:val="false"/>
                <w:sz w:val="20"/>
                <w:szCs w:val="20"/>
              </w:rPr>
              <w:t xml:space="preserve">Anchors 2–3 combine into one pass; the deep-conflict thread runs as a single thread instead of three; total runtime shortens proportionally.</w:t>
            </w:r>
          </w:p>
        </w:tc>
      </w:tr>
      <w:tr>
        <w:tc>
          <w:tcPr>
            <w:tcW w:type="dxa" w:w="2600"/>
            <w:tcMar>
              <w:top w:type="dxa" w:w="80"/>
              <w:left w:type="dxa" w:w="100"/>
              <w:bottom w:type="dxa" w:w="80"/>
              <w:right w:type="dxa" w:w="100"/>
            </w:tcMar>
          </w:tcPr>
          <w:p>
            <w:r>
              <w:rPr>
                <w:b w:val="false"/>
                <w:bCs w:val="false"/>
                <w:sz w:val="20"/>
                <w:szCs w:val="20"/>
              </w:rPr>
              <w:t xml:space="preserve">1:1 / pair (1–2 learners)</w:t>
            </w:r>
          </w:p>
        </w:tc>
        <w:tc>
          <w:tcPr>
            <w:tcW w:type="dxa" w:w="6900"/>
            <w:tcMar>
              <w:top w:type="dxa" w:w="80"/>
              <w:left w:type="dxa" w:w="100"/>
              <w:bottom w:type="dxa" w:w="80"/>
              <w:right w:type="dxa" w:w="100"/>
            </w:tcMar>
          </w:tcPr>
          <w:p>
            <w:r>
              <w:rPr>
                <w:b w:val="false"/>
                <w:bCs w:val="false"/>
                <w:sz w:val="20"/>
                <w:szCs w:val="20"/>
              </w:rPr>
              <w:t xml:space="preserve">no vote to take — Anchor 1 becomes a stated initial position instead of a stand/sit count; the guide plays devil's advocate directly rather than cold-calling.</w:t>
            </w:r>
          </w:p>
        </w:tc>
      </w:tr>
    </w:tbl>
    <w:p>
      <w:pPr>
        <w:spacing w:before="160"/>
      </w:pPr>
      <w:r>
        <w:t xml:space="preserve"/>
      </w:r>
    </w:p>
    <w:p>
      <w:pPr>
        <w:pStyle w:val="Heading1"/>
        <w:spacing w:after="160" w:before="320"/>
      </w:pPr>
      <w:r>
        <w:t xml:space="preserve">Standards / Skills This Case Exercises</w:t>
      </w:r>
    </w:p>
    <w:p>
      <w:pPr>
        <w:pStyle w:val="ListParagraph"/>
        <w:numPr>
          <w:ilvl w:val="0"/>
          <w:numId w:val="3"/>
        </w:numPr>
        <w:spacing w:after="100"/>
      </w:pPr>
      <w:r>
        <w:t xml:space="preserve">Critical Point</w:t>
      </w:r>
    </w:p>
    <w:p>
      <w:pPr>
        <w:pStyle w:val="ListParagraph"/>
        <w:numPr>
          <w:ilvl w:val="0"/>
          <w:numId w:val="3"/>
        </w:numPr>
        <w:spacing w:after="100"/>
      </w:pPr>
      <w:r>
        <w:t xml:space="preserve">How to find critical points of a function</w:t>
      </w:r>
    </w:p>
    <w:p>
      <w:pPr>
        <w:pStyle w:val="ListParagraph"/>
        <w:numPr>
          <w:ilvl w:val="0"/>
          <w:numId w:val="3"/>
        </w:numPr>
        <w:spacing w:after="100"/>
      </w:pPr>
      <w:r>
        <w:t xml:space="preserve">How to use the first derivative test to classify a critical point</w:t>
      </w:r>
    </w:p>
    <w:p>
      <w:pPr>
        <w:pStyle w:val="ListParagraph"/>
        <w:numPr>
          <w:ilvl w:val="0"/>
          <w:numId w:val="3"/>
        </w:numPr>
        <w:spacing w:after="100"/>
      </w:pPr>
      <w:r>
        <w:t xml:space="preserve">How to solve an optimization problem using derivatives</w:t>
      </w:r>
    </w:p>
    <w:p>
      <w:pPr>
        <w:spacing w:after="160"/>
      </w:pPr>
      <w:r>
        <w:t xml:space="preserve">Name these explicitly in debrief — all four are reinforcement of prior coverage (The Curve's Turn, The Optimal Can), so this is a good moment to ask Heroes to compare this case's model to those two.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2026-08-31T19:04:34.850Z</dcterms:created>
  <dcterms:modified xsi:type="dcterms:W3CDTF">2026-08-31T19:04:34.851Z</dcterms:modified>
</cp:coreProperties>
</file>

<file path=docProps/custom.xml><?xml version="1.0" encoding="utf-8"?>
<Properties xmlns="http://schemas.openxmlformats.org/officeDocument/2006/custom-properties" xmlns:vt="http://schemas.openxmlformats.org/officeDocument/2006/docPropsVTypes"/>
</file>