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Skin Pack Atlas</w:t>
      </w:r>
    </w:p>
    <w:p>
      <w:pPr>
        <w:spacing w:after="300"/>
        <w:jc w:val="center"/>
      </w:pPr>
      <w:r>
        <w:rPr>
          <w:i/>
          <w:iCs/>
          <w:sz w:val="22"/>
          <w:szCs w:val="22"/>
        </w:rPr>
        <w:t xml:space="preserve">MS | Math | Case Study | 2026 | Adventure</w:t>
      </w:r>
    </w:p>
    <w:p>
      <w:pPr>
        <w:pStyle w:val="Heading1"/>
        <w:spacing w:after="160" w:before="300"/>
      </w:pPr>
      <w:r>
        <w:rPr>
          <w:b/>
          <w:bCs/>
        </w:rPr>
        <w:t xml:space="preserve">Overview</w:t>
      </w:r>
    </w:p>
    <w:p>
      <w:pPr>
        <w:spacing w:after="160"/>
      </w:pPr>
      <w:r>
        <w:t xml:space="preserve">The fan on Alicia Tran's laptop is loud enough to hear over the Discord call, and nobody has said anything for eleven seconds. On her second monitor sit two renders of the same character, side by side, wearing the same new skin. On the left, every scale on the tail is crisp enough to count. On the right, the same scales blur slightly the moment the camera zooms in — not broken, just softer, the kind of soft a player notices without being able to say why.</w:t>
      </w:r>
    </w:p>
    <w:p>
      <w:pPr>
        <w:spacing w:after="160"/>
      </w:pPr>
      <w:r>
        <w:t xml:space="preserve">Alicia is the only technical artist at Tanager Games, seven people total, and she is the one who has to explain — again — why a texture that looks perfect on her own phone can make a stranger's phone refuse to draw it at all. The community manager shares her screen too: support tickets from the last skin pack, sorted by country, most of them from India and Nigeria — Tanager's two fastest-growing markets, where, per current chipset-market data (SEE APPENDIX C), a large share of new phones still ship with budget-tier silicon rather than the flagship chips Alicia's own test device runs. “Players are saying their skins are just... gray,” she says. “Some are asking for refunds.”</w:t>
      </w:r>
    </w:p>
    <w:p>
      <w:pPr>
        <w:spacing w:after="160"/>
      </w:pPr>
      <w:r>
        <w:t xml:space="preserve">The build for tonight's release is sitting in two branches, one for each atlas, and Alicia has maybe twenty minutes before she has to pick one and merge it. She pulls up her spreadsheet of device data instead of picking by feel this time. Somewhere in these two columns of numbers is an answer that isn't just “which one looks better in a screenshot.”</w:t>
      </w:r>
    </w:p>
    <w:p>
      <w:pPr>
        <w:spacing w:after="160"/>
      </w:pPr>
      <w:r>
        <w:t xml:space="preserve">She opens both branches side by side, uncaps a marker for the whiteboard, and starts drawing a grid.</w:t>
      </w:r>
    </w:p>
    <w:p>
      <w:pPr>
        <w:pStyle w:val="Heading1"/>
        <w:spacing w:after="160" w:before="300"/>
      </w:pPr>
      <w:r>
        <w:rPr>
          <w:b/>
          <w:bCs/>
        </w:rPr>
        <w:t xml:space="preserve">Background</w:t>
      </w:r>
    </w:p>
    <w:p>
      <w:pPr>
        <w:spacing w:after="160"/>
      </w:pPr>
      <w:r>
        <w:t xml:space="preserve">Alicia Tran is the sole technical artist at Tanager Games, a seven-person indie studio that makes Molt, a collectible-creature idle RPG (SEE APPENDIX D). Molt's revenue comes almost entirely from character skin packs, and Alicia is responsible for the technical decision of how each pack's new art gets packed into the game before it ships — and accountable to the rest of the small team for making sure this week's pack does not silently break the game for players who already paid for it. Two packaging options are on the table for tonight's release, and only one can ship:</w:t>
      </w:r>
    </w:p>
    <w:p>
      <w:pPr>
        <w:spacing w:after="160"/>
      </w:pPr>
      <w:r>
        <w:rPr>
          <w:b/>
          <w:bCs/>
        </w:rPr>
        <w:t xml:space="preserve">The Crest Atlas</w:t>
      </w:r>
      <w:r>
        <w:t xml:space="preserve"> — pack the new character art into a single 8192×8192 texture atlas. This is the sharpest possible version of the new skins, and it is what Alicia's own flagship test device renders (SEE APPENDIX D).</w:t>
      </w:r>
    </w:p>
    <w:p>
      <w:pPr>
        <w:spacing w:after="160"/>
      </w:pPr>
      <w:r>
        <w:rPr>
          <w:b/>
          <w:bCs/>
        </w:rPr>
        <w:t xml:space="preserve">The Anchor Atlas</w:t>
      </w:r>
      <w:r>
        <w:t xml:space="preserve"> — pack the same art into a single 4096×4096 texture atlas instead. This requires compressing the source art harder to fit, which visibly softens fine detail like scale edges and fur, but every device Tanager has ever tested has been able to load a 4096×4096 texture without failure (SEE APPENDIX D).</w:t>
      </w:r>
    </w:p>
    <w:p>
      <w:pPr>
        <w:spacing w:after="160"/>
      </w:pPr>
      <w:r>
        <w:t xml:space="preserve">The failure mode that matters is not gradual: a mobile GPU either supports a texture at a given dimension or it does not. If a device's GPU cannot handle a texture at the atlas's dimension, that texture does not load — the character shows up untextured, or the game refuses to draw that screen at all. This is a hard pass/fail, tied to a real, published mobile-GPU texture-size capability ladder (SEE APPENDIX C), not a matter of the art simply looking a little worse on older phones.</w:t>
      </w:r>
    </w:p>
    <w:p>
      <w:pPr>
        <w:spacing w:after="160"/>
      </w:pPr>
      <w:r>
        <w:t xml:space="preserve">Tanager's two fastest-growing markets, by new installs, are India and Nigeria (SEE APPENDIX A). Both markets skew toward budget-tier Android hardware: in India, MediaTek — whose chips run ARM Mali-family GPUs rather than Qualcomm's Adreno — is the single largest smartphone chipset vendor, and in Nigeria more than half of all phones sold are one of three Transsion-made brands (Tecno, Infinix, Itel) built almost entirely on the same budget MediaTek/Unisoc silicon (SEE APPENDIX C). A real, current, peer-reviewed-track study of commercial mobile games found that GPU-related problems — specifically devices too old or low-tier to render what a game asks of them — account for close to a quarter of all the compatibility bugs those games' own developers had to fix (SEE APPENDIX C). A metric that only counts devices running budget silicon, though, is not the whole picture: not every install is worth the same to the studio, because heavier-spending players tend to cluster on newer, higher-tier devices. Tanager's own analytics dashboard reports total monthly skin-pack revenue by country, but does not break that revenue out by device tier — a real limitation many small studios operate under. Alicia has to reconstruct that missing breakdown herself, using India and Nigeria's known device-tier composition and each market's known total revenue as a system of two linear equations (SEE APPENDICES A AND B), built on top of a small set of disclosed modeling assumptions and proxies where Tanager's own real business data does not exist to source (SEE APPENDIX E).</w:t>
      </w:r>
    </w:p>
    <w:p>
      <w:pPr>
        <w:spacing w:after="160"/>
      </w:pPr>
      <w:r>
        <w:t xml:space="preserve">Alicia's recommendation must be judged on one number: the revenue-weighted percent of Tanager's active install base that can render the chosen atlas without a texture load failure, found by building a 2×2 system of linear equations from Appendices A and C and solving it using matrix algebra (SEE APPENDICES A, B, C AND D). Every sourced and assumed figure in this case is listed in APPENDIX F, and the vocabulary and “how to…” skills this case will ask of you are listed in APPENDIX G — that is where Challenge 1 sends you.</w:t>
      </w:r>
    </w:p>
    <w:p>
      <w:pPr>
        <w:pStyle w:val="Heading1"/>
        <w:spacing w:after="160" w:before="300"/>
      </w:pPr>
      <w:r>
        <w:rPr>
          <w:b/>
          <w:bCs/>
        </w:rPr>
        <w:t xml:space="preserve">Dilemma</w:t>
      </w:r>
    </w:p>
    <w:p>
      <w:pPr>
        <w:spacing w:after="160"/>
        <w:rPr>
          <w:b/>
          <w:bCs/>
        </w:rPr>
      </w:pPr>
      <w:r>
        <w:rPr>
          <w:b/>
          <w:bCs/>
        </w:rPr>
        <w:t xml:space="preserve">You are Alicia Tran.</w:t>
      </w:r>
    </w:p>
    <w:p>
      <w:pPr>
        <w:spacing w:after="160"/>
      </w:pPr>
      <w:r>
        <w:t xml:space="preserve">Do you:</w:t>
      </w:r>
    </w:p>
    <w:p>
      <w:pPr>
        <w:spacing w:after="160"/>
      </w:pPr>
      <w:r>
        <w:t xml:space="preserve">A.) Ship tonight's skin pack packed into an 8192×8192 texture atlas — The Crest Atlas OR</w:t>
      </w:r>
    </w:p>
    <w:p>
      <w:pPr>
        <w:spacing w:after="160"/>
      </w:pPr>
      <w:r>
        <w:t xml:space="preserve">B.) Ship tonight's skin pack packed into a 4096×4096 texture atlas — The Anchor Atlas</w:t>
      </w:r>
    </w:p>
    <w:p>
      <w:pPr>
        <w:pStyle w:val="Heading1"/>
        <w:spacing w:after="160" w:before="300"/>
      </w:pPr>
      <w:r>
        <w:rPr>
          <w:b/>
          <w:bCs/>
        </w:rP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pStyle w:val="ListParagraph"/>
        <w:numPr>
          <w:ilvl w:val="0"/>
          <w:numId w:val="2"/>
        </w:numPr>
        <w:spacing w:after="80"/>
      </w:pPr>
      <w:r>
        <w:t xml:space="preserve">a.) Use of the “how to…” resource you researched in Challenge 1.</w:t>
      </w:r>
    </w:p>
    <w:p>
      <w:pPr>
        <w:pStyle w:val="ListParagraph"/>
        <w:numPr>
          <w:ilvl w:val="0"/>
          <w:numId w:val="2"/>
        </w:numPr>
        <w:spacing w:after="80"/>
      </w:pPr>
      <w:r>
        <w:t xml:space="preserve">b.) At least one original visual display of the data.</w:t>
      </w:r>
    </w:p>
    <w:p>
      <w:pPr>
        <w:spacing w:after="160"/>
      </w:pPr>
      <w:r>
        <w:t xml:space="preserve">3.) Your pitch must include:</w:t>
      </w:r>
    </w:p>
    <w:p>
      <w:pPr>
        <w:pStyle w:val="ListParagraph"/>
        <w:numPr>
          <w:ilvl w:val="0"/>
          <w:numId w:val="2"/>
        </w:numPr>
        <w:spacing w:after="80"/>
      </w:pPr>
      <w:r>
        <w:t xml:space="preserve">D1. A labeled 2×2 install-base matrix M (SEE APPENDIX B): rows are Tanager's two named growth markets, columns are the two device tiers, every entry defined in words, with the matrix's dimensions stated.</w:t>
      </w:r>
    </w:p>
    <w:p>
      <w:pPr>
        <w:pStyle w:val="ListParagraph"/>
        <w:numPr>
          <w:ilvl w:val="0"/>
          <w:numId w:val="2"/>
        </w:numPr>
        <w:spacing w:after="80"/>
      </w:pPr>
      <w:r>
        <w:t xml:space="preserve">D2. The identity matrix I and the computed inverse matrix M⁻¹, with a verification step showing the full arithmetic of M · M⁻¹ entry by entry, confirming it equals I — not just asserting that it does.</w:t>
      </w:r>
    </w:p>
    <w:p>
      <w:pPr>
        <w:pStyle w:val="ListParagraph"/>
        <w:numPr>
          <w:ilvl w:val="0"/>
          <w:numId w:val="2"/>
        </w:numPr>
        <w:spacing w:after="80"/>
      </w:pPr>
      <w:r>
        <w:t xml:space="preserve">D3. The determinant of M, computed by hand using the 2×2 determinant formula, with a one-sentence explanation of why a nonzero determinant is required before M can be inverted at all.</w:t>
      </w:r>
    </w:p>
    <w:p>
      <w:pPr>
        <w:pStyle w:val="ListParagraph"/>
        <w:numPr>
          <w:ilvl w:val="0"/>
          <w:numId w:val="2"/>
        </w:numPr>
        <w:spacing w:after="80"/>
      </w:pPr>
      <w:r>
        <w:t xml:space="preserve">D4. The solved revenue-per-active-install vector r = M⁻¹v for the reported total-revenue vector v (SEE APPENDIX A), showing the full matrix arithmetic used to solve the system — not just the final numbers.</w:t>
      </w:r>
    </w:p>
    <w:p>
      <w:pPr>
        <w:pStyle w:val="ListParagraph"/>
        <w:numPr>
          <w:ilvl w:val="0"/>
          <w:numId w:val="2"/>
        </w:numPr>
        <w:spacing w:after="80"/>
      </w:pPr>
      <w:r>
        <w:t xml:space="preserve">D5. A final decision table (SEE APPENDICES C AND D): for the Crest Atlas and the Anchor Atlas, the device-count percent of the install base that renders successfully, the revenue-weighted percent that renders successfully (using D4's per-tier revenue rates), and your recommendation stated and defended using that last column.</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If you are absent the day of a discussion post 500 “excellent” words on the questions above.</w:t>
      </w:r>
    </w:p>
    <w:p>
      <w:pPr>
        <w:pStyle w:val="Heading1"/>
        <w:spacing w:after="160" w:before="300"/>
      </w:pPr>
      <w:r>
        <w:rPr>
          <w:b/>
          <w:bCs/>
        </w:rPr>
        <w:t xml:space="preserve">Appendix A — Growth-Market Revenue and Install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r>
              <w:rPr>
                <w:b/>
                <w:bCs/>
                <w:sz w:val="19"/>
                <w:szCs w:val="19"/>
              </w:rPr>
              <w:t xml:space="preserve"/>
            </w:r>
          </w:p>
        </w:tc>
        <w:tc>
          <w:tcPr>
            <w:tcW w:type="dxa" w:w="3120"/>
            <w:shd w:fill="D9E2F3" w:val="clear"/>
            <w:tcMar>
              <w:top w:type="dxa" w:w="60"/>
              <w:left w:type="dxa" w:w="100"/>
              <w:bottom w:type="dxa" w:w="60"/>
              <w:right w:type="dxa" w:w="100"/>
            </w:tcMar>
          </w:tcPr>
          <w:p>
            <w:r>
              <w:rPr>
                <w:b/>
                <w:bCs/>
                <w:sz w:val="19"/>
                <w:szCs w:val="19"/>
              </w:rPr>
              <w:t xml:space="preserve">India</w:t>
            </w:r>
          </w:p>
        </w:tc>
        <w:tc>
          <w:tcPr>
            <w:tcW w:type="dxa" w:w="3120"/>
            <w:shd w:fill="D9E2F3" w:val="clear"/>
            <w:tcMar>
              <w:top w:type="dxa" w:w="60"/>
              <w:left w:type="dxa" w:w="100"/>
              <w:bottom w:type="dxa" w:w="60"/>
              <w:right w:type="dxa" w:w="100"/>
            </w:tcMar>
          </w:tcPr>
          <w:p>
            <w:r>
              <w:rPr>
                <w:b/>
                <w:bCs/>
                <w:sz w:val="19"/>
                <w:szCs w:val="19"/>
              </w:rPr>
              <w:t xml:space="preserve">Nigeria</w:t>
            </w:r>
          </w:p>
        </w:tc>
      </w:tr>
      <w:tr>
        <w:tc>
          <w:tcPr>
            <w:tcW w:type="dxa" w:w="3120"/>
            <w:tcMar>
              <w:top w:type="dxa" w:w="60"/>
              <w:left w:type="dxa" w:w="100"/>
              <w:bottom w:type="dxa" w:w="60"/>
              <w:right w:type="dxa" w:w="100"/>
            </w:tcMar>
          </w:tcPr>
          <w:p>
            <w:r>
              <w:rPr>
                <w:b w:val="false"/>
                <w:bCs w:val="false"/>
                <w:sz w:val="19"/>
                <w:szCs w:val="19"/>
              </w:rPr>
              <w:t xml:space="preserve">Tanager's reported active installs, this market, most recent month</w:t>
            </w:r>
          </w:p>
        </w:tc>
        <w:tc>
          <w:tcPr>
            <w:tcW w:type="dxa" w:w="3120"/>
            <w:tcMar>
              <w:top w:type="dxa" w:w="60"/>
              <w:left w:type="dxa" w:w="100"/>
              <w:bottom w:type="dxa" w:w="60"/>
              <w:right w:type="dxa" w:w="100"/>
            </w:tcMar>
          </w:tcPr>
          <w:p>
            <w:r>
              <w:rPr>
                <w:b w:val="false"/>
                <w:bCs w:val="false"/>
                <w:sz w:val="19"/>
                <w:szCs w:val="19"/>
              </w:rPr>
              <w:t xml:space="preserve">40,000 [MA1]</w:t>
            </w:r>
          </w:p>
        </w:tc>
        <w:tc>
          <w:tcPr>
            <w:tcW w:type="dxa" w:w="3120"/>
            <w:tcMar>
              <w:top w:type="dxa" w:w="60"/>
              <w:left w:type="dxa" w:w="100"/>
              <w:bottom w:type="dxa" w:w="60"/>
              <w:right w:type="dxa" w:w="100"/>
            </w:tcMar>
          </w:tcPr>
          <w:p>
            <w:r>
              <w:rPr>
                <w:b w:val="false"/>
                <w:bCs w:val="false"/>
                <w:sz w:val="19"/>
                <w:szCs w:val="19"/>
              </w:rPr>
              <w:t xml:space="preserve">20,000 [MA1]</w:t>
            </w:r>
          </w:p>
        </w:tc>
      </w:tr>
      <w:tr>
        <w:tc>
          <w:tcPr>
            <w:tcW w:type="dxa" w:w="3120"/>
            <w:tcMar>
              <w:top w:type="dxa" w:w="60"/>
              <w:left w:type="dxa" w:w="100"/>
              <w:bottom w:type="dxa" w:w="60"/>
              <w:right w:type="dxa" w:w="100"/>
            </w:tcMar>
          </w:tcPr>
          <w:p>
            <w:r>
              <w:rPr>
                <w:b w:val="false"/>
                <w:bCs w:val="false"/>
                <w:sz w:val="19"/>
                <w:szCs w:val="19"/>
              </w:rPr>
              <w:t xml:space="preserve">Share of this market's installs on a Value-tier GPU (SEE APPENDIX C)</w:t>
            </w:r>
          </w:p>
        </w:tc>
        <w:tc>
          <w:tcPr>
            <w:tcW w:type="dxa" w:w="3120"/>
            <w:tcMar>
              <w:top w:type="dxa" w:w="60"/>
              <w:left w:type="dxa" w:w="100"/>
              <w:bottom w:type="dxa" w:w="60"/>
              <w:right w:type="dxa" w:w="100"/>
            </w:tcMar>
          </w:tcPr>
          <w:p>
            <w:r>
              <w:rPr>
                <w:b w:val="false"/>
                <w:bCs w:val="false"/>
                <w:sz w:val="19"/>
                <w:szCs w:val="19"/>
              </w:rPr>
              <w:t xml:space="preserve">47% [S1']</w:t>
            </w:r>
          </w:p>
        </w:tc>
        <w:tc>
          <w:tcPr>
            <w:tcW w:type="dxa" w:w="3120"/>
            <w:tcMar>
              <w:top w:type="dxa" w:w="60"/>
              <w:left w:type="dxa" w:w="100"/>
              <w:bottom w:type="dxa" w:w="60"/>
              <w:right w:type="dxa" w:w="100"/>
            </w:tcMar>
          </w:tcPr>
          <w:p>
            <w:r>
              <w:rPr>
                <w:b w:val="false"/>
                <w:bCs w:val="false"/>
                <w:sz w:val="19"/>
                <w:szCs w:val="19"/>
              </w:rPr>
              <w:t xml:space="preserve">50.7% [S2']</w:t>
            </w:r>
          </w:p>
        </w:tc>
      </w:tr>
      <w:tr>
        <w:tc>
          <w:tcPr>
            <w:tcW w:type="dxa" w:w="3120"/>
            <w:tcMar>
              <w:top w:type="dxa" w:w="60"/>
              <w:left w:type="dxa" w:w="100"/>
              <w:bottom w:type="dxa" w:w="60"/>
              <w:right w:type="dxa" w:w="100"/>
            </w:tcMar>
          </w:tcPr>
          <w:p>
            <w:r>
              <w:rPr>
                <w:b w:val="false"/>
                <w:bCs w:val="false"/>
                <w:sz w:val="19"/>
                <w:szCs w:val="19"/>
              </w:rPr>
              <w:t xml:space="preserve">Share of this market's installs on a Flagship-tier GPU (SEE APPENDIX C)</w:t>
            </w:r>
          </w:p>
        </w:tc>
        <w:tc>
          <w:tcPr>
            <w:tcW w:type="dxa" w:w="3120"/>
            <w:tcMar>
              <w:top w:type="dxa" w:w="60"/>
              <w:left w:type="dxa" w:w="100"/>
              <w:bottom w:type="dxa" w:w="60"/>
              <w:right w:type="dxa" w:w="100"/>
            </w:tcMar>
          </w:tcPr>
          <w:p>
            <w:r>
              <w:rPr>
                <w:b w:val="false"/>
                <w:bCs w:val="false"/>
                <w:sz w:val="19"/>
                <w:szCs w:val="19"/>
              </w:rPr>
              <w:t xml:space="preserve">53% [S1']</w:t>
            </w:r>
          </w:p>
        </w:tc>
        <w:tc>
          <w:tcPr>
            <w:tcW w:type="dxa" w:w="3120"/>
            <w:tcMar>
              <w:top w:type="dxa" w:w="60"/>
              <w:left w:type="dxa" w:w="100"/>
              <w:bottom w:type="dxa" w:w="60"/>
              <w:right w:type="dxa" w:w="100"/>
            </w:tcMar>
          </w:tcPr>
          <w:p>
            <w:r>
              <w:rPr>
                <w:b w:val="false"/>
                <w:bCs w:val="false"/>
                <w:sz w:val="19"/>
                <w:szCs w:val="19"/>
              </w:rPr>
              <w:t xml:space="preserve">49.3% [S2']</w:t>
            </w:r>
          </w:p>
        </w:tc>
      </w:tr>
      <w:tr>
        <w:tc>
          <w:tcPr>
            <w:tcW w:type="dxa" w:w="3120"/>
            <w:tcMar>
              <w:top w:type="dxa" w:w="60"/>
              <w:left w:type="dxa" w:w="100"/>
              <w:bottom w:type="dxa" w:w="60"/>
              <w:right w:type="dxa" w:w="100"/>
            </w:tcMar>
          </w:tcPr>
          <w:p>
            <w:r>
              <w:rPr>
                <w:b w:val="false"/>
                <w:bCs w:val="false"/>
                <w:sz w:val="19"/>
                <w:szCs w:val="19"/>
              </w:rPr>
              <w:t xml:space="preserve">Tanager's reported total skin-pack revenue, this market, most recent month (USD)</w:t>
            </w:r>
          </w:p>
        </w:tc>
        <w:tc>
          <w:tcPr>
            <w:tcW w:type="dxa" w:w="3120"/>
            <w:tcMar>
              <w:top w:type="dxa" w:w="60"/>
              <w:left w:type="dxa" w:w="100"/>
              <w:bottom w:type="dxa" w:w="60"/>
              <w:right w:type="dxa" w:w="100"/>
            </w:tcMar>
          </w:tcPr>
          <w:p>
            <w:r>
              <w:rPr>
                <w:b w:val="false"/>
                <w:bCs w:val="false"/>
                <w:sz w:val="19"/>
                <w:szCs w:val="19"/>
              </w:rPr>
              <w:t xml:space="preserve">$19,780 [MA1]</w:t>
            </w:r>
          </w:p>
        </w:tc>
        <w:tc>
          <w:tcPr>
            <w:tcW w:type="dxa" w:w="3120"/>
            <w:tcMar>
              <w:top w:type="dxa" w:w="60"/>
              <w:left w:type="dxa" w:w="100"/>
              <w:bottom w:type="dxa" w:w="60"/>
              <w:right w:type="dxa" w:w="100"/>
            </w:tcMar>
          </w:tcPr>
          <w:p>
            <w:r>
              <w:rPr>
                <w:b w:val="false"/>
                <w:bCs w:val="false"/>
                <w:sz w:val="19"/>
                <w:szCs w:val="19"/>
              </w:rPr>
              <w:t xml:space="preserve">$9,409 [MA1]</w:t>
            </w:r>
          </w:p>
        </w:tc>
      </w:tr>
    </w:tbl>
    <w:p>
      <w:pPr>
        <w:spacing w:after="160"/>
      </w:pPr>
      <w:r>
        <w:t xml:space="preserve"/>
      </w:r>
    </w:p>
    <w:p>
      <w:pPr>
        <w:spacing w:after="160"/>
      </w:pPr>
      <w:r>
        <w:t xml:space="preserve">India and Nigeria are Tanager's two fastest-growing markets by new installs this year (SEE APPENDIX E, MA1). Tanager Games and Molt are both fictional; the studio's own install and revenue figures above are disclosed as stated business assumptions (MA1), built on top of the real, cited regional chipset-vendor-share figures in Appendix C (SEE APPENDIX E). India's Value-tier share is MediaTek's current chipset market share (the complement, 53%, is everyone else — Qualcomm, Unisoc, Samsung); Nigeria's Value-tier share is the combined current market share of the three Transsion-made brands (Tecno, Infinix, Itel), whose phones run the same budget MediaTek/Unisoc chipset families (SEE APPENDIX C, MA3).</w:t>
      </w:r>
    </w:p>
    <w:p>
      <w:pPr>
        <w:pStyle w:val="Heading1"/>
        <w:spacing w:after="160" w:before="300"/>
      </w:pPr>
      <w:r>
        <w:rPr>
          <w:b/>
          <w:bCs/>
        </w:rPr>
        <w:t xml:space="preserve">Appendix B — The Install-Base Matrix M</w:t>
      </w:r>
    </w:p>
    <w:p>
      <w:pPr>
        <w:spacing w:after="160"/>
      </w:pPr>
      <w:r>
        <w:t xml:space="preserve">Alicia's model treats each of Tanager's two growth markets as a row and each of two device tiers as a column:</w:t>
      </w:r>
    </w:p>
    <w:p>
      <w:pPr>
        <w:pStyle w:val="ListParagraph"/>
        <w:numPr>
          <w:ilvl w:val="0"/>
          <w:numId w:val="2"/>
        </w:numPr>
        <w:spacing w:after="80"/>
      </w:pPr>
      <w:r>
        <w:t xml:space="preserve">Column 1 — Flagship-tier: GPUs capable of rendering an 8192×8192 texture without failure.</w:t>
      </w:r>
    </w:p>
    <w:p>
      <w:pPr>
        <w:pStyle w:val="ListParagraph"/>
        <w:numPr>
          <w:ilvl w:val="0"/>
          <w:numId w:val="2"/>
        </w:numPr>
        <w:spacing w:after="80"/>
      </w:pPr>
      <w:r>
        <w:t xml:space="preserve">Column 2 — Value-tier: GPUs found in budget-oriented chipsets (MediaTek in India; Transsion-brand devices — Tecno, Infinix, Itel — in Nigeria, predominantly MediaTek/Unisoc chipsets), used here as the best available current, region-specific proxy for devices at meaningful risk of a texture-size failure at 8192×8192 (SEE APPENDIX C, MA3).</w:t>
      </w:r>
    </w:p>
    <w:p>
      <w:pPr>
        <w:spacing w:after="160"/>
        <w:rPr>
          <w:rFonts w:ascii="Consolas" w:cs="Consolas" w:eastAsia="Consolas" w:hAnsi="Consolas"/>
        </w:rPr>
      </w:pPr>
      <w:r>
        <w:rPr>
          <w:rFonts w:ascii="Consolas" w:cs="Consolas" w:eastAsia="Consolas" w:hAnsi="Consolas"/>
        </w:rPr>
        <w:t xml:space="preserve">M = [ India, Flagship-tier installs    India, Value-tier installs ]</w:t>
      </w:r>
    </w:p>
    <w:p>
      <w:pPr>
        <w:spacing w:after="160"/>
        <w:rPr>
          <w:rFonts w:ascii="Consolas" w:cs="Consolas" w:eastAsia="Consolas" w:hAnsi="Consolas"/>
        </w:rPr>
      </w:pPr>
      <w:r>
        <w:rPr>
          <w:rFonts w:ascii="Consolas" w:cs="Consolas" w:eastAsia="Consolas" w:hAnsi="Consolas"/>
        </w:rPr>
        <w:t xml:space="preserve">    [ Nigeria, Flagship-tier installs   Nigeria, Value-tier installs ]</w:t>
      </w:r>
    </w:p>
    <w:p>
      <w:pPr>
        <w:spacing w:after="160"/>
      </w:pPr>
      <w:r>
        <w:t xml:space="preserve">M is a 2×2 matrix — 2 rows (markets) by 2 columns (device tiers) — once every entry is filled in. Its exact numeric entries are:</w:t>
      </w:r>
    </w:p>
    <w:p>
      <w:pPr>
        <w:spacing w:after="160"/>
        <w:rPr>
          <w:rFonts w:ascii="Consolas" w:cs="Consolas" w:eastAsia="Consolas" w:hAnsi="Consolas"/>
        </w:rPr>
      </w:pPr>
      <w:r>
        <w:rPr>
          <w:rFonts w:ascii="Consolas" w:cs="Consolas" w:eastAsia="Consolas" w:hAnsi="Consolas"/>
        </w:rPr>
        <w:t xml:space="preserve">M = [ 40,000 × 0.53   40,000 × 0.47 ] = [ 21,200   18,800 ]</w:t>
      </w:r>
    </w:p>
    <w:p>
      <w:pPr>
        <w:spacing w:after="160"/>
        <w:rPr>
          <w:rFonts w:ascii="Consolas" w:cs="Consolas" w:eastAsia="Consolas" w:hAnsi="Consolas"/>
        </w:rPr>
      </w:pPr>
      <w:r>
        <w:rPr>
          <w:rFonts w:ascii="Consolas" w:cs="Consolas" w:eastAsia="Consolas" w:hAnsi="Consolas"/>
        </w:rPr>
        <w:t xml:space="preserve">    [ 20,000 × 0.493  20,000 × 0.507 ]   [  9,860   10,140 ]</w:t>
      </w:r>
    </w:p>
    <w:p>
      <w:pPr>
        <w:spacing w:after="160"/>
      </w:pPr>
      <w:r>
        <w:t xml:space="preserve">(India, Nigeria installs and shares from Appendix A [MA1, S1', S2'].)</w:t>
      </w:r>
    </w:p>
    <w:p>
      <w:pPr>
        <w:pStyle w:val="Heading1"/>
        <w:spacing w:after="160" w:before="300"/>
      </w:pPr>
      <w:r>
        <w:rPr>
          <w:b/>
          <w:bCs/>
        </w:rPr>
        <w:t xml:space="preserve">Appendix C — Real GPU Hardware and Texture-Cap Reference Data</w:t>
      </w:r>
    </w:p>
    <w:p>
      <w:pPr>
        <w:spacing w:after="160"/>
      </w:pPr>
      <w:r>
        <w:t xml:space="preserve">This appendix is real, published hardware data, reproduced here so the device-tier split in Appendices A and B can be checked against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r>
              <w:rPr>
                <w:b/>
                <w:bCs/>
                <w:sz w:val="19"/>
                <w:szCs w:val="19"/>
              </w:rPr>
              <w:t xml:space="preserve">Claim</w:t>
            </w:r>
          </w:p>
        </w:tc>
        <w:tc>
          <w:tcPr>
            <w:tcW w:type="dxa" w:w="3120"/>
            <w:shd w:fill="D9E2F3" w:val="clear"/>
            <w:tcMar>
              <w:top w:type="dxa" w:w="60"/>
              <w:left w:type="dxa" w:w="100"/>
              <w:bottom w:type="dxa" w:w="60"/>
              <w:right w:type="dxa" w:w="100"/>
            </w:tcMar>
          </w:tcPr>
          <w:p>
            <w:r>
              <w:rPr>
                <w:b/>
                <w:bCs/>
                <w:sz w:val="19"/>
                <w:szCs w:val="19"/>
              </w:rPr>
              <w:t xml:space="preserve">Value</w:t>
            </w:r>
          </w:p>
        </w:tc>
        <w:tc>
          <w:tcPr>
            <w:tcW w:type="dxa" w:w="3120"/>
            <w:shd w:fill="D9E2F3" w:val="clear"/>
            <w:tcMar>
              <w:top w:type="dxa" w:w="60"/>
              <w:left w:type="dxa" w:w="100"/>
              <w:bottom w:type="dxa" w:w="60"/>
              <w:right w:type="dxa" w:w="100"/>
            </w:tcMar>
          </w:tcPr>
          <w:p>
            <w:r>
              <w:rPr>
                <w:b/>
                <w:bCs/>
                <w:sz w:val="19"/>
                <w:szCs w:val="19"/>
              </w:rPr>
              <w:t xml:space="preserve">Source</w:t>
            </w:r>
          </w:p>
        </w:tc>
      </w:tr>
      <w:tr>
        <w:tc>
          <w:tcPr>
            <w:tcW w:type="dxa" w:w="3120"/>
            <w:tcMar>
              <w:top w:type="dxa" w:w="60"/>
              <w:left w:type="dxa" w:w="100"/>
              <w:bottom w:type="dxa" w:w="60"/>
              <w:right w:type="dxa" w:w="100"/>
            </w:tcMar>
          </w:tcPr>
          <w:p>
            <w:r>
              <w:rPr>
                <w:b w:val="false"/>
                <w:bCs w:val="false"/>
                <w:sz w:val="19"/>
                <w:szCs w:val="19"/>
              </w:rPr>
              <w:t xml:space="preserve">Current (2025) smartphone chipset market share, India</w:t>
            </w:r>
          </w:p>
        </w:tc>
        <w:tc>
          <w:tcPr>
            <w:tcW w:type="dxa" w:w="3120"/>
            <w:tcMar>
              <w:top w:type="dxa" w:w="60"/>
              <w:left w:type="dxa" w:w="100"/>
              <w:bottom w:type="dxa" w:w="60"/>
              <w:right w:type="dxa" w:w="100"/>
            </w:tcMar>
          </w:tcPr>
          <w:p>
            <w:r>
              <w:rPr>
                <w:b w:val="false"/>
                <w:bCs w:val="false"/>
                <w:sz w:val="19"/>
                <w:szCs w:val="19"/>
              </w:rPr>
              <w:t xml:space="preserve">MediaTek 47%, Qualcomm 31%, other (Unisoc/Samsung) 22% [S1']</w:t>
            </w:r>
          </w:p>
        </w:tc>
        <w:tc>
          <w:tcPr>
            <w:tcW w:type="dxa" w:w="3120"/>
            <w:tcMar>
              <w:top w:type="dxa" w:w="60"/>
              <w:left w:type="dxa" w:w="100"/>
              <w:bottom w:type="dxa" w:w="60"/>
              <w:right w:type="dxa" w:w="100"/>
            </w:tcMar>
          </w:tcPr>
          <w:p>
            <w:r>
              <w:rPr>
                <w:b w:val="false"/>
                <w:bCs w:val="false"/>
                <w:sz w:val="19"/>
                <w:szCs w:val="19"/>
              </w:rPr>
              <w:t xml:space="preserve">Counterpoint Research, “India Smartphone Market Q2 2025”</w:t>
            </w:r>
          </w:p>
        </w:tc>
      </w:tr>
      <w:tr>
        <w:tc>
          <w:tcPr>
            <w:tcW w:type="dxa" w:w="3120"/>
            <w:tcMar>
              <w:top w:type="dxa" w:w="60"/>
              <w:left w:type="dxa" w:w="100"/>
              <w:bottom w:type="dxa" w:w="60"/>
              <w:right w:type="dxa" w:w="100"/>
            </w:tcMar>
          </w:tcPr>
          <w:p>
            <w:r>
              <w:rPr>
                <w:b w:val="false"/>
                <w:bCs w:val="false"/>
                <w:sz w:val="19"/>
                <w:szCs w:val="19"/>
              </w:rPr>
              <w:t xml:space="preserve">Current (2025) smartphone brand market share, Nigeria</w:t>
            </w:r>
          </w:p>
        </w:tc>
        <w:tc>
          <w:tcPr>
            <w:tcW w:type="dxa" w:w="3120"/>
            <w:tcMar>
              <w:top w:type="dxa" w:w="60"/>
              <w:left w:type="dxa" w:w="100"/>
              <w:bottom w:type="dxa" w:w="60"/>
              <w:right w:type="dxa" w:w="100"/>
            </w:tcMar>
          </w:tcPr>
          <w:p>
            <w:r>
              <w:rPr>
                <w:b w:val="false"/>
                <w:bCs w:val="false"/>
                <w:sz w:val="19"/>
                <w:szCs w:val="19"/>
              </w:rPr>
              <w:t xml:space="preserve">Tecno 23.55%, Infinix 21.73%, Itel 5.41% (Transsion combined 50.69%); Samsung 12.36%, Apple 9.43%, Xiaomi 7.15%, Huawei 4.34%, Oppo 3.59%, Vivo 1.46% [S2']</w:t>
            </w:r>
          </w:p>
        </w:tc>
        <w:tc>
          <w:tcPr>
            <w:tcW w:type="dxa" w:w="3120"/>
            <w:tcMar>
              <w:top w:type="dxa" w:w="60"/>
              <w:left w:type="dxa" w:w="100"/>
              <w:bottom w:type="dxa" w:w="60"/>
              <w:right w:type="dxa" w:w="100"/>
            </w:tcMar>
          </w:tcPr>
          <w:p>
            <w:r>
              <w:rPr>
                <w:b w:val="false"/>
                <w:bCs w:val="false"/>
                <w:sz w:val="19"/>
                <w:szCs w:val="19"/>
              </w:rPr>
              <w:t xml:space="preserve">Statcounter Global Stats, via Intelpoint republication</w:t>
            </w:r>
          </w:p>
        </w:tc>
      </w:tr>
      <w:tr>
        <w:tc>
          <w:tcPr>
            <w:tcW w:type="dxa" w:w="3120"/>
            <w:tcMar>
              <w:top w:type="dxa" w:w="60"/>
              <w:left w:type="dxa" w:w="100"/>
              <w:bottom w:type="dxa" w:w="60"/>
              <w:right w:type="dxa" w:w="100"/>
            </w:tcMar>
          </w:tcPr>
          <w:p>
            <w:r>
              <w:rPr>
                <w:b w:val="false"/>
                <w:bCs w:val="false"/>
                <w:sz w:val="19"/>
                <w:szCs w:val="19"/>
              </w:rPr>
              <w:t xml:space="preserve">Which GPU family each named chipset vendor's silicon uses</w:t>
            </w:r>
          </w:p>
        </w:tc>
        <w:tc>
          <w:tcPr>
            <w:tcW w:type="dxa" w:w="3120"/>
            <w:tcMar>
              <w:top w:type="dxa" w:w="60"/>
              <w:left w:type="dxa" w:w="100"/>
              <w:bottom w:type="dxa" w:w="60"/>
              <w:right w:type="dxa" w:w="100"/>
            </w:tcMar>
          </w:tcPr>
          <w:p>
            <w:r>
              <w:rPr>
                <w:b w:val="false"/>
                <w:bCs w:val="false"/>
                <w:sz w:val="19"/>
                <w:szCs w:val="19"/>
              </w:rPr>
              <w:t xml:space="preserve">MediaTek and Unisoc chips run ARM Mali-family GPUs; Qualcomm chips run Adreno GPUs [S1', S2']</w:t>
            </w:r>
          </w:p>
        </w:tc>
        <w:tc>
          <w:tcPr>
            <w:tcW w:type="dxa" w:w="3120"/>
            <w:tcMar>
              <w:top w:type="dxa" w:w="60"/>
              <w:left w:type="dxa" w:w="100"/>
              <w:bottom w:type="dxa" w:w="60"/>
              <w:right w:type="dxa" w:w="100"/>
            </w:tcMar>
          </w:tcPr>
          <w:p>
            <w:r>
              <w:rPr>
                <w:b w:val="false"/>
                <w:bCs w:val="false"/>
                <w:sz w:val="19"/>
                <w:szCs w:val="19"/>
              </w:rPr>
              <w:t xml:space="preserve">ARM Mali product pages; public device spec sheets</w:t>
            </w:r>
          </w:p>
        </w:tc>
      </w:tr>
      <w:tr>
        <w:tc>
          <w:tcPr>
            <w:tcW w:type="dxa" w:w="3120"/>
            <w:tcMar>
              <w:top w:type="dxa" w:w="60"/>
              <w:left w:type="dxa" w:w="100"/>
              <w:bottom w:type="dxa" w:w="60"/>
              <w:right w:type="dxa" w:w="100"/>
            </w:tcMar>
          </w:tcPr>
          <w:p>
            <w:r>
              <w:rPr>
                <w:b w:val="false"/>
                <w:bCs w:val="false"/>
                <w:sz w:val="19"/>
                <w:szCs w:val="19"/>
              </w:rPr>
              <w:t xml:space="preserve">Share of studied mobile-game compatibility bugs that are GPU-related</w:t>
            </w:r>
          </w:p>
        </w:tc>
        <w:tc>
          <w:tcPr>
            <w:tcW w:type="dxa" w:w="3120"/>
            <w:tcMar>
              <w:top w:type="dxa" w:w="60"/>
              <w:left w:type="dxa" w:w="100"/>
              <w:bottom w:type="dxa" w:w="60"/>
              <w:right w:type="dxa" w:w="100"/>
            </w:tcMar>
          </w:tcPr>
          <w:p>
            <w:r>
              <w:rPr>
                <w:b w:val="false"/>
                <w:bCs w:val="false"/>
                <w:sz w:val="19"/>
                <w:szCs w:val="19"/>
              </w:rPr>
              <w:t xml:space="preserve">21 of 91 (23%) of studied bugs are GPU-related; “Insufficient GPU” (11 of 91) tied to older/low-configuration devices [S7]</w:t>
            </w:r>
          </w:p>
        </w:tc>
        <w:tc>
          <w:tcPr>
            <w:tcW w:type="dxa" w:w="3120"/>
            <w:tcMar>
              <w:top w:type="dxa" w:w="60"/>
              <w:left w:type="dxa" w:w="100"/>
              <w:bottom w:type="dxa" w:w="60"/>
              <w:right w:type="dxa" w:w="100"/>
            </w:tcMar>
          </w:tcPr>
          <w:p>
            <w:r>
              <w:rPr>
                <w:b w:val="false"/>
                <w:bCs w:val="false"/>
                <w:sz w:val="19"/>
                <w:szCs w:val="19"/>
              </w:rPr>
              <w:t xml:space="preserve">Song et al., arXiv 2025 (ISSRE track)</w:t>
            </w:r>
          </w:p>
        </w:tc>
      </w:tr>
      <w:tr>
        <w:tc>
          <w:tcPr>
            <w:tcW w:type="dxa" w:w="3120"/>
            <w:tcMar>
              <w:top w:type="dxa" w:w="60"/>
              <w:left w:type="dxa" w:w="100"/>
              <w:bottom w:type="dxa" w:w="60"/>
              <w:right w:type="dxa" w:w="100"/>
            </w:tcMar>
          </w:tcPr>
          <w:p>
            <w:r>
              <w:rPr>
                <w:b w:val="false"/>
                <w:bCs w:val="false"/>
                <w:sz w:val="19"/>
                <w:szCs w:val="19"/>
              </w:rPr>
              <w:t xml:space="preserve">Current, live GPU rendering-API capability, all active Android devices</w:t>
            </w:r>
          </w:p>
        </w:tc>
        <w:tc>
          <w:tcPr>
            <w:tcW w:type="dxa" w:w="3120"/>
            <w:tcMar>
              <w:top w:type="dxa" w:w="60"/>
              <w:left w:type="dxa" w:w="100"/>
              <w:bottom w:type="dxa" w:w="60"/>
              <w:right w:type="dxa" w:w="100"/>
            </w:tcMar>
          </w:tcPr>
          <w:p>
            <w:r>
              <w:rPr>
                <w:b w:val="false"/>
                <w:bCs w:val="false"/>
                <w:sz w:val="19"/>
                <w:szCs w:val="19"/>
              </w:rPr>
              <w:t xml:space="preserve">OpenGL ES 3.2: 98.24%; ES 3.1: 0.39%; ES 3.0: 0.86%; ES 2.0: 0.49%. Vulkan: none 7.37%, 1.0.3 3.86%, 1.1 62.09%, 1.3 26.01%, 1.4 0.67% [S8]</w:t>
            </w:r>
          </w:p>
        </w:tc>
        <w:tc>
          <w:tcPr>
            <w:tcW w:type="dxa" w:w="3120"/>
            <w:tcMar>
              <w:top w:type="dxa" w:w="60"/>
              <w:left w:type="dxa" w:w="100"/>
              <w:bottom w:type="dxa" w:w="60"/>
              <w:right w:type="dxa" w:w="100"/>
            </w:tcMar>
          </w:tcPr>
          <w:p>
            <w:r>
              <w:rPr>
                <w:b w:val="false"/>
                <w:bCs w:val="false"/>
                <w:sz w:val="19"/>
                <w:szCs w:val="19"/>
              </w:rPr>
              <w:t xml:space="preserve">Google, Android Developers “Distribution dashboard”</w:t>
            </w:r>
          </w:p>
        </w:tc>
      </w:tr>
      <w:tr>
        <w:tc>
          <w:tcPr>
            <w:tcW w:type="dxa" w:w="3120"/>
            <w:tcMar>
              <w:top w:type="dxa" w:w="60"/>
              <w:left w:type="dxa" w:w="100"/>
              <w:bottom w:type="dxa" w:w="60"/>
              <w:right w:type="dxa" w:w="100"/>
            </w:tcMar>
          </w:tcPr>
          <w:p>
            <w:r>
              <w:rPr>
                <w:b w:val="false"/>
                <w:bCs w:val="false"/>
                <w:sz w:val="19"/>
                <w:szCs w:val="19"/>
              </w:rPr>
              <w:t xml:space="preserve">Maximum supported 2D texture dimension by mobile GPU generation</w:t>
            </w:r>
          </w:p>
        </w:tc>
        <w:tc>
          <w:tcPr>
            <w:tcW w:type="dxa" w:w="3120"/>
            <w:tcMar>
              <w:top w:type="dxa" w:w="60"/>
              <w:left w:type="dxa" w:w="100"/>
              <w:bottom w:type="dxa" w:w="60"/>
              <w:right w:type="dxa" w:w="100"/>
            </w:tcMar>
          </w:tcPr>
          <w:p>
            <w:r>
              <w:rPr>
                <w:b w:val="false"/>
                <w:bCs w:val="false"/>
                <w:sz w:val="19"/>
                <w:szCs w:val="19"/>
              </w:rPr>
              <w:t xml:space="preserve">2048px (older/budget, e.g. PowerVR SGX 535) [S3]; 4096px (Mali-400-class; also PowerVR SGX 543) [S3,S4]; 8192px (modern flagship, Unreal Engine ceiling) [S5]; 16384px (top-tier, Unity engine-wide cap) [S6]</w:t>
            </w:r>
          </w:p>
        </w:tc>
        <w:tc>
          <w:tcPr>
            <w:tcW w:type="dxa" w:w="3120"/>
            <w:tcMar>
              <w:top w:type="dxa" w:w="60"/>
              <w:left w:type="dxa" w:w="100"/>
              <w:bottom w:type="dxa" w:w="60"/>
              <w:right w:type="dxa" w:w="100"/>
            </w:tcMar>
          </w:tcPr>
          <w:p>
            <w:r>
              <w:rPr>
                <w:b w:val="false"/>
                <w:bCs w:val="false"/>
                <w:sz w:val="19"/>
                <w:szCs w:val="19"/>
              </w:rPr>
              <w:t xml:space="preserve">Apple/ARM/Unreal/Unity documentation</w:t>
            </w:r>
          </w:p>
        </w:tc>
      </w:tr>
    </w:tbl>
    <w:p>
      <w:pPr>
        <w:pStyle w:val="Heading1"/>
        <w:spacing w:after="160" w:before="300"/>
      </w:pPr>
      <w:r>
        <w:rPr>
          <w:b/>
          <w:bCs/>
        </w:rPr>
        <w:t xml:space="preserve">Appendix D — Atlas Packaging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r>
              <w:rPr>
                <w:b/>
                <w:bCs/>
                <w:sz w:val="19"/>
                <w:szCs w:val="19"/>
              </w:rPr>
              <w:t xml:space="preserve"/>
            </w:r>
          </w:p>
        </w:tc>
        <w:tc>
          <w:tcPr>
            <w:tcW w:type="dxa" w:w="3120"/>
            <w:shd w:fill="D9E2F3" w:val="clear"/>
            <w:tcMar>
              <w:top w:type="dxa" w:w="60"/>
              <w:left w:type="dxa" w:w="100"/>
              <w:bottom w:type="dxa" w:w="60"/>
              <w:right w:type="dxa" w:w="100"/>
            </w:tcMar>
          </w:tcPr>
          <w:p>
            <w:r>
              <w:rPr>
                <w:b/>
                <w:bCs/>
                <w:sz w:val="19"/>
                <w:szCs w:val="19"/>
              </w:rPr>
              <w:t xml:space="preserve">Option A — The Crest Atlas</w:t>
            </w:r>
          </w:p>
        </w:tc>
        <w:tc>
          <w:tcPr>
            <w:tcW w:type="dxa" w:w="3120"/>
            <w:shd w:fill="D9E2F3" w:val="clear"/>
            <w:tcMar>
              <w:top w:type="dxa" w:w="60"/>
              <w:left w:type="dxa" w:w="100"/>
              <w:bottom w:type="dxa" w:w="60"/>
              <w:right w:type="dxa" w:w="100"/>
            </w:tcMar>
          </w:tcPr>
          <w:p>
            <w:r>
              <w:rPr>
                <w:b/>
                <w:bCs/>
                <w:sz w:val="19"/>
                <w:szCs w:val="19"/>
              </w:rPr>
              <w:t xml:space="preserve">Option B — The Anchor Atlas</w:t>
            </w:r>
          </w:p>
        </w:tc>
      </w:tr>
      <w:tr>
        <w:tc>
          <w:tcPr>
            <w:tcW w:type="dxa" w:w="3120"/>
            <w:tcMar>
              <w:top w:type="dxa" w:w="60"/>
              <w:left w:type="dxa" w:w="100"/>
              <w:bottom w:type="dxa" w:w="60"/>
              <w:right w:type="dxa" w:w="100"/>
            </w:tcMar>
          </w:tcPr>
          <w:p>
            <w:r>
              <w:rPr>
                <w:b w:val="false"/>
                <w:bCs w:val="false"/>
                <w:sz w:val="19"/>
                <w:szCs w:val="19"/>
              </w:rPr>
              <w:t xml:space="preserve">Atlas dimensions</w:t>
            </w:r>
          </w:p>
        </w:tc>
        <w:tc>
          <w:tcPr>
            <w:tcW w:type="dxa" w:w="3120"/>
            <w:tcMar>
              <w:top w:type="dxa" w:w="60"/>
              <w:left w:type="dxa" w:w="100"/>
              <w:bottom w:type="dxa" w:w="60"/>
              <w:right w:type="dxa" w:w="100"/>
            </w:tcMar>
          </w:tcPr>
          <w:p>
            <w:r>
              <w:rPr>
                <w:b w:val="false"/>
                <w:bCs w:val="false"/>
                <w:sz w:val="19"/>
                <w:szCs w:val="19"/>
              </w:rPr>
              <w:t xml:space="preserve">8192 × 8192 px</w:t>
            </w:r>
          </w:p>
        </w:tc>
        <w:tc>
          <w:tcPr>
            <w:tcW w:type="dxa" w:w="3120"/>
            <w:tcMar>
              <w:top w:type="dxa" w:w="60"/>
              <w:left w:type="dxa" w:w="100"/>
              <w:bottom w:type="dxa" w:w="60"/>
              <w:right w:type="dxa" w:w="100"/>
            </w:tcMar>
          </w:tcPr>
          <w:p>
            <w:r>
              <w:rPr>
                <w:b w:val="false"/>
                <w:bCs w:val="false"/>
                <w:sz w:val="19"/>
                <w:szCs w:val="19"/>
              </w:rPr>
              <w:t xml:space="preserve">4096 × 4096 px</w:t>
            </w:r>
          </w:p>
        </w:tc>
      </w:tr>
      <w:tr>
        <w:tc>
          <w:tcPr>
            <w:tcW w:type="dxa" w:w="3120"/>
            <w:tcMar>
              <w:top w:type="dxa" w:w="60"/>
              <w:left w:type="dxa" w:w="100"/>
              <w:bottom w:type="dxa" w:w="60"/>
              <w:right w:type="dxa" w:w="100"/>
            </w:tcMar>
          </w:tcPr>
          <w:p>
            <w:r>
              <w:rPr>
                <w:b w:val="false"/>
                <w:bCs w:val="false"/>
                <w:sz w:val="19"/>
                <w:szCs w:val="19"/>
              </w:rPr>
              <w:t xml:space="preserve">Minimum device GPU generation required (SEE APPENDIX C)</w:t>
            </w:r>
          </w:p>
        </w:tc>
        <w:tc>
          <w:tcPr>
            <w:tcW w:type="dxa" w:w="3120"/>
            <w:tcMar>
              <w:top w:type="dxa" w:w="60"/>
              <w:left w:type="dxa" w:w="100"/>
              <w:bottom w:type="dxa" w:w="60"/>
              <w:right w:type="dxa" w:w="100"/>
            </w:tcMar>
          </w:tcPr>
          <w:p>
            <w:r>
              <w:rPr>
                <w:b w:val="false"/>
                <w:bCs w:val="false"/>
                <w:sz w:val="19"/>
                <w:szCs w:val="19"/>
              </w:rPr>
              <w:t xml:space="preserve">Flagship-tier (max texture dimension ≥ 8192px) [S3, S5]</w:t>
            </w:r>
          </w:p>
        </w:tc>
        <w:tc>
          <w:tcPr>
            <w:tcW w:type="dxa" w:w="3120"/>
            <w:tcMar>
              <w:top w:type="dxa" w:w="60"/>
              <w:left w:type="dxa" w:w="100"/>
              <w:bottom w:type="dxa" w:w="60"/>
              <w:right w:type="dxa" w:w="100"/>
            </w:tcMar>
          </w:tcPr>
          <w:p>
            <w:r>
              <w:rPr>
                <w:b w:val="false"/>
                <w:bCs w:val="false"/>
                <w:sz w:val="19"/>
                <w:szCs w:val="19"/>
              </w:rPr>
              <w:t xml:space="preserve">Value-tier (capped at 4096px or below in this model, or better) [S3, S4]</w:t>
            </w:r>
          </w:p>
        </w:tc>
      </w:tr>
      <w:tr>
        <w:tc>
          <w:tcPr>
            <w:tcW w:type="dxa" w:w="3120"/>
            <w:tcMar>
              <w:top w:type="dxa" w:w="60"/>
              <w:left w:type="dxa" w:w="100"/>
              <w:bottom w:type="dxa" w:w="60"/>
              <w:right w:type="dxa" w:w="100"/>
            </w:tcMar>
          </w:tcPr>
          <w:p>
            <w:r>
              <w:rPr>
                <w:b w:val="false"/>
                <w:bCs w:val="false"/>
                <w:sz w:val="19"/>
                <w:szCs w:val="19"/>
              </w:rPr>
              <w:t xml:space="preserve">Can a Value-tier device render this option?</w:t>
            </w:r>
          </w:p>
        </w:tc>
        <w:tc>
          <w:tcPr>
            <w:tcW w:type="dxa" w:w="3120"/>
            <w:tcMar>
              <w:top w:type="dxa" w:w="60"/>
              <w:left w:type="dxa" w:w="100"/>
              <w:bottom w:type="dxa" w:w="60"/>
              <w:right w:type="dxa" w:w="100"/>
            </w:tcMar>
          </w:tcPr>
          <w:p>
            <w:r>
              <w:rPr>
                <w:b w:val="false"/>
                <w:bCs w:val="false"/>
                <w:sz w:val="19"/>
                <w:szCs w:val="19"/>
              </w:rPr>
              <w:t xml:space="preserve">Fails to load, per this model (SEE APPENDICES C, E — MA3 discloses this is likely conservative)</w:t>
            </w:r>
          </w:p>
        </w:tc>
        <w:tc>
          <w:tcPr>
            <w:tcW w:type="dxa" w:w="3120"/>
            <w:tcMar>
              <w:top w:type="dxa" w:w="60"/>
              <w:left w:type="dxa" w:w="100"/>
              <w:bottom w:type="dxa" w:w="60"/>
              <w:right w:type="dxa" w:w="100"/>
            </w:tcMar>
          </w:tcPr>
          <w:p>
            <w:r>
              <w:rPr>
                <w:b w:val="false"/>
                <w:bCs w:val="false"/>
                <w:sz w:val="19"/>
                <w:szCs w:val="19"/>
              </w:rPr>
              <w:t xml:space="preserve">Loads successfully (SEE APPENDIX C)</w:t>
            </w:r>
          </w:p>
        </w:tc>
      </w:tr>
      <w:tr>
        <w:tc>
          <w:tcPr>
            <w:tcW w:type="dxa" w:w="3120"/>
            <w:tcMar>
              <w:top w:type="dxa" w:w="60"/>
              <w:left w:type="dxa" w:w="100"/>
              <w:bottom w:type="dxa" w:w="60"/>
              <w:right w:type="dxa" w:w="100"/>
            </w:tcMar>
          </w:tcPr>
          <w:p>
            <w:r>
              <w:rPr>
                <w:b w:val="false"/>
                <w:bCs w:val="false"/>
                <w:sz w:val="19"/>
                <w:szCs w:val="19"/>
              </w:rPr>
              <w:t xml:space="preserve">Visible art quality on a device that can render it</w:t>
            </w:r>
          </w:p>
        </w:tc>
        <w:tc>
          <w:tcPr>
            <w:tcW w:type="dxa" w:w="3120"/>
            <w:tcMar>
              <w:top w:type="dxa" w:w="60"/>
              <w:left w:type="dxa" w:w="100"/>
              <w:bottom w:type="dxa" w:w="60"/>
              <w:right w:type="dxa" w:w="100"/>
            </w:tcMar>
          </w:tcPr>
          <w:p>
            <w:r>
              <w:rPr>
                <w:b w:val="false"/>
                <w:bCs w:val="false"/>
                <w:sz w:val="19"/>
                <w:szCs w:val="19"/>
              </w:rPr>
              <w:t xml:space="preserve">Full detail; native resolution</w:t>
            </w:r>
          </w:p>
        </w:tc>
        <w:tc>
          <w:tcPr>
            <w:tcW w:type="dxa" w:w="3120"/>
            <w:tcMar>
              <w:top w:type="dxa" w:w="60"/>
              <w:left w:type="dxa" w:w="100"/>
              <w:bottom w:type="dxa" w:w="60"/>
              <w:right w:type="dxa" w:w="100"/>
            </w:tcMar>
          </w:tcPr>
          <w:p>
            <w:r>
              <w:rPr>
                <w:b w:val="false"/>
                <w:bCs w:val="false"/>
                <w:sz w:val="19"/>
                <w:szCs w:val="19"/>
              </w:rPr>
              <w:t xml:space="preserve">Visibly softened; source art compressed harder</w:t>
            </w:r>
          </w:p>
        </w:tc>
      </w:tr>
    </w:tbl>
    <w:p>
      <w:pPr>
        <w:spacing w:after="160"/>
      </w:pPr>
      <w:r>
        <w:t xml:space="preserve">Molt and Tanager Games are both fictional, invented for this case (SEE APPENDIX E).</w:t>
      </w:r>
    </w:p>
    <w:p>
      <w:pPr>
        <w:pStyle w:val="Heading1"/>
        <w:spacing w:after="160" w:before="300"/>
      </w:pPr>
      <w:r>
        <w:rPr>
          <w:b/>
          <w:bCs/>
        </w:rPr>
        <w:t xml:space="preserve">Appendix E — Modeling Assumptions</w:t>
      </w:r>
    </w:p>
    <w:p>
      <w:pPr>
        <w:spacing w:after="160"/>
        <w:rPr>
          <w:i/>
          <w:iCs/>
        </w:rPr>
      </w:pPr>
      <w:r>
        <w:rPr>
          <w:i/>
          <w:iCs/>
        </w:rPr>
        <w:t xml:space="preserve">These figures are not sourced. They are stated scenario assumptions chosen by the case author, disclosed here rather than presented as real studio data. A Hero may challenge them in discussion — that is a legitimate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60"/>
              <w:left w:type="dxa" w:w="100"/>
              <w:bottom w:type="dxa" w:w="60"/>
              <w:right w:type="dxa" w:w="100"/>
            </w:tcMar>
          </w:tcPr>
          <w:p>
            <w:r>
              <w:rPr>
                <w:b/>
                <w:bCs/>
                <w:sz w:val="19"/>
                <w:szCs w:val="19"/>
              </w:rPr>
              <w:t xml:space="preserve">#</w:t>
            </w:r>
          </w:p>
        </w:tc>
        <w:tc>
          <w:tcPr>
            <w:tcW w:type="dxa" w:w="2340"/>
            <w:shd w:fill="D9E2F3" w:val="clear"/>
            <w:tcMar>
              <w:top w:type="dxa" w:w="60"/>
              <w:left w:type="dxa" w:w="100"/>
              <w:bottom w:type="dxa" w:w="60"/>
              <w:right w:type="dxa" w:w="100"/>
            </w:tcMar>
          </w:tcPr>
          <w:p>
            <w:r>
              <w:rPr>
                <w:b/>
                <w:bCs/>
                <w:sz w:val="19"/>
                <w:szCs w:val="19"/>
              </w:rPr>
              <w:t xml:space="preserve">Assumption</w:t>
            </w:r>
          </w:p>
        </w:tc>
        <w:tc>
          <w:tcPr>
            <w:tcW w:type="dxa" w:w="2340"/>
            <w:shd w:fill="D9E2F3" w:val="clear"/>
            <w:tcMar>
              <w:top w:type="dxa" w:w="60"/>
              <w:left w:type="dxa" w:w="100"/>
              <w:bottom w:type="dxa" w:w="60"/>
              <w:right w:type="dxa" w:w="100"/>
            </w:tcMar>
          </w:tcPr>
          <w:p>
            <w:r>
              <w:rPr>
                <w:b/>
                <w:bCs/>
                <w:sz w:val="19"/>
                <w:szCs w:val="19"/>
              </w:rPr>
              <w:t xml:space="preserve">Basis</w:t>
            </w:r>
          </w:p>
        </w:tc>
        <w:tc>
          <w:tcPr>
            <w:tcW w:type="dxa" w:w="2340"/>
            <w:shd w:fill="D9E2F3" w:val="clear"/>
            <w:tcMar>
              <w:top w:type="dxa" w:w="60"/>
              <w:left w:type="dxa" w:w="100"/>
              <w:bottom w:type="dxa" w:w="60"/>
              <w:right w:type="dxa" w:w="100"/>
            </w:tcMar>
          </w:tcPr>
          <w:p>
            <w:r>
              <w:rPr>
                <w:b/>
                <w:bCs/>
                <w:sz w:val="19"/>
                <w:szCs w:val="19"/>
              </w:rPr>
              <w:t xml:space="preserve">Sensitivity</w:t>
            </w:r>
          </w:p>
        </w:tc>
      </w:tr>
      <w:tr>
        <w:tc>
          <w:tcPr>
            <w:tcW w:type="dxa" w:w="2340"/>
            <w:tcMar>
              <w:top w:type="dxa" w:w="60"/>
              <w:left w:type="dxa" w:w="100"/>
              <w:bottom w:type="dxa" w:w="60"/>
              <w:right w:type="dxa" w:w="100"/>
            </w:tcMar>
          </w:tcPr>
          <w:p>
            <w:r>
              <w:rPr>
                <w:b w:val="false"/>
                <w:bCs w:val="false"/>
                <w:sz w:val="19"/>
                <w:szCs w:val="19"/>
              </w:rPr>
              <w:t xml:space="preserve">MA1</w:t>
            </w:r>
          </w:p>
        </w:tc>
        <w:tc>
          <w:tcPr>
            <w:tcW w:type="dxa" w:w="2340"/>
            <w:tcMar>
              <w:top w:type="dxa" w:w="60"/>
              <w:left w:type="dxa" w:w="100"/>
              <w:bottom w:type="dxa" w:w="60"/>
              <w:right w:type="dxa" w:w="100"/>
            </w:tcMar>
          </w:tcPr>
          <w:p>
            <w:r>
              <w:rPr>
                <w:b w:val="false"/>
                <w:bCs w:val="false"/>
                <w:sz w:val="19"/>
                <w:szCs w:val="19"/>
              </w:rPr>
              <w:t xml:space="preserve">Tanager Games and Molt are fictional; the studio's reported active-install and revenue figures for India and Nigeria (Appendix A) are the case's own invented business figures.</w:t>
            </w:r>
          </w:p>
        </w:tc>
        <w:tc>
          <w:tcPr>
            <w:tcW w:type="dxa" w:w="2340"/>
            <w:tcMar>
              <w:top w:type="dxa" w:w="60"/>
              <w:left w:type="dxa" w:w="100"/>
              <w:bottom w:type="dxa" w:w="60"/>
              <w:right w:type="dxa" w:w="100"/>
            </w:tcMar>
          </w:tcPr>
          <w:p>
            <w:r>
              <w:rPr>
                <w:b w:val="false"/>
                <w:bCs w:val="false"/>
                <w:sz w:val="19"/>
                <w:szCs w:val="19"/>
              </w:rPr>
              <w:t xml:space="preserve">No real seven-person studio matching this description exists to source install or revenue figures from. Figures built so each market's device-tier composition matches the real, cited chipset-vendor-share data in Appendix C.</w:t>
            </w:r>
          </w:p>
        </w:tc>
        <w:tc>
          <w:tcPr>
            <w:tcW w:type="dxa" w:w="2340"/>
            <w:tcMar>
              <w:top w:type="dxa" w:w="60"/>
              <w:left w:type="dxa" w:w="100"/>
              <w:bottom w:type="dxa" w:w="60"/>
              <w:right w:type="dxa" w:w="100"/>
            </w:tcMar>
          </w:tcPr>
          <w:p>
            <w:r>
              <w:rPr>
                <w:b w:val="false"/>
                <w:bCs w:val="false"/>
                <w:sz w:val="19"/>
                <w:szCs w:val="19"/>
              </w:rPr>
              <w:t xml:space="preserve">The final revenue-weighted percentage is sensitive to these invented totals. A different but still device-tier-consistent set of numbers could shift that percentage.</w:t>
            </w:r>
          </w:p>
        </w:tc>
      </w:tr>
      <w:tr>
        <w:tc>
          <w:tcPr>
            <w:tcW w:type="dxa" w:w="2340"/>
            <w:tcMar>
              <w:top w:type="dxa" w:w="60"/>
              <w:left w:type="dxa" w:w="100"/>
              <w:bottom w:type="dxa" w:w="60"/>
              <w:right w:type="dxa" w:w="100"/>
            </w:tcMar>
          </w:tcPr>
          <w:p>
            <w:r>
              <w:rPr>
                <w:b w:val="false"/>
                <w:bCs w:val="false"/>
                <w:sz w:val="19"/>
                <w:szCs w:val="19"/>
              </w:rPr>
              <w:t xml:space="preserve">MA2</w:t>
            </w:r>
          </w:p>
        </w:tc>
        <w:tc>
          <w:tcPr>
            <w:tcW w:type="dxa" w:w="2340"/>
            <w:tcMar>
              <w:top w:type="dxa" w:w="60"/>
              <w:left w:type="dxa" w:w="100"/>
              <w:bottom w:type="dxa" w:w="60"/>
              <w:right w:type="dxa" w:w="100"/>
            </w:tcMar>
          </w:tcPr>
          <w:p>
            <w:r>
              <w:rPr>
                <w:b w:val="false"/>
                <w:bCs w:val="false"/>
                <w:sz w:val="19"/>
                <w:szCs w:val="19"/>
              </w:rPr>
              <w:t xml:space="preserve">Chipset-vendor share (MediaTek in India; Transsion-brand devices in Nigeria) is used as a proxy for “Value-tier, capped below 8192×8192,” even though not every device from these vendors is actually capped there.</w:t>
            </w:r>
          </w:p>
        </w:tc>
        <w:tc>
          <w:tcPr>
            <w:tcW w:type="dxa" w:w="2340"/>
            <w:tcMar>
              <w:top w:type="dxa" w:w="60"/>
              <w:left w:type="dxa" w:w="100"/>
              <w:bottom w:type="dxa" w:w="60"/>
              <w:right w:type="dxa" w:w="100"/>
            </w:tcMar>
          </w:tcPr>
          <w:p>
            <w:r>
              <w:rPr>
                <w:b w:val="false"/>
                <w:bCs w:val="false"/>
                <w:sz w:val="19"/>
                <w:szCs w:val="19"/>
              </w:rPr>
              <w:t xml:space="preserve">MediaTek and Unisoc chipsets integrate ARM Mali-family GPUs; Qualcomm chipsets integrate Adreno GPUs (SEE APPENDIX C). A meaningfully better-grounded proxy than a global GPU-brand blog — but still a proxy.</w:t>
            </w:r>
          </w:p>
        </w:tc>
        <w:tc>
          <w:tcPr>
            <w:tcW w:type="dxa" w:w="2340"/>
            <w:tcMar>
              <w:top w:type="dxa" w:w="60"/>
              <w:left w:type="dxa" w:w="100"/>
              <w:bottom w:type="dxa" w:w="60"/>
              <w:right w:type="dxa" w:w="100"/>
            </w:tcMar>
          </w:tcPr>
          <w:p>
            <w:r>
              <w:rPr>
                <w:b w:val="false"/>
                <w:bCs w:val="false"/>
                <w:sz w:val="19"/>
                <w:szCs w:val="19"/>
              </w:rPr>
              <w:t xml:space="preserve">Two compounding, disclosed directions of possible error (see MA3, which argues one direction now dominates).</w:t>
            </w:r>
          </w:p>
        </w:tc>
      </w:tr>
      <w:tr>
        <w:tc>
          <w:tcPr>
            <w:tcW w:type="dxa" w:w="2340"/>
            <w:tcMar>
              <w:top w:type="dxa" w:w="60"/>
              <w:left w:type="dxa" w:w="100"/>
              <w:bottom w:type="dxa" w:w="60"/>
              <w:right w:type="dxa" w:w="100"/>
            </w:tcMar>
          </w:tcPr>
          <w:p>
            <w:r>
              <w:rPr>
                <w:b w:val="false"/>
                <w:bCs w:val="false"/>
                <w:sz w:val="19"/>
                <w:szCs w:val="19"/>
              </w:rPr>
              <w:t xml:space="preserve">MA3</w:t>
            </w:r>
          </w:p>
        </w:tc>
        <w:tc>
          <w:tcPr>
            <w:tcW w:type="dxa" w:w="2340"/>
            <w:tcMar>
              <w:top w:type="dxa" w:w="60"/>
              <w:left w:type="dxa" w:w="100"/>
              <w:bottom w:type="dxa" w:w="60"/>
              <w:right w:type="dxa" w:w="100"/>
            </w:tcMar>
          </w:tcPr>
          <w:p>
            <w:r>
              <w:rPr>
                <w:b w:val="false"/>
                <w:bCs w:val="false"/>
                <w:sz w:val="19"/>
                <w:szCs w:val="19"/>
              </w:rPr>
              <w:t xml:space="preserve">The Value-tier's assumed hard cap at 4096×4096 was set by the Mali-400 GPU, which ARM discontinued in 2015. The budget chipsets that actually dominate India and Nigeria's device-tier proxy today use newer Mali-G52/G57-class GPUs supporting OpenGL ES 3.2 and Vulkan.</w:t>
            </w:r>
          </w:p>
        </w:tc>
        <w:tc>
          <w:tcPr>
            <w:tcW w:type="dxa" w:w="2340"/>
            <w:tcMar>
              <w:top w:type="dxa" w:w="60"/>
              <w:left w:type="dxa" w:w="100"/>
              <w:bottom w:type="dxa" w:w="60"/>
              <w:right w:type="dxa" w:w="100"/>
            </w:tcMar>
          </w:tcPr>
          <w:p>
            <w:r>
              <w:rPr>
                <w:b w:val="false"/>
                <w:bCs w:val="false"/>
                <w:sz w:val="19"/>
                <w:szCs w:val="19"/>
              </w:rPr>
              <w:t xml:space="preserve">Public spec sheets confirm best-selling Nigerian models run MediaTek Helio or Unisoc T-series chips with Mali-G52/G57-class GPUs, not Mali-400. Google's own live Android distribution data shows 98.24% of active devices report OpenGL ES 3.2 (SEE APPENDIX C, S8).</w:t>
            </w:r>
          </w:p>
        </w:tc>
        <w:tc>
          <w:tcPr>
            <w:tcW w:type="dxa" w:w="2340"/>
            <w:tcMar>
              <w:top w:type="dxa" w:w="60"/>
              <w:left w:type="dxa" w:w="100"/>
              <w:bottom w:type="dxa" w:w="60"/>
              <w:right w:type="dxa" w:w="100"/>
            </w:tcMar>
          </w:tcPr>
          <w:p>
            <w:r>
              <w:rPr>
                <w:b w:val="false"/>
                <w:bCs w:val="false"/>
                <w:sz w:val="19"/>
                <w:szCs w:val="19"/>
              </w:rPr>
              <w:t xml:space="preserve">Pushes in one specific, named direction: the model's Value-tier failure assumption is very likely conservative — Option A's true failure rate is probably smaller than this case models, not larger.</w:t>
            </w:r>
          </w:p>
        </w:tc>
      </w:tr>
    </w:tbl>
    <w:p>
      <w:pPr>
        <w:pStyle w:val="Heading1"/>
        <w:spacing w:after="160" w:before="300"/>
      </w:pPr>
      <w:r>
        <w:rPr>
          <w:b/>
          <w:bCs/>
        </w:rPr>
        <w:t xml:space="preserve">Appendix F —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val="clear"/>
            <w:tcMar>
              <w:top w:type="dxa" w:w="60"/>
              <w:left w:type="dxa" w:w="100"/>
              <w:bottom w:type="dxa" w:w="60"/>
              <w:right w:type="dxa" w:w="100"/>
            </w:tcMar>
          </w:tcPr>
          <w:p>
            <w:r>
              <w:rPr>
                <w:b/>
                <w:bCs/>
                <w:sz w:val="19"/>
                <w:szCs w:val="19"/>
              </w:rPr>
              <w:t xml:space="preserve">id</w:t>
            </w:r>
          </w:p>
        </w:tc>
        <w:tc>
          <w:tcPr>
            <w:tcW w:type="dxa" w:w="1872"/>
            <w:shd w:fill="D9E2F3" w:val="clear"/>
            <w:tcMar>
              <w:top w:type="dxa" w:w="60"/>
              <w:left w:type="dxa" w:w="100"/>
              <w:bottom w:type="dxa" w:w="60"/>
              <w:right w:type="dxa" w:w="100"/>
            </w:tcMar>
          </w:tcPr>
          <w:p>
            <w:r>
              <w:rPr>
                <w:b/>
                <w:bCs/>
                <w:sz w:val="19"/>
                <w:szCs w:val="19"/>
              </w:rPr>
              <w:t xml:space="preserve">Claim</w:t>
            </w:r>
          </w:p>
        </w:tc>
        <w:tc>
          <w:tcPr>
            <w:tcW w:type="dxa" w:w="1872"/>
            <w:shd w:fill="D9E2F3" w:val="clear"/>
            <w:tcMar>
              <w:top w:type="dxa" w:w="60"/>
              <w:left w:type="dxa" w:w="100"/>
              <w:bottom w:type="dxa" w:w="60"/>
              <w:right w:type="dxa" w:w="100"/>
            </w:tcMar>
          </w:tcPr>
          <w:p>
            <w:r>
              <w:rPr>
                <w:b/>
                <w:bCs/>
                <w:sz w:val="19"/>
                <w:szCs w:val="19"/>
              </w:rPr>
              <w:t xml:space="preserve">Value</w:t>
            </w:r>
          </w:p>
        </w:tc>
        <w:tc>
          <w:tcPr>
            <w:tcW w:type="dxa" w:w="1872"/>
            <w:shd w:fill="D9E2F3" w:val="clear"/>
            <w:tcMar>
              <w:top w:type="dxa" w:w="60"/>
              <w:left w:type="dxa" w:w="100"/>
              <w:bottom w:type="dxa" w:w="60"/>
              <w:right w:type="dxa" w:w="100"/>
            </w:tcMar>
          </w:tcPr>
          <w:p>
            <w:r>
              <w:rPr>
                <w:b/>
                <w:bCs/>
                <w:sz w:val="19"/>
                <w:szCs w:val="19"/>
              </w:rPr>
              <w:t xml:space="preserve">Accessed</w:t>
            </w:r>
          </w:p>
        </w:tc>
        <w:tc>
          <w:tcPr>
            <w:tcW w:type="dxa" w:w="1872"/>
            <w:shd w:fill="D9E2F3" w:val="clear"/>
            <w:tcMar>
              <w:top w:type="dxa" w:w="60"/>
              <w:left w:type="dxa" w:w="100"/>
              <w:bottom w:type="dxa" w:w="60"/>
              <w:right w:type="dxa" w:w="100"/>
            </w:tcMar>
          </w:tcPr>
          <w:p>
            <w:r>
              <w:rPr>
                <w:b/>
                <w:bCs/>
                <w:sz w:val="19"/>
                <w:szCs w:val="19"/>
              </w:rPr>
              <w:t xml:space="preserve">Confidence</w:t>
            </w:r>
          </w:p>
        </w:tc>
      </w:tr>
      <w:tr>
        <w:tc>
          <w:tcPr>
            <w:tcW w:type="dxa" w:w="1872"/>
            <w:tcMar>
              <w:top w:type="dxa" w:w="60"/>
              <w:left w:type="dxa" w:w="100"/>
              <w:bottom w:type="dxa" w:w="60"/>
              <w:right w:type="dxa" w:w="100"/>
            </w:tcMar>
          </w:tcPr>
          <w:p>
            <w:r>
              <w:rPr>
                <w:b w:val="false"/>
                <w:bCs w:val="false"/>
                <w:sz w:val="19"/>
                <w:szCs w:val="19"/>
              </w:rPr>
              <w:t xml:space="preserve">S1'</w:t>
            </w:r>
          </w:p>
        </w:tc>
        <w:tc>
          <w:tcPr>
            <w:tcW w:type="dxa" w:w="1872"/>
            <w:tcMar>
              <w:top w:type="dxa" w:w="60"/>
              <w:left w:type="dxa" w:w="100"/>
              <w:bottom w:type="dxa" w:w="60"/>
              <w:right w:type="dxa" w:w="100"/>
            </w:tcMar>
          </w:tcPr>
          <w:p>
            <w:r>
              <w:rPr>
                <w:b w:val="false"/>
                <w:bCs w:val="false"/>
                <w:sz w:val="19"/>
                <w:szCs w:val="19"/>
              </w:rPr>
              <w:t xml:space="preserve">Current (Q2 2025) smartphone chipset market share, India</w:t>
            </w:r>
          </w:p>
        </w:tc>
        <w:tc>
          <w:tcPr>
            <w:tcW w:type="dxa" w:w="1872"/>
            <w:tcMar>
              <w:top w:type="dxa" w:w="60"/>
              <w:left w:type="dxa" w:w="100"/>
              <w:bottom w:type="dxa" w:w="60"/>
              <w:right w:type="dxa" w:w="100"/>
            </w:tcMar>
          </w:tcPr>
          <w:p>
            <w:r>
              <w:rPr>
                <w:b w:val="false"/>
                <w:bCs w:val="false"/>
                <w:sz w:val="19"/>
                <w:szCs w:val="19"/>
              </w:rPr>
              <w:t xml:space="preserve">MediaTek 47%, Qualcomm 31%, remainder ~22%</w:t>
            </w:r>
          </w:p>
        </w:tc>
        <w:tc>
          <w:tcPr>
            <w:tcW w:type="dxa" w:w="1872"/>
            <w:tcMar>
              <w:top w:type="dxa" w:w="60"/>
              <w:left w:type="dxa" w:w="100"/>
              <w:bottom w:type="dxa" w:w="60"/>
              <w:right w:type="dxa" w:w="100"/>
            </w:tcMar>
          </w:tcPr>
          <w:p>
            <w:r>
              <w:rPr>
                <w:b w:val="false"/>
                <w:bCs w:val="false"/>
                <w:sz w:val="19"/>
                <w:szCs w:val="19"/>
              </w:rPr>
              <w:t xml:space="preserve">2026-08-30</w:t>
            </w:r>
          </w:p>
        </w:tc>
        <w:tc>
          <w:tcPr>
            <w:tcW w:type="dxa" w:w="1872"/>
            <w:tcMar>
              <w:top w:type="dxa" w:w="60"/>
              <w:left w:type="dxa" w:w="100"/>
              <w:bottom w:type="dxa" w:w="60"/>
              <w:right w:type="dxa" w:w="100"/>
            </w:tcMar>
          </w:tcPr>
          <w:p>
            <w:r>
              <w:rPr>
                <w:b w:val="false"/>
                <w:bCs w:val="false"/>
                <w:sz w:val="19"/>
                <w:szCs w:val="19"/>
              </w:rPr>
              <w:t xml:space="preserve">HIGH</w:t>
            </w:r>
          </w:p>
        </w:tc>
      </w:tr>
      <w:tr>
        <w:tc>
          <w:tcPr>
            <w:tcW w:type="dxa" w:w="1872"/>
            <w:tcMar>
              <w:top w:type="dxa" w:w="60"/>
              <w:left w:type="dxa" w:w="100"/>
              <w:bottom w:type="dxa" w:w="60"/>
              <w:right w:type="dxa" w:w="100"/>
            </w:tcMar>
          </w:tcPr>
          <w:p>
            <w:r>
              <w:rPr>
                <w:b w:val="false"/>
                <w:bCs w:val="false"/>
                <w:sz w:val="19"/>
                <w:szCs w:val="19"/>
              </w:rPr>
              <w:t xml:space="preserve">S2'</w:t>
            </w:r>
          </w:p>
        </w:tc>
        <w:tc>
          <w:tcPr>
            <w:tcW w:type="dxa" w:w="1872"/>
            <w:tcMar>
              <w:top w:type="dxa" w:w="60"/>
              <w:left w:type="dxa" w:w="100"/>
              <w:bottom w:type="dxa" w:w="60"/>
              <w:right w:type="dxa" w:w="100"/>
            </w:tcMar>
          </w:tcPr>
          <w:p>
            <w:r>
              <w:rPr>
                <w:b w:val="false"/>
                <w:bCs w:val="false"/>
                <w:sz w:val="19"/>
                <w:szCs w:val="19"/>
              </w:rPr>
              <w:t xml:space="preserve">Current (Feb 2025) smartphone brand market share, Nigeria</w:t>
            </w:r>
          </w:p>
        </w:tc>
        <w:tc>
          <w:tcPr>
            <w:tcW w:type="dxa" w:w="1872"/>
            <w:tcMar>
              <w:top w:type="dxa" w:w="60"/>
              <w:left w:type="dxa" w:w="100"/>
              <w:bottom w:type="dxa" w:w="60"/>
              <w:right w:type="dxa" w:w="100"/>
            </w:tcMar>
          </w:tcPr>
          <w:p>
            <w:r>
              <w:rPr>
                <w:b w:val="false"/>
                <w:bCs w:val="false"/>
                <w:sz w:val="19"/>
                <w:szCs w:val="19"/>
              </w:rPr>
              <w:t xml:space="preserve">Tecno 23.55%, Infinix 21.73%, Itel 5.41% (Transsion combined 50.69%)</w:t>
            </w:r>
          </w:p>
        </w:tc>
        <w:tc>
          <w:tcPr>
            <w:tcW w:type="dxa" w:w="1872"/>
            <w:tcMar>
              <w:top w:type="dxa" w:w="60"/>
              <w:left w:type="dxa" w:w="100"/>
              <w:bottom w:type="dxa" w:w="60"/>
              <w:right w:type="dxa" w:w="100"/>
            </w:tcMar>
          </w:tcPr>
          <w:p>
            <w:r>
              <w:rPr>
                <w:b w:val="false"/>
                <w:bCs w:val="false"/>
                <w:sz w:val="19"/>
                <w:szCs w:val="19"/>
              </w:rPr>
              <w:t xml:space="preserve">2026-08-30</w:t>
            </w:r>
          </w:p>
        </w:tc>
        <w:tc>
          <w:tcPr>
            <w:tcW w:type="dxa" w:w="1872"/>
            <w:tcMar>
              <w:top w:type="dxa" w:w="60"/>
              <w:left w:type="dxa" w:w="100"/>
              <w:bottom w:type="dxa" w:w="60"/>
              <w:right w:type="dxa" w:w="100"/>
            </w:tcMar>
          </w:tcPr>
          <w:p>
            <w:r>
              <w:rPr>
                <w:b w:val="false"/>
                <w:bCs w:val="false"/>
                <w:sz w:val="19"/>
                <w:szCs w:val="19"/>
              </w:rPr>
              <w:t xml:space="preserve">MEDIUM</w:t>
            </w:r>
          </w:p>
        </w:tc>
      </w:tr>
      <w:tr>
        <w:tc>
          <w:tcPr>
            <w:tcW w:type="dxa" w:w="1872"/>
            <w:tcMar>
              <w:top w:type="dxa" w:w="60"/>
              <w:left w:type="dxa" w:w="100"/>
              <w:bottom w:type="dxa" w:w="60"/>
              <w:right w:type="dxa" w:w="100"/>
            </w:tcMar>
          </w:tcPr>
          <w:p>
            <w:r>
              <w:rPr>
                <w:b w:val="false"/>
                <w:bCs w:val="false"/>
                <w:sz w:val="19"/>
                <w:szCs w:val="19"/>
              </w:rPr>
              <w:t xml:space="preserve">S3</w:t>
            </w:r>
          </w:p>
        </w:tc>
        <w:tc>
          <w:tcPr>
            <w:tcW w:type="dxa" w:w="1872"/>
            <w:tcMar>
              <w:top w:type="dxa" w:w="60"/>
              <w:left w:type="dxa" w:w="100"/>
              <w:bottom w:type="dxa" w:w="60"/>
              <w:right w:type="dxa" w:w="100"/>
            </w:tcMar>
          </w:tcPr>
          <w:p>
            <w:r>
              <w:rPr>
                <w:b w:val="false"/>
                <w:bCs w:val="false"/>
                <w:sz w:val="19"/>
                <w:szCs w:val="19"/>
              </w:rPr>
              <w:t xml:space="preserve">Maximum 2D texture dimension by iOS GPU generation</w:t>
            </w:r>
          </w:p>
        </w:tc>
        <w:tc>
          <w:tcPr>
            <w:tcW w:type="dxa" w:w="1872"/>
            <w:tcMar>
              <w:top w:type="dxa" w:w="60"/>
              <w:left w:type="dxa" w:w="100"/>
              <w:bottom w:type="dxa" w:w="60"/>
              <w:right w:type="dxa" w:w="100"/>
            </w:tcMar>
          </w:tcPr>
          <w:p>
            <w:r>
              <w:rPr>
                <w:b w:val="false"/>
                <w:bCs w:val="false"/>
                <w:sz w:val="19"/>
                <w:szCs w:val="19"/>
              </w:rPr>
              <w:t xml:space="preserve">2048px (SGX 535); 4096px (SGX 543)</w:t>
            </w:r>
          </w:p>
        </w:tc>
        <w:tc>
          <w:tcPr>
            <w:tcW w:type="dxa" w:w="1872"/>
            <w:tcMar>
              <w:top w:type="dxa" w:w="60"/>
              <w:left w:type="dxa" w:w="100"/>
              <w:bottom w:type="dxa" w:w="60"/>
              <w:right w:type="dxa" w:w="100"/>
            </w:tcMar>
          </w:tcPr>
          <w:p>
            <w:r>
              <w:rPr>
                <w:b w:val="false"/>
                <w:bCs w:val="false"/>
                <w:sz w:val="19"/>
                <w:szCs w:val="19"/>
              </w:rPr>
              <w:t xml:space="preserve">2026-08-30</w:t>
            </w:r>
          </w:p>
        </w:tc>
        <w:tc>
          <w:tcPr>
            <w:tcW w:type="dxa" w:w="1872"/>
            <w:tcMar>
              <w:top w:type="dxa" w:w="60"/>
              <w:left w:type="dxa" w:w="100"/>
              <w:bottom w:type="dxa" w:w="60"/>
              <w:right w:type="dxa" w:w="100"/>
            </w:tcMar>
          </w:tcPr>
          <w:p>
            <w:r>
              <w:rPr>
                <w:b w:val="false"/>
                <w:bCs w:val="false"/>
                <w:sz w:val="19"/>
                <w:szCs w:val="19"/>
              </w:rPr>
              <w:t xml:space="preserve">HIGH</w:t>
            </w:r>
          </w:p>
        </w:tc>
      </w:tr>
      <w:tr>
        <w:tc>
          <w:tcPr>
            <w:tcW w:type="dxa" w:w="1872"/>
            <w:tcMar>
              <w:top w:type="dxa" w:w="60"/>
              <w:left w:type="dxa" w:w="100"/>
              <w:bottom w:type="dxa" w:w="60"/>
              <w:right w:type="dxa" w:w="100"/>
            </w:tcMar>
          </w:tcPr>
          <w:p>
            <w:r>
              <w:rPr>
                <w:b w:val="false"/>
                <w:bCs w:val="false"/>
                <w:sz w:val="19"/>
                <w:szCs w:val="19"/>
              </w:rPr>
              <w:t xml:space="preserve">S4</w:t>
            </w:r>
          </w:p>
        </w:tc>
        <w:tc>
          <w:tcPr>
            <w:tcW w:type="dxa" w:w="1872"/>
            <w:tcMar>
              <w:top w:type="dxa" w:w="60"/>
              <w:left w:type="dxa" w:w="100"/>
              <w:bottom w:type="dxa" w:w="60"/>
              <w:right w:type="dxa" w:w="100"/>
            </w:tcMar>
          </w:tcPr>
          <w:p>
            <w:r>
              <w:rPr>
                <w:b w:val="false"/>
                <w:bCs w:val="false"/>
                <w:sz w:val="19"/>
                <w:szCs w:val="19"/>
              </w:rPr>
              <w:t xml:space="preserve">Maximum 2D texture dimension, ARM Mali-400 MP</w:t>
            </w:r>
          </w:p>
        </w:tc>
        <w:tc>
          <w:tcPr>
            <w:tcW w:type="dxa" w:w="1872"/>
            <w:tcMar>
              <w:top w:type="dxa" w:w="60"/>
              <w:left w:type="dxa" w:w="100"/>
              <w:bottom w:type="dxa" w:w="60"/>
              <w:right w:type="dxa" w:w="100"/>
            </w:tcMar>
          </w:tcPr>
          <w:p>
            <w:r>
              <w:rPr>
                <w:b w:val="false"/>
                <w:bCs w:val="false"/>
                <w:sz w:val="19"/>
                <w:szCs w:val="19"/>
              </w:rPr>
              <w:t xml:space="preserve">4096px along any axis</w:t>
            </w:r>
          </w:p>
        </w:tc>
        <w:tc>
          <w:tcPr>
            <w:tcW w:type="dxa" w:w="1872"/>
            <w:tcMar>
              <w:top w:type="dxa" w:w="60"/>
              <w:left w:type="dxa" w:w="100"/>
              <w:bottom w:type="dxa" w:w="60"/>
              <w:right w:type="dxa" w:w="100"/>
            </w:tcMar>
          </w:tcPr>
          <w:p>
            <w:r>
              <w:rPr>
                <w:b w:val="false"/>
                <w:bCs w:val="false"/>
                <w:sz w:val="19"/>
                <w:szCs w:val="19"/>
              </w:rPr>
              <w:t xml:space="preserve">2026-08-30</w:t>
            </w:r>
          </w:p>
        </w:tc>
        <w:tc>
          <w:tcPr>
            <w:tcW w:type="dxa" w:w="1872"/>
            <w:tcMar>
              <w:top w:type="dxa" w:w="60"/>
              <w:left w:type="dxa" w:w="100"/>
              <w:bottom w:type="dxa" w:w="60"/>
              <w:right w:type="dxa" w:w="100"/>
            </w:tcMar>
          </w:tcPr>
          <w:p>
            <w:r>
              <w:rPr>
                <w:b w:val="false"/>
                <w:bCs w:val="false"/>
                <w:sz w:val="19"/>
                <w:szCs w:val="19"/>
              </w:rPr>
              <w:t xml:space="preserve">MEDIUM</w:t>
            </w:r>
          </w:p>
        </w:tc>
      </w:tr>
      <w:tr>
        <w:tc>
          <w:tcPr>
            <w:tcW w:type="dxa" w:w="1872"/>
            <w:tcMar>
              <w:top w:type="dxa" w:w="60"/>
              <w:left w:type="dxa" w:w="100"/>
              <w:bottom w:type="dxa" w:w="60"/>
              <w:right w:type="dxa" w:w="100"/>
            </w:tcMar>
          </w:tcPr>
          <w:p>
            <w:r>
              <w:rPr>
                <w:b w:val="false"/>
                <w:bCs w:val="false"/>
                <w:sz w:val="19"/>
                <w:szCs w:val="19"/>
              </w:rPr>
              <w:t xml:space="preserve">S5</w:t>
            </w:r>
          </w:p>
        </w:tc>
        <w:tc>
          <w:tcPr>
            <w:tcW w:type="dxa" w:w="1872"/>
            <w:tcMar>
              <w:top w:type="dxa" w:w="60"/>
              <w:left w:type="dxa" w:w="100"/>
              <w:bottom w:type="dxa" w:w="60"/>
              <w:right w:type="dxa" w:w="100"/>
            </w:tcMar>
          </w:tcPr>
          <w:p>
            <w:r>
              <w:rPr>
                <w:b w:val="false"/>
                <w:bCs w:val="false"/>
                <w:sz w:val="19"/>
                <w:szCs w:val="19"/>
              </w:rPr>
              <w:t xml:space="preserve">Maximum supported texture resolution in Unreal Engine</w:t>
            </w:r>
          </w:p>
        </w:tc>
        <w:tc>
          <w:tcPr>
            <w:tcW w:type="dxa" w:w="1872"/>
            <w:tcMar>
              <w:top w:type="dxa" w:w="60"/>
              <w:left w:type="dxa" w:w="100"/>
              <w:bottom w:type="dxa" w:w="60"/>
              <w:right w:type="dxa" w:w="100"/>
            </w:tcMar>
          </w:tcPr>
          <w:p>
            <w:r>
              <w:rPr>
                <w:b w:val="false"/>
                <w:bCs w:val="false"/>
                <w:sz w:val="19"/>
                <w:szCs w:val="19"/>
              </w:rPr>
              <w:t xml:space="preserve">8192×8192</w:t>
            </w:r>
          </w:p>
        </w:tc>
        <w:tc>
          <w:tcPr>
            <w:tcW w:type="dxa" w:w="1872"/>
            <w:tcMar>
              <w:top w:type="dxa" w:w="60"/>
              <w:left w:type="dxa" w:w="100"/>
              <w:bottom w:type="dxa" w:w="60"/>
              <w:right w:type="dxa" w:w="100"/>
            </w:tcMar>
          </w:tcPr>
          <w:p>
            <w:r>
              <w:rPr>
                <w:b w:val="false"/>
                <w:bCs w:val="false"/>
                <w:sz w:val="19"/>
                <w:szCs w:val="19"/>
              </w:rPr>
              <w:t xml:space="preserve">2026-08-30</w:t>
            </w:r>
          </w:p>
        </w:tc>
        <w:tc>
          <w:tcPr>
            <w:tcW w:type="dxa" w:w="1872"/>
            <w:tcMar>
              <w:top w:type="dxa" w:w="60"/>
              <w:left w:type="dxa" w:w="100"/>
              <w:bottom w:type="dxa" w:w="60"/>
              <w:right w:type="dxa" w:w="100"/>
            </w:tcMar>
          </w:tcPr>
          <w:p>
            <w:r>
              <w:rPr>
                <w:b w:val="false"/>
                <w:bCs w:val="false"/>
                <w:sz w:val="19"/>
                <w:szCs w:val="19"/>
              </w:rPr>
              <w:t xml:space="preserve">HIGH</w:t>
            </w:r>
          </w:p>
        </w:tc>
      </w:tr>
      <w:tr>
        <w:tc>
          <w:tcPr>
            <w:tcW w:type="dxa" w:w="1872"/>
            <w:tcMar>
              <w:top w:type="dxa" w:w="60"/>
              <w:left w:type="dxa" w:w="100"/>
              <w:bottom w:type="dxa" w:w="60"/>
              <w:right w:type="dxa" w:w="100"/>
            </w:tcMar>
          </w:tcPr>
          <w:p>
            <w:r>
              <w:rPr>
                <w:b w:val="false"/>
                <w:bCs w:val="false"/>
                <w:sz w:val="19"/>
                <w:szCs w:val="19"/>
              </w:rPr>
              <w:t xml:space="preserve">S6</w:t>
            </w:r>
          </w:p>
        </w:tc>
        <w:tc>
          <w:tcPr>
            <w:tcW w:type="dxa" w:w="1872"/>
            <w:tcMar>
              <w:top w:type="dxa" w:w="60"/>
              <w:left w:type="dxa" w:w="100"/>
              <w:bottom w:type="dxa" w:w="60"/>
              <w:right w:type="dxa" w:w="100"/>
            </w:tcMar>
          </w:tcPr>
          <w:p>
            <w:r>
              <w:rPr>
                <w:b w:val="false"/>
                <w:bCs w:val="false"/>
                <w:sz w:val="19"/>
                <w:szCs w:val="19"/>
              </w:rPr>
              <w:t xml:space="preserve">Maximum supported texture size in Unity</w:t>
            </w:r>
          </w:p>
        </w:tc>
        <w:tc>
          <w:tcPr>
            <w:tcW w:type="dxa" w:w="1872"/>
            <w:tcMar>
              <w:top w:type="dxa" w:w="60"/>
              <w:left w:type="dxa" w:w="100"/>
              <w:bottom w:type="dxa" w:w="60"/>
              <w:right w:type="dxa" w:w="100"/>
            </w:tcMar>
          </w:tcPr>
          <w:p>
            <w:r>
              <w:rPr>
                <w:b w:val="false"/>
                <w:bCs w:val="false"/>
                <w:sz w:val="19"/>
                <w:szCs w:val="19"/>
              </w:rPr>
              <w:t xml:space="preserve">16384px</w:t>
            </w:r>
          </w:p>
        </w:tc>
        <w:tc>
          <w:tcPr>
            <w:tcW w:type="dxa" w:w="1872"/>
            <w:tcMar>
              <w:top w:type="dxa" w:w="60"/>
              <w:left w:type="dxa" w:w="100"/>
              <w:bottom w:type="dxa" w:w="60"/>
              <w:right w:type="dxa" w:w="100"/>
            </w:tcMar>
          </w:tcPr>
          <w:p>
            <w:r>
              <w:rPr>
                <w:b w:val="false"/>
                <w:bCs w:val="false"/>
                <w:sz w:val="19"/>
                <w:szCs w:val="19"/>
              </w:rPr>
              <w:t xml:space="preserve">2026-08-30</w:t>
            </w:r>
          </w:p>
        </w:tc>
        <w:tc>
          <w:tcPr>
            <w:tcW w:type="dxa" w:w="1872"/>
            <w:tcMar>
              <w:top w:type="dxa" w:w="60"/>
              <w:left w:type="dxa" w:w="100"/>
              <w:bottom w:type="dxa" w:w="60"/>
              <w:right w:type="dxa" w:w="100"/>
            </w:tcMar>
          </w:tcPr>
          <w:p>
            <w:r>
              <w:rPr>
                <w:b w:val="false"/>
                <w:bCs w:val="false"/>
                <w:sz w:val="19"/>
                <w:szCs w:val="19"/>
              </w:rPr>
              <w:t xml:space="preserve">HIGH</w:t>
            </w:r>
          </w:p>
        </w:tc>
      </w:tr>
      <w:tr>
        <w:tc>
          <w:tcPr>
            <w:tcW w:type="dxa" w:w="1872"/>
            <w:tcMar>
              <w:top w:type="dxa" w:w="60"/>
              <w:left w:type="dxa" w:w="100"/>
              <w:bottom w:type="dxa" w:w="60"/>
              <w:right w:type="dxa" w:w="100"/>
            </w:tcMar>
          </w:tcPr>
          <w:p>
            <w:r>
              <w:rPr>
                <w:b w:val="false"/>
                <w:bCs w:val="false"/>
                <w:sz w:val="19"/>
                <w:szCs w:val="19"/>
              </w:rPr>
              <w:t xml:space="preserve">S7</w:t>
            </w:r>
          </w:p>
        </w:tc>
        <w:tc>
          <w:tcPr>
            <w:tcW w:type="dxa" w:w="1872"/>
            <w:tcMar>
              <w:top w:type="dxa" w:w="60"/>
              <w:left w:type="dxa" w:w="100"/>
              <w:bottom w:type="dxa" w:w="60"/>
              <w:right w:type="dxa" w:w="100"/>
            </w:tcMar>
          </w:tcPr>
          <w:p>
            <w:r>
              <w:rPr>
                <w:b w:val="false"/>
                <w:bCs w:val="false"/>
                <w:sz w:val="19"/>
                <w:szCs w:val="19"/>
              </w:rPr>
              <w:t xml:space="preserve">Share of studied mobile-game compatibility bugs that are GPU-related</w:t>
            </w:r>
          </w:p>
        </w:tc>
        <w:tc>
          <w:tcPr>
            <w:tcW w:type="dxa" w:w="1872"/>
            <w:tcMar>
              <w:top w:type="dxa" w:w="60"/>
              <w:left w:type="dxa" w:w="100"/>
              <w:bottom w:type="dxa" w:w="60"/>
              <w:right w:type="dxa" w:w="100"/>
            </w:tcMar>
          </w:tcPr>
          <w:p>
            <w:r>
              <w:rPr>
                <w:b w:val="false"/>
                <w:bCs w:val="false"/>
                <w:sz w:val="19"/>
                <w:szCs w:val="19"/>
              </w:rPr>
              <w:t xml:space="preserve">21 of 91 (23%) GPU-related</w:t>
            </w:r>
          </w:p>
        </w:tc>
        <w:tc>
          <w:tcPr>
            <w:tcW w:type="dxa" w:w="1872"/>
            <w:tcMar>
              <w:top w:type="dxa" w:w="60"/>
              <w:left w:type="dxa" w:w="100"/>
              <w:bottom w:type="dxa" w:w="60"/>
              <w:right w:type="dxa" w:w="100"/>
            </w:tcMar>
          </w:tcPr>
          <w:p>
            <w:r>
              <w:rPr>
                <w:b w:val="false"/>
                <w:bCs w:val="false"/>
                <w:sz w:val="19"/>
                <w:szCs w:val="19"/>
              </w:rPr>
              <w:t xml:space="preserve">2026-08-30</w:t>
            </w:r>
          </w:p>
        </w:tc>
        <w:tc>
          <w:tcPr>
            <w:tcW w:type="dxa" w:w="1872"/>
            <w:tcMar>
              <w:top w:type="dxa" w:w="60"/>
              <w:left w:type="dxa" w:w="100"/>
              <w:bottom w:type="dxa" w:w="60"/>
              <w:right w:type="dxa" w:w="100"/>
            </w:tcMar>
          </w:tcPr>
          <w:p>
            <w:r>
              <w:rPr>
                <w:b w:val="false"/>
                <w:bCs w:val="false"/>
                <w:sz w:val="19"/>
                <w:szCs w:val="19"/>
              </w:rPr>
              <w:t xml:space="preserve">MEDIUM</w:t>
            </w:r>
          </w:p>
        </w:tc>
      </w:tr>
      <w:tr>
        <w:tc>
          <w:tcPr>
            <w:tcW w:type="dxa" w:w="1872"/>
            <w:tcMar>
              <w:top w:type="dxa" w:w="60"/>
              <w:left w:type="dxa" w:w="100"/>
              <w:bottom w:type="dxa" w:w="60"/>
              <w:right w:type="dxa" w:w="100"/>
            </w:tcMar>
          </w:tcPr>
          <w:p>
            <w:r>
              <w:rPr>
                <w:b w:val="false"/>
                <w:bCs w:val="false"/>
                <w:sz w:val="19"/>
                <w:szCs w:val="19"/>
              </w:rPr>
              <w:t xml:space="preserve">S8</w:t>
            </w:r>
          </w:p>
        </w:tc>
        <w:tc>
          <w:tcPr>
            <w:tcW w:type="dxa" w:w="1872"/>
            <w:tcMar>
              <w:top w:type="dxa" w:w="60"/>
              <w:left w:type="dxa" w:w="100"/>
              <w:bottom w:type="dxa" w:w="60"/>
              <w:right w:type="dxa" w:w="100"/>
            </w:tcMar>
          </w:tcPr>
          <w:p>
            <w:r>
              <w:rPr>
                <w:b w:val="false"/>
                <w:bCs w:val="false"/>
                <w:sz w:val="19"/>
                <w:szCs w:val="19"/>
              </w:rPr>
              <w:t xml:space="preserve">Current, live GPU rendering-API capability, active Android devices</w:t>
            </w:r>
          </w:p>
        </w:tc>
        <w:tc>
          <w:tcPr>
            <w:tcW w:type="dxa" w:w="1872"/>
            <w:tcMar>
              <w:top w:type="dxa" w:w="60"/>
              <w:left w:type="dxa" w:w="100"/>
              <w:bottom w:type="dxa" w:w="60"/>
              <w:right w:type="dxa" w:w="100"/>
            </w:tcMar>
          </w:tcPr>
          <w:p>
            <w:r>
              <w:rPr>
                <w:b w:val="false"/>
                <w:bCs w:val="false"/>
                <w:sz w:val="19"/>
                <w:szCs w:val="19"/>
              </w:rPr>
              <w:t xml:space="preserve">OpenGL ES 3.2: 98.24%; see full table</w:t>
            </w:r>
          </w:p>
        </w:tc>
        <w:tc>
          <w:tcPr>
            <w:tcW w:type="dxa" w:w="1872"/>
            <w:tcMar>
              <w:top w:type="dxa" w:w="60"/>
              <w:left w:type="dxa" w:w="100"/>
              <w:bottom w:type="dxa" w:w="60"/>
              <w:right w:type="dxa" w:w="100"/>
            </w:tcMar>
          </w:tcPr>
          <w:p>
            <w:r>
              <w:rPr>
                <w:b w:val="false"/>
                <w:bCs w:val="false"/>
                <w:sz w:val="19"/>
                <w:szCs w:val="19"/>
              </w:rPr>
              <w:t xml:space="preserve">2026-08-30</w:t>
            </w:r>
          </w:p>
        </w:tc>
        <w:tc>
          <w:tcPr>
            <w:tcW w:type="dxa" w:w="1872"/>
            <w:tcMar>
              <w:top w:type="dxa" w:w="60"/>
              <w:left w:type="dxa" w:w="100"/>
              <w:bottom w:type="dxa" w:w="60"/>
              <w:right w:type="dxa" w:w="100"/>
            </w:tcMar>
          </w:tcPr>
          <w:p>
            <w:r>
              <w:rPr>
                <w:b w:val="false"/>
                <w:bCs w:val="false"/>
                <w:sz w:val="19"/>
                <w:szCs w:val="19"/>
              </w:rPr>
              <w:t xml:space="preserve">HIGH</w:t>
            </w:r>
          </w:p>
        </w:tc>
      </w:tr>
    </w:tbl>
    <w:p>
      <w:pPr>
        <w:spacing w:after="160"/>
      </w:pPr>
      <w:r>
        <w:t xml:space="preserve"/>
      </w:r>
    </w:p>
    <w:p>
      <w:pPr>
        <w:spacing w:after="160"/>
      </w:pPr>
      <w:r>
        <w:t xml:space="preserve">Full source URLs are listed in the Facilitator Guide's appendix and case.json for reference. Key links: Counterpoint Research (</w:t>
      </w:r>
      <w:hyperlink w:history="1" r:id="rIdnathrqwc1g7ybaxgbcbv-">
        <w:r>
          <w:rPr>
            <w:rStyle w:val="Hyperlink"/>
          </w:rPr>
          <w:t xml:space="preserve">counterpointresearch.com</w:t>
        </w:r>
      </w:hyperlink>
      <w:r>
        <w:t xml:space="preserve">), Apple's OpenGL ES Hardware Platform Guide (</w:t>
      </w:r>
      <w:hyperlink w:history="1" r:id="rIdyu_wceljlst514dv2yxnq">
        <w:r>
          <w:rPr>
            <w:rStyle w:val="Hyperlink"/>
          </w:rPr>
          <w:t xml:space="preserve">developer.apple.com</w:t>
        </w:r>
      </w:hyperlink>
      <w:r>
        <w:t xml:space="preserve">), Unreal Engine texture documentation (</w:t>
      </w:r>
      <w:hyperlink w:history="1" r:id="rIds_wn-dv8nugesicdflf4p">
        <w:r>
          <w:rPr>
            <w:rStyle w:val="Hyperlink"/>
          </w:rPr>
          <w:t xml:space="preserve">dev.epicgames.com</w:t>
        </w:r>
      </w:hyperlink>
      <w:r>
        <w:t xml:space="preserve">), Unity SystemInfo documentation (</w:t>
      </w:r>
      <w:hyperlink w:history="1" r:id="rIdflie6j6qj8fshx_qda54i">
        <w:r>
          <w:rPr>
            <w:rStyle w:val="Hyperlink"/>
          </w:rPr>
          <w:t xml:space="preserve">docs.unity3d.com</w:t>
        </w:r>
      </w:hyperlink>
      <w:r>
        <w:t xml:space="preserve">), and Google's Android Distribution dashboard (</w:t>
      </w:r>
      <w:hyperlink w:history="1" r:id="rIdqnvgs8r7damlbqkn2bcw3">
        <w:r>
          <w:rPr>
            <w:rStyle w:val="Hyperlink"/>
          </w:rPr>
          <w:t xml:space="preserve">developer.android.com</w:t>
        </w:r>
      </w:hyperlink>
      <w:r>
        <w:t xml:space="preserve">).</w:t>
      </w:r>
    </w:p>
    <w:p>
      <w:pPr>
        <w:pStyle w:val="Heading1"/>
        <w:spacing w:after="160" w:before="300"/>
      </w:pPr>
      <w:r>
        <w:rPr>
          <w:b/>
          <w:bCs/>
        </w:rPr>
        <w:t xml:space="preserve">Appendix G — “How To…” Math Questions To Research</w:t>
      </w:r>
    </w:p>
    <w:p>
      <w:pPr>
        <w:pStyle w:val="Heading2"/>
        <w:spacing w:after="120" w:before="240"/>
      </w:pPr>
      <w:r>
        <w:rPr>
          <w:b/>
          <w:bCs/>
        </w:rPr>
        <w:t xml:space="preserve">Vocabulary terms</w:t>
      </w:r>
    </w:p>
    <w:p>
      <w:pPr>
        <w:pStyle w:val="ListParagraph"/>
        <w:numPr>
          <w:ilvl w:val="0"/>
          <w:numId w:val="2"/>
        </w:numPr>
        <w:spacing w:after="80"/>
      </w:pPr>
      <w:r>
        <w:t xml:space="preserve">Matrix</w:t>
      </w:r>
    </w:p>
    <w:p>
      <w:pPr>
        <w:pStyle w:val="ListParagraph"/>
        <w:numPr>
          <w:ilvl w:val="0"/>
          <w:numId w:val="2"/>
        </w:numPr>
        <w:spacing w:after="80"/>
      </w:pPr>
      <w:r>
        <w:t xml:space="preserve">Matrix Dimension</w:t>
      </w:r>
    </w:p>
    <w:p>
      <w:pPr>
        <w:pStyle w:val="ListParagraph"/>
        <w:numPr>
          <w:ilvl w:val="0"/>
          <w:numId w:val="2"/>
        </w:numPr>
        <w:spacing w:after="80"/>
      </w:pPr>
      <w:r>
        <w:t xml:space="preserve">Determinant</w:t>
      </w:r>
    </w:p>
    <w:p>
      <w:pPr>
        <w:pStyle w:val="ListParagraph"/>
        <w:numPr>
          <w:ilvl w:val="0"/>
          <w:numId w:val="2"/>
        </w:numPr>
        <w:spacing w:after="80"/>
      </w:pPr>
      <w:r>
        <w:t xml:space="preserve">Identity Matrix</w:t>
      </w:r>
    </w:p>
    <w:p>
      <w:pPr>
        <w:pStyle w:val="Heading2"/>
        <w:spacing w:after="120" w:before="240"/>
      </w:pPr>
      <w:r>
        <w:rPr>
          <w:b/>
          <w:bCs/>
        </w:rPr>
        <w:t xml:space="preserve">“How to…” questions</w:t>
      </w:r>
    </w:p>
    <w:p>
      <w:pPr>
        <w:pStyle w:val="ListParagraph"/>
        <w:numPr>
          <w:ilvl w:val="0"/>
          <w:numId w:val="2"/>
        </w:numPr>
        <w:spacing w:after="80"/>
      </w:pPr>
      <w:r>
        <w:t xml:space="preserve">How to add and multiply matrices</w:t>
      </w:r>
    </w:p>
    <w:p>
      <w:pPr>
        <w:pStyle w:val="ListParagraph"/>
        <w:numPr>
          <w:ilvl w:val="0"/>
          <w:numId w:val="2"/>
        </w:numPr>
        <w:spacing w:after="80"/>
      </w:pPr>
      <w:r>
        <w:t xml:space="preserve">How to find the determinant of a 2x2 matrix</w:t>
      </w:r>
    </w:p>
    <w:p>
      <w:pPr>
        <w:pStyle w:val="ListParagraph"/>
        <w:numPr>
          <w:ilvl w:val="0"/>
          <w:numId w:val="2"/>
        </w:numPr>
        <w:spacing w:after="80"/>
      </w:pPr>
      <w:r>
        <w:t xml:space="preserve">How to solve a system of equations using a matrix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athrqwc1g7ybaxgbcbv-" Type="http://schemas.openxmlformats.org/officeDocument/2006/relationships/hyperlink" Target="https://counterpointresearch.com/en/insights/india-smartphone-market-q2-2025" TargetMode="External"/><Relationship Id="rIdyu_wceljlst514dv2yxnq" Type="http://schemas.openxmlformats.org/officeDocument/2006/relationships/hyperlink" Target="https://developer.apple.com/library/archive/documentation/OpenGLES/Conceptual/OpenGLESHardwarePlatformGuide_iOS/OpenGLESPlatforms/OpenGLESPlatforms.html" TargetMode="External"/><Relationship Id="rIds_wn-dv8nugesicdflf4p" Type="http://schemas.openxmlformats.org/officeDocument/2006/relationships/hyperlink" Target="https://dev.epicgames.com/documentation/en-us/unreal-engine/texture-format-support-and-settings-in-unreal-engine" TargetMode="External"/><Relationship Id="rIdflie6j6qj8fshx_qda54i" Type="http://schemas.openxmlformats.org/officeDocument/2006/relationships/hyperlink" Target="https://docs.unity3d.com/ScriptReference/SystemInfo-maxTextureSize.html" TargetMode="External"/><Relationship Id="rIdqnvgs8r7damlbqkn2bcw3" Type="http://schemas.openxmlformats.org/officeDocument/2006/relationships/hyperlink" Target="https://developer.android.com/about/dashboard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2026-08-31T18:09:20.838Z</dcterms:created>
  <dcterms:modified xsi:type="dcterms:W3CDTF">2026-08-31T18:09:20.838Z</dcterms:modified>
</cp:coreProperties>
</file>

<file path=docProps/custom.xml><?xml version="1.0" encoding="utf-8"?>
<Properties xmlns="http://schemas.openxmlformats.org/officeDocument/2006/custom-properties" xmlns:vt="http://schemas.openxmlformats.org/officeDocument/2006/docPropsVTypes"/>
</file>