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w:t>
      </w:r>
    </w:p>
    <w:p>
      <w:pPr>
        <w:spacing w:after="40"/>
        <w:jc w:val="center"/>
      </w:pPr>
      <w:r>
        <w:rPr>
          <w:b/>
          <w:bCs/>
          <w:sz w:val="26"/>
          <w:szCs w:val="26"/>
        </w:rPr>
        <w:t xml:space="preserve">The Skin Pack Atlas</w:t>
      </w:r>
    </w:p>
    <w:p>
      <w:pPr>
        <w:spacing w:after="300"/>
        <w:jc w:val="center"/>
      </w:pPr>
      <w:r>
        <w:rPr>
          <w:i/>
          <w:iCs/>
          <w:color w:val="C00000"/>
          <w:sz w:val="20"/>
          <w:szCs w:val="20"/>
        </w:rPr>
        <w:t xml:space="preserve">MS | Math | Case Study | 2026 | Adventure — FACILITATOR ONLY, do not distribute to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pPr>
              <w:spacing w:after="100"/>
            </w:pPr>
            <w:r>
              <w:rPr>
                <w:b/>
                <w:bCs/>
                <w:sz w:val="22"/>
                <w:szCs w:val="22"/>
              </w:rPr>
              <w:t xml:space="preserve">Run-of-show summary</w:t>
            </w:r>
          </w:p>
          <w:p>
            <w:pPr>
              <w:spacing w:after="80"/>
            </w:pPr>
            <w:r>
              <w:rPr>
                <w:sz w:val="20"/>
                <w:szCs w:val="20"/>
              </w:rPr>
              <w:t xml:space="preserve">Margin: 14.9% (Option B wins). Option A's revenue-weighted success rate is 85.1% vs. Option B's fixed 100%.</w:t>
            </w:r>
          </w:p>
          <w:p>
            <w:pPr>
              <w:spacing w:after="80"/>
            </w:pPr>
            <w:r>
              <w:rPr>
                <w:b/>
                <w:bCs/>
                <w:sz w:val="20"/>
                <w:szCs w:val="20"/>
              </w:rPr>
              <w:t xml:space="preserve">Argument for A (Crest Atlas): </w:t>
            </w:r>
            <w:r>
              <w:rPr>
                <w:sz w:val="20"/>
                <w:szCs w:val="20"/>
              </w:rPr>
              <w:t xml:space="preserve">full detail ships to every Flagship-tier device; failing Value-tier devices skew toward Tanager's lowest-revenue-per-install segment, so the revenue-weighted failure rate should read smaller than the raw device-count failure rate.</w:t>
            </w:r>
          </w:p>
          <w:p>
            <w:pPr>
              <w:spacing w:after="80"/>
            </w:pPr>
            <w:r>
              <w:rPr>
                <w:b/>
                <w:bCs/>
                <w:sz w:val="20"/>
                <w:szCs w:val="20"/>
              </w:rPr>
              <w:t xml:space="preserve">Argument for B (Anchor Atlas): </w:t>
            </w:r>
            <w:r>
              <w:rPr>
                <w:sz w:val="20"/>
                <w:szCs w:val="20"/>
              </w:rPr>
              <w:t xml:space="preserve">every device Tanager has ever tested loads it — revenue-weighted success is a fixed, unconditional 100%. Costs polish, never a paying player.</w:t>
            </w:r>
          </w:p>
          <w:p>
            <w:r>
              <w:rPr>
                <w:b/>
                <w:bCs/>
                <w:sz w:val="20"/>
                <w:szCs w:val="20"/>
              </w:rPr>
              <w:t xml:space="preserve">SPEC §6 sensitivity: </w:t>
            </w:r>
            <w:r>
              <w:rPr>
                <w:sz w:val="20"/>
                <w:szCs w:val="20"/>
              </w:rPr>
              <w:t xml:space="preserve">None declared — routine shipping/engineering trade-off per the concept sheet. Normal classroom awareness only (some Heroes may know people who play mobile games on lower-cost devices in the named markets).</w:t>
            </w:r>
          </w:p>
        </w:tc>
      </w:tr>
    </w:tbl>
    <w:p>
      <w:pPr>
        <w:spacing w:after="160"/>
      </w:pPr>
      <w:r>
        <w:t xml:space="preserve"/>
      </w:r>
    </w:p>
    <w:p>
      <w:pPr>
        <w:pStyle w:val="Heading1"/>
        <w:spacing w:after="160" w:before="300"/>
      </w:pPr>
      <w:r>
        <w:rPr>
          <w:b/>
          <w:bCs/>
        </w:rPr>
        <w:t xml:space="preserve">Case metadata</w:t>
      </w:r>
    </w:p>
    <w:p>
      <w:pPr>
        <w:spacing w:after="160"/>
      </w:pPr>
      <w:r>
        <w:t xml:space="preserve">Case: The Skin Pack Atlas · Tier: T2 (MS-core) · Studio: Adventure</w:t>
      </w:r>
    </w:p>
    <w:p>
      <w:pPr>
        <w:spacing w:after="160"/>
      </w:pPr>
      <w:r>
        <w:t xml:space="preserve">Standards: Pre-Calculus/Matrices — Matrix / Matrix Dimension / Determinant / Identity Matrix / how to add and multiply matrices / how to find the determinant of a 2x2 matrix / how to solve a system of equations using a matrix.</w:t>
      </w:r>
    </w:p>
    <w:p>
      <w:pPr>
        <w:spacing w:after="160"/>
      </w:pPr>
      <w:r>
        <w:t xml:space="preserve">This is a second-pass/redundancy case — all 7 skill ids already carry n=1 coverage from the-multiplier-recruit, so new_coverage: [] is correct and expected here, not a gap. This case gives the Pre-Calculus/Matrices group a second, structurally distinct case in a different real-world domain (mobile game GPU/texture hardware, not regional economics).</w:t>
      </w:r>
    </w:p>
    <w:p>
      <w:pPr>
        <w:pStyle w:val="Heading1"/>
        <w:spacing w:after="160" w:before="300"/>
      </w:pPr>
      <w:r>
        <w:rPr>
          <w:b/>
          <w:bCs/>
        </w:rPr>
        <w:t xml:space="preserve">Intro</w:t>
      </w:r>
    </w:p>
    <w:p>
      <w:pPr>
        <w:spacing w:after="160"/>
      </w:pPr>
      <w:r>
        <w:t xml:space="preserve">Frame the format before any numbers: “You are Alicia Tran, the only technical artist at a seven-person indie studio. Tonight's skin pack has to ship in one of two builds. One looks noticeably better. The other one you know works everywhere. You have twenty minutes.” Let the room sit with that tension before Launch.</w:t>
      </w:r>
    </w:p>
    <w:p>
      <w:pPr>
        <w:pStyle w:val="Heading1"/>
        <w:spacing w:after="160" w:before="300"/>
      </w:pPr>
      <w:r>
        <w:rPr>
          <w:b/>
          <w:bCs/>
        </w:rPr>
        <w:t xml:space="preserve">Launch</w:t>
      </w:r>
    </w:p>
    <w:p>
      <w:pPr>
        <w:spacing w:after="160"/>
      </w:pPr>
      <w:r>
        <w:t xml:space="preserve">Show the two renders side by side with only the visual difference visible — no device data yet. Ask for a gut read: “Which one do you ship?” Most rooms will pick the crisper one on looks alone. Do not correct that instinct yet — it is exactly what the case is built to test.</w:t>
      </w:r>
    </w:p>
    <w:p>
      <w:pPr>
        <w:pStyle w:val="Heading1"/>
        <w:spacing w:after="160" w:before="300"/>
      </w:pPr>
      <w:r>
        <w:rPr>
          <w:b/>
          <w:bCs/>
        </w:rPr>
        <w:t xml:space="preserve">Anchor 1 — Take a stand and vote</w:t>
      </w:r>
    </w:p>
    <w:p>
      <w:pPr>
        <w:spacing w:after="160"/>
        <w:rPr>
          <w:b/>
          <w:bCs/>
        </w:rPr>
      </w:pPr>
      <w:r>
        <w:rPr>
          <w:b/>
          <w:bCs/>
        </w:rPr>
        <w:t xml:space="preserve">TAKE A STAND AND VOTE. No reasoning yet, just commit.</w:t>
      </w:r>
    </w:p>
    <w:p>
      <w:pPr>
        <w:spacing w:after="160"/>
      </w:pPr>
      <w:r>
        <w:t xml:space="preserve">“Is anyone courageous enough to stand with the Crest Atlas — the sharper one?” Show of hands, both options, no discussion. Record the count for the Close re-vote.</w:t>
      </w:r>
    </w:p>
    <w:p>
      <w:pPr>
        <w:pStyle w:val="Heading1"/>
        <w:spacing w:after="160" w:before="300"/>
      </w:pPr>
      <w:r>
        <w:rPr>
          <w:b/>
          <w:bCs/>
        </w:rPr>
        <w:t xml:space="preserve">Anchor 2 — What is the problem we're solving?</w:t>
      </w:r>
    </w:p>
    <w:p>
      <w:pPr>
        <w:spacing w:after="160"/>
        <w:rPr>
          <w:b/>
          <w:bCs/>
        </w:rPr>
      </w:pPr>
      <w:r>
        <w:rPr>
          <w:b/>
          <w:bCs/>
        </w:rPr>
        <w:t xml:space="preserve">“Is this the right question?” · “What does 'better' mean here?”</w:t>
      </w:r>
    </w:p>
    <w:p>
      <w:pPr>
        <w:spacing w:after="160"/>
      </w:pPr>
      <w:r>
        <w:t xml:space="preserve">Let confusion grow. Heroes will want to just compare “which looks nicer” or assume the safe option (Anchor Atlas) is obviously correct because it never fails. Push: “Alicia isn't being asked which texture looks better in a screenshot. She's being asked which one keeps the most paying players able to play at all — and whether a device failing to load a texture costs the studio the same amount no matter who's holding that device.” If the room arrives at “we need a number that accounts for both hardware failure and how much a player is worth” on its own, the case is working.</w:t>
      </w:r>
    </w:p>
    <w:p>
      <w:pPr>
        <w:pStyle w:val="Heading1"/>
        <w:spacing w:after="160" w:before="300"/>
      </w:pPr>
      <w:r>
        <w:rPr>
          <w:b/>
          <w:bCs/>
        </w:rPr>
        <w:t xml:space="preserve">Anchor 3 — What is the process?</w:t>
      </w:r>
    </w:p>
    <w:p>
      <w:pPr>
        <w:spacing w:after="160"/>
        <w:rPr>
          <w:b/>
          <w:bCs/>
        </w:rPr>
      </w:pPr>
      <w:r>
        <w:rPr>
          <w:b/>
          <w:bCs/>
        </w:rPr>
        <w:t xml:space="preserve">“If we go through this process and find the data, how will we decide?”</w:t>
      </w:r>
    </w:p>
    <w:p>
      <w:pPr>
        <w:spacing w:after="160"/>
      </w:pPr>
      <w:r>
        <w:t xml:space="preserve">Once the room has the right question, ask them to name the steps before opening Appendix B: build the install-base matrix M (D1), find its inverse and check the identity-matrix verification (D2), confirm the determinant is nonzero first (D3), solve for revenue-per-install by device tier (D4), then apply that to the whole install base for each atlas option (D5). Re-ask: “Now that we can see the steps — is our question still the right one?”</w:t>
      </w:r>
    </w:p>
    <w:p>
      <w:pPr>
        <w:pStyle w:val="Heading1"/>
        <w:spacing w:after="160" w:before="300"/>
      </w:pPr>
      <w:r>
        <w:rPr>
          <w:b/>
          <w:bCs/>
        </w:rPr>
        <w:t xml:space="preserve">Anchor 4 — What don't we know?</w:t>
      </w:r>
    </w:p>
    <w:p>
      <w:pPr>
        <w:spacing w:after="160"/>
        <w:rPr>
          <w:b/>
          <w:bCs/>
        </w:rPr>
      </w:pPr>
      <w:r>
        <w:rPr>
          <w:b/>
          <w:bCs/>
        </w:rPr>
        <w:t xml:space="preserve">“Do we need to make assumptions? Which ones are critical?”</w:t>
      </w:r>
    </w:p>
    <w:p>
      <w:pPr>
        <w:spacing w:after="160"/>
      </w:pPr>
      <w:r>
        <w:t xml:space="preserve">Surface Appendix E's three Modeling Assumptions honestly: MA1 (Tanager Games and Molt are fictional — the install and revenue figures are invented business numbers, built to match real, cited current regional chipset-vendor data even though the studio itself isn't real), MA2 (chipset-vendor share is used as a stand-in for “capped below 8192,” a real and current but still imperfect proxy), and MA3, new as of the 2026-08-30 re-research pass: the model's Value-tier cap describes the Mali-400 GPU, which ARM discontinued in 2015 — the budget chips that actually dominate these markets today run newer Mali-G52/G57-class GPUs that support OpenGL ES 3.2 and Vulkan, tiers the Mali-400 never reached. Ask which assumption is load-bearing (MA1) and which one biases the result in a known direction (MA3 — it likely means the model overstates Option A's true 2026 failure rate, not understates it).</w:t>
      </w:r>
    </w:p>
    <w:p>
      <w:pPr>
        <w:pStyle w:val="Heading1"/>
        <w:spacing w:after="160" w:before="300"/>
      </w:pPr>
      <w:r>
        <w:rPr>
          <w:b/>
          <w:bCs/>
        </w:rPr>
        <w:t xml:space="preserve">Data Deep Dive</w:t>
      </w:r>
    </w:p>
    <w:p>
      <w:pPr>
        <w:spacing w:after="160"/>
      </w:pPr>
      <w:r>
        <w:t xml:space="preserve">Now, and only now, the numbers. Walk D1–D3 as a room (build the matrix, invert it, check the determinant), then split into two desks for D4 — one solves for Flagship-tier revenue-per-install, one cross-checks the Value-tier figure — before reconvening for D5's shared decision table.</w:t>
      </w:r>
    </w:p>
    <w:p>
      <w:pPr>
        <w:pStyle w:val="Heading2"/>
        <w:spacing w:after="100" w:before="200"/>
      </w:pPr>
      <w:r>
        <w:rPr>
          <w:b/>
          <w:bCs/>
        </w:rPr>
        <w:t xml:space="preserve">Facilitator-only arithmetic (recomputed 2026-08-30, staleness-remediation pass)</w:t>
      </w:r>
    </w:p>
    <w:p>
      <w:pPr>
        <w:spacing w:after="160"/>
      </w:pPr>
      <w:r>
        <w:t xml:space="preserve">Inputs (Appendix A): India 40,000 installs (53% Flagship / 47% Value), $19,780/month revenue; Nigeria 20,000 installs (49.3% Flagship / 50.7% Value), $9,409/month revenue.</w:t>
      </w:r>
    </w:p>
    <w:p>
      <w:pPr>
        <w:spacing w:after="160"/>
        <w:rPr>
          <w:rFonts w:ascii="Consolas" w:cs="Consolas" w:eastAsia="Consolas" w:hAnsi="Consolas"/>
        </w:rPr>
      </w:pPr>
      <w:r>
        <w:rPr>
          <w:rFonts w:ascii="Consolas" w:cs="Consolas" w:eastAsia="Consolas" w:hAnsi="Consolas"/>
        </w:rPr>
        <w:t xml:space="preserve">M = [ 21,200  18,800 ]      (India:   40,000 × 0.53, 40,000 × 0.47)</w:t>
      </w:r>
    </w:p>
    <w:p>
      <w:pPr>
        <w:spacing w:after="160"/>
        <w:rPr>
          <w:rFonts w:ascii="Consolas" w:cs="Consolas" w:eastAsia="Consolas" w:hAnsi="Consolas"/>
        </w:rPr>
      </w:pPr>
      <w:r>
        <w:rPr>
          <w:rFonts w:ascii="Consolas" w:cs="Consolas" w:eastAsia="Consolas" w:hAnsi="Consolas"/>
        </w:rPr>
        <w:t xml:space="preserve">    [  9,860  10,140 ]      (Nigeria: 20,000 × 0.493, 20,000 × 0.507)</w:t>
      </w:r>
    </w:p>
    <w:p>
      <w:pPr>
        <w:spacing w:after="160"/>
        <w:rPr>
          <w:rFonts w:ascii="Consolas" w:cs="Consolas" w:eastAsia="Consolas" w:hAnsi="Consolas"/>
        </w:rPr>
      </w:pPr>
      <w:r>
        <w:rPr>
          <w:rFonts w:ascii="Consolas" w:cs="Consolas" w:eastAsia="Consolas" w:hAnsi="Consolas"/>
        </w:rPr>
        <w:t xml:space="preserve">det(M) = 21,200(10,140) − 18,800(9,860) = 214,968,000 − 185,368,000 = 29,600,000  (nonzero → invertible)</w:t>
      </w:r>
    </w:p>
    <w:p>
      <w:pPr>
        <w:spacing w:after="160"/>
        <w:rPr>
          <w:rFonts w:ascii="Consolas" w:cs="Consolas" w:eastAsia="Consolas" w:hAnsi="Consolas"/>
        </w:rPr>
      </w:pPr>
      <w:r>
        <w:rPr>
          <w:rFonts w:ascii="Consolas" w:cs="Consolas" w:eastAsia="Consolas" w:hAnsi="Consolas"/>
        </w:rPr>
        <w:t xml:space="preserve">M⁻¹ = (1/29,600,000) [ 10,140  −18,800 ]</w:t>
      </w:r>
    </w:p>
    <w:p>
      <w:pPr>
        <w:spacing w:after="160"/>
        <w:rPr>
          <w:rFonts w:ascii="Consolas" w:cs="Consolas" w:eastAsia="Consolas" w:hAnsi="Consolas"/>
        </w:rPr>
      </w:pPr>
      <w:r>
        <w:rPr>
          <w:rFonts w:ascii="Consolas" w:cs="Consolas" w:eastAsia="Consolas" w:hAnsi="Consolas"/>
        </w:rPr>
        <w:t xml:space="preserve">                       [ −9,860   21,200 ]</w:t>
      </w:r>
    </w:p>
    <w:p>
      <w:pPr>
        <w:spacing w:after="160"/>
        <w:rPr>
          <w:rFonts w:ascii="Consolas" w:cs="Consolas" w:eastAsia="Consolas" w:hAnsi="Consolas"/>
        </w:rPr>
      </w:pPr>
      <w:r>
        <w:rPr>
          <w:rFonts w:ascii="Consolas" w:cs="Consolas" w:eastAsia="Consolas" w:hAnsi="Consolas"/>
        </w:rPr>
        <w:t xml:space="preserve">v = [19,780; 9,409]   (reported total monthly revenue, India; Nigeria)</w:t>
      </w:r>
    </w:p>
    <w:p>
      <w:pPr>
        <w:spacing w:after="160"/>
        <w:rPr>
          <w:rFonts w:ascii="Consolas" w:cs="Consolas" w:eastAsia="Consolas" w:hAnsi="Consolas"/>
        </w:rPr>
      </w:pPr>
      <w:r>
        <w:rPr>
          <w:rFonts w:ascii="Consolas" w:cs="Consolas" w:eastAsia="Consolas" w:hAnsi="Consolas"/>
        </w:rPr>
        <w:t xml:space="preserve">r = M⁻¹v = [0.80; 0.15]  →  $0.80/mo per Flagship-tier install, $0.15/mo per Value-tier install</w:t>
      </w:r>
    </w:p>
    <w:p>
      <w:pPr>
        <w:spacing w:after="160"/>
      </w:pPr>
      <w:r>
        <w:t xml:space="preserve">Totals: 31,060 Flagship-tier installs, 28,940 Value-tier installs, 60,000 installs overall; $24,848/month Flagship-tier revenue of $29,189/month total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CE4D6" w:val="clear"/>
            <w:tcMar>
              <w:top w:type="dxa" w:w="60"/>
              <w:left w:type="dxa" w:w="100"/>
              <w:bottom w:type="dxa" w:w="60"/>
              <w:right w:type="dxa" w:w="100"/>
            </w:tcMar>
          </w:tcPr>
          <w:p>
            <w:r>
              <w:rPr>
                <w:b/>
                <w:bCs/>
                <w:sz w:val="19"/>
                <w:szCs w:val="19"/>
              </w:rPr>
              <w:t xml:space="preserve"/>
            </w:r>
          </w:p>
        </w:tc>
        <w:tc>
          <w:tcPr>
            <w:tcW w:type="dxa" w:w="3120"/>
            <w:shd w:fill="FCE4D6" w:val="clear"/>
            <w:tcMar>
              <w:top w:type="dxa" w:w="60"/>
              <w:left w:type="dxa" w:w="100"/>
              <w:bottom w:type="dxa" w:w="60"/>
              <w:right w:type="dxa" w:w="100"/>
            </w:tcMar>
          </w:tcPr>
          <w:p>
            <w:r>
              <w:rPr>
                <w:b/>
                <w:bCs/>
                <w:sz w:val="19"/>
                <w:szCs w:val="19"/>
              </w:rPr>
              <w:t xml:space="preserve">Device-count % rendering successfully</w:t>
            </w:r>
          </w:p>
        </w:tc>
        <w:tc>
          <w:tcPr>
            <w:tcW w:type="dxa" w:w="3120"/>
            <w:shd w:fill="FCE4D6" w:val="clear"/>
            <w:tcMar>
              <w:top w:type="dxa" w:w="60"/>
              <w:left w:type="dxa" w:w="100"/>
              <w:bottom w:type="dxa" w:w="60"/>
              <w:right w:type="dxa" w:w="100"/>
            </w:tcMar>
          </w:tcPr>
          <w:p>
            <w:r>
              <w:rPr>
                <w:b/>
                <w:bCs/>
                <w:sz w:val="19"/>
                <w:szCs w:val="19"/>
              </w:rPr>
              <w:t xml:space="preserve">Revenue-weighted % rendering successfully</w:t>
            </w:r>
          </w:p>
        </w:tc>
      </w:tr>
      <w:tr>
        <w:tc>
          <w:tcPr>
            <w:tcW w:type="dxa" w:w="3120"/>
            <w:tcMar>
              <w:top w:type="dxa" w:w="60"/>
              <w:left w:type="dxa" w:w="100"/>
              <w:bottom w:type="dxa" w:w="60"/>
              <w:right w:type="dxa" w:w="100"/>
            </w:tcMar>
          </w:tcPr>
          <w:p>
            <w:r>
              <w:rPr>
                <w:b w:val="false"/>
                <w:bCs w:val="false"/>
                <w:sz w:val="19"/>
                <w:szCs w:val="19"/>
              </w:rPr>
              <w:t xml:space="preserve">Option A — Crest Atlas (8192)</w:t>
            </w:r>
          </w:p>
        </w:tc>
        <w:tc>
          <w:tcPr>
            <w:tcW w:type="dxa" w:w="3120"/>
            <w:tcMar>
              <w:top w:type="dxa" w:w="60"/>
              <w:left w:type="dxa" w:w="100"/>
              <w:bottom w:type="dxa" w:w="60"/>
              <w:right w:type="dxa" w:w="100"/>
            </w:tcMar>
          </w:tcPr>
          <w:p>
            <w:r>
              <w:rPr>
                <w:b w:val="false"/>
                <w:bCs w:val="false"/>
                <w:sz w:val="19"/>
                <w:szCs w:val="19"/>
              </w:rPr>
              <w:t xml:space="preserve">31,060 / 60,000 = 51.8%</w:t>
            </w:r>
          </w:p>
        </w:tc>
        <w:tc>
          <w:tcPr>
            <w:tcW w:type="dxa" w:w="3120"/>
            <w:tcMar>
              <w:top w:type="dxa" w:w="60"/>
              <w:left w:type="dxa" w:w="100"/>
              <w:bottom w:type="dxa" w:w="60"/>
              <w:right w:type="dxa" w:w="100"/>
            </w:tcMar>
          </w:tcPr>
          <w:p>
            <w:r>
              <w:rPr>
                <w:b w:val="false"/>
                <w:bCs w:val="false"/>
                <w:sz w:val="19"/>
                <w:szCs w:val="19"/>
              </w:rPr>
              <w:t xml:space="preserve">$24,848 / $29,189 = 85.1%</w:t>
            </w:r>
          </w:p>
        </w:tc>
      </w:tr>
      <w:tr>
        <w:tc>
          <w:tcPr>
            <w:tcW w:type="dxa" w:w="3120"/>
            <w:tcMar>
              <w:top w:type="dxa" w:w="60"/>
              <w:left w:type="dxa" w:w="100"/>
              <w:bottom w:type="dxa" w:w="60"/>
              <w:right w:type="dxa" w:w="100"/>
            </w:tcMar>
          </w:tcPr>
          <w:p>
            <w:r>
              <w:rPr>
                <w:b w:val="false"/>
                <w:bCs w:val="false"/>
                <w:sz w:val="19"/>
                <w:szCs w:val="19"/>
              </w:rPr>
              <w:t xml:space="preserve">Option B — Anchor Atlas (4096)</w:t>
            </w:r>
          </w:p>
        </w:tc>
        <w:tc>
          <w:tcPr>
            <w:tcW w:type="dxa" w:w="3120"/>
            <w:tcMar>
              <w:top w:type="dxa" w:w="60"/>
              <w:left w:type="dxa" w:w="100"/>
              <w:bottom w:type="dxa" w:w="60"/>
              <w:right w:type="dxa" w:w="100"/>
            </w:tcMar>
          </w:tcPr>
          <w:p>
            <w:r>
              <w:rPr>
                <w:b w:val="false"/>
                <w:bCs w:val="false"/>
                <w:sz w:val="19"/>
                <w:szCs w:val="19"/>
              </w:rPr>
              <w:t xml:space="preserve">100% (fixed, by construction)</w:t>
            </w:r>
          </w:p>
        </w:tc>
        <w:tc>
          <w:tcPr>
            <w:tcW w:type="dxa" w:w="3120"/>
            <w:tcMar>
              <w:top w:type="dxa" w:w="60"/>
              <w:left w:type="dxa" w:w="100"/>
              <w:bottom w:type="dxa" w:w="60"/>
              <w:right w:type="dxa" w:w="100"/>
            </w:tcMar>
          </w:tcPr>
          <w:p>
            <w:r>
              <w:rPr>
                <w:b w:val="false"/>
                <w:bCs w:val="false"/>
                <w:sz w:val="19"/>
                <w:szCs w:val="19"/>
              </w:rPr>
              <w:t xml:space="preserve">100% (fixed, by construction)</w:t>
            </w:r>
          </w:p>
        </w:tc>
      </w:tr>
    </w:tbl>
    <w:p>
      <w:pPr>
        <w:spacing w:after="160"/>
      </w:pPr>
      <w:r>
        <w:t xml:space="preserve"/>
      </w:r>
    </w:p>
    <w:p>
      <w:pPr>
        <w:spacing w:after="160"/>
      </w:pPr>
      <w:r>
        <w:t xml:space="preserve">Recommendation and margin: Option B wins. Margin = (100 − 85.1) / 100 = 14.9%, comfortably inside SPEC §2's ~20% cap. This is the case's intended twist made concrete: a Hero who stops at Appendix C's raw device-share numbers sees Option A failing on roughly half of devices and would call it reckless; the revenue-weighted number tells a materially less alarming story. Do not read the 85.1% figure aloud to Heroes before D4 is solved.</w:t>
      </w:r>
    </w:p>
    <w:p>
      <w:pPr>
        <w:spacing w:after="160"/>
      </w:pPr>
      <w:r>
        <w:t xml:space="preserve">A second layer, if a room gets this far (MA3): even 85.1% is likely too pessimistic for Option A — the model's Value-tier cap describes a discontinued GPU (Mali-400), not the newer chips that actually dominate these markets today. If a Hero raises this, walk them to the conclusion that it makes Option B's margin conservative, not wrong. The recommendation doesn't flip; the honesty of the number improves.</w:t>
      </w:r>
    </w:p>
    <w:p>
      <w:pPr>
        <w:pStyle w:val="Heading1"/>
        <w:spacing w:after="160" w:before="300"/>
      </w:pPr>
      <w:r>
        <w:rPr>
          <w:b/>
          <w:bCs/>
        </w:rPr>
        <w:t xml:space="preserve">Twist</w:t>
      </w:r>
    </w:p>
    <w:p>
      <w:pPr>
        <w:spacing w:after="160"/>
      </w:pPr>
      <w:r>
        <w:t xml:space="preserve">Twist: N/A. The surprise here is mathematical, not narrative: the moment a Hero realizes that “percent of devices that fail” and “percent of revenue that fails” are not the same number, and that the gap between them is exactly what D4's matrix solve was for. A Hero who stops at Appendix C's raw device-share percentages will never notice this on their own.</w:t>
      </w:r>
    </w:p>
    <w:p>
      <w:pPr>
        <w:pStyle w:val="Heading1"/>
        <w:spacing w:after="160" w:before="300"/>
      </w:pPr>
      <w:r>
        <w:rPr>
          <w:b/>
          <w:bCs/>
        </w:rPr>
        <w:t xml:space="preserve">Immediate recommit</w:t>
      </w:r>
    </w:p>
    <w:p>
      <w:pPr>
        <w:spacing w:after="160"/>
      </w:pPr>
      <w:r>
        <w:t xml:space="preserve">Re-vote immediately after D5's decision table lands. Ask by name: “Now that you've seen 85.1% instead of 51.8% — does that change your vote, or does it just tell you that 'roughly half of devices' was the wrong number to vote on in the first place?” That distinction — noticing which number the decision actually turns on — is the transferable skill, not the vote itself.</w:t>
      </w:r>
    </w:p>
    <w:p>
      <w:pPr>
        <w:pStyle w:val="Heading1"/>
        <w:spacing w:after="160" w:before="300"/>
      </w:pPr>
      <w:r>
        <w:rPr>
          <w:b/>
          <w:bCs/>
        </w:rPr>
        <w:t xml:space="preserve">The trap</w:t>
      </w:r>
    </w:p>
    <w:p>
      <w:pPr>
        <w:spacing w:after="160"/>
      </w:pPr>
      <w:r>
        <w:t xml:space="preserve">A Hero who reads Appendix C, sees a large device-count share on Value-tier GPUs in Tanager's fastest-growing markets, and stops there will conclude the Crest Atlas is an obviously reckless choice. That conclusion never asks whether those failing devices are worth the same to the studio as the devices that succeed. Watch for a pitch that cites only Appendix C's device-share percentages and never opens Appendix A or D4's solved revenue-per-install vector.</w:t>
      </w:r>
    </w:p>
    <w:p>
      <w:pPr>
        <w:spacing w:after="160"/>
      </w:pPr>
      <w:r>
        <w:t xml:space="preserve">A second, quieter trap: a Hero can build and solve the matrix correctly, produce a genuinely smaller revenue-weighted failure rate for Option A, and still be wrong to recommend Option A if that rate remains too far below Option B's fixed 100% once SPEC §2's 20% margin cap is checked. Correct matrix work does not by itself make Option A the right call — it only makes the comparison honest.</w:t>
      </w:r>
    </w:p>
    <w:p>
      <w:pPr>
        <w:pStyle w:val="Heading1"/>
        <w:spacing w:after="160" w:before="300"/>
      </w:pPr>
      <w:r>
        <w:rPr>
          <w:b/>
          <w:bCs/>
        </w:rPr>
        <w:t xml:space="preserve">What a strong defense sounds like</w:t>
      </w:r>
    </w:p>
    <w:p>
      <w:pPr>
        <w:spacing w:after="160"/>
      </w:pPr>
      <w:r>
        <w:t xml:space="preserve">A strong pitch — for either option — opens the revenue-weighted column before stating a recommendation, names which Modeling Assumption (MA1 or MA3) it is leaning on and why, and can say out loud what would have to change in Appendix A's numbers to flip its own conclusion. It treats the determinant check (D3) as a real gate, not a formality, and it does not conflate “most devices fail” with “most revenue fails” at any point in the argument. This case has no single right answer — a Hero who picks A but reasons correctly about the trade-off (and names MA1's install/revenue coupling as the real fragility) should be credited the same as a Hero who picks B.</w:t>
      </w:r>
    </w:p>
    <w:p>
      <w:pPr>
        <w:pStyle w:val="Heading1"/>
        <w:spacing w:after="160" w:before="300"/>
      </w:pPr>
      <w:r>
        <w:rPr>
          <w:b/>
          <w:bCs/>
        </w:rPr>
        <w:t xml:space="preserve">Close</w:t>
      </w:r>
    </w:p>
    <w:p>
      <w:pPr>
        <w:spacing w:after="160"/>
      </w:pPr>
      <w:r>
        <w:t xml:space="preserve">VOTE AGAIN. “Did we ask the right question at the start?” “What math was new to you tonight, and how did you actually attack it?” A room that voted the same way both times is worth pressing: did they land on their choice for the multiplier reason, or did they just guess right?</w:t>
      </w:r>
    </w:p>
    <w:p>
      <w:pPr>
        <w:pStyle w:val="Heading1"/>
        <w:spacing w:after="160" w:before="300"/>
      </w:pPr>
      <w:r>
        <w:rPr>
          <w:b/>
          <w:bCs/>
        </w:rPr>
        <w:t xml:space="preserve">Deep conflict — two threads (up to 20 min)</w:t>
      </w:r>
    </w:p>
    <w:p>
      <w:pPr>
        <w:pStyle w:val="ListParagraph"/>
        <w:numPr>
          <w:ilvl w:val="0"/>
          <w:numId w:val="2"/>
        </w:numPr>
        <w:spacing w:after="100"/>
      </w:pPr>
      <w:r>
        <w:t xml:space="preserve">Device-count failure vs. revenue-weighted failure. Is it fair for a studio's technical decision to weight a paying player's hardware failure as “worth less” than a bigger spender's, even when both players are locked out of content they already own? Where's the line between sound business math and treating some players as disposable?</w:t>
      </w:r>
    </w:p>
    <w:p>
      <w:pPr>
        <w:pStyle w:val="ListParagraph"/>
        <w:numPr>
          <w:ilvl w:val="0"/>
          <w:numId w:val="2"/>
        </w:numPr>
        <w:spacing w:after="100"/>
      </w:pPr>
      <w:r>
        <w:t xml:space="preserve">How much should Alicia trust a proxy? Chipset-vendor share stands in for “capped below 8192×8192,” but Appendix E discloses two real gaps: some non-MediaTek/Transsion devices may also be capped (MA2), and — the sharper current finding (MA3) — the budget chips this proxy actually counts have mostly moved past the Mali-400-era cap the model assumes, meaning the proxy likely overcounts Option A's true failure rate instead. Does the case's recommendation still hold once a Hero sees that — and how would Alicia find out before shipping, not after the support tickets arrive?</w:t>
      </w:r>
    </w:p>
    <w:p>
      <w:pPr>
        <w:pStyle w:val="Heading1"/>
        <w:spacing w:after="160" w:before="300"/>
      </w:pPr>
      <w:r>
        <w:rPr>
          <w:b/>
          <w:bCs/>
        </w:rP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b/>
                <w:bCs/>
                <w:sz w:val="19"/>
                <w:szCs w:val="19"/>
              </w:rPr>
              <w:t xml:space="preserve">Time</w:t>
            </w:r>
          </w:p>
        </w:tc>
        <w:tc>
          <w:tcPr>
            <w:tcW w:type="dxa" w:w="4680"/>
            <w:shd w:fill="D9E2F3" w:val="clear"/>
            <w:tcMar>
              <w:top w:type="dxa" w:w="60"/>
              <w:left w:type="dxa" w:w="100"/>
              <w:bottom w:type="dxa" w:w="60"/>
              <w:right w:type="dxa" w:w="100"/>
            </w:tcMar>
          </w:tcPr>
          <w:p>
            <w:r>
              <w:rPr>
                <w:b/>
                <w:bCs/>
                <w:sz w:val="19"/>
                <w:szCs w:val="19"/>
              </w:rPr>
              <w:t xml:space="preserve">Move</w:t>
            </w:r>
          </w:p>
        </w:tc>
      </w:tr>
      <w:tr>
        <w:tc>
          <w:tcPr>
            <w:tcW w:type="dxa" w:w="4680"/>
            <w:tcMar>
              <w:top w:type="dxa" w:w="60"/>
              <w:left w:type="dxa" w:w="100"/>
              <w:bottom w:type="dxa" w:w="60"/>
              <w:right w:type="dxa" w:w="100"/>
            </w:tcMar>
          </w:tcPr>
          <w:p>
            <w:r>
              <w:rPr>
                <w:b w:val="false"/>
                <w:bCs w:val="false"/>
                <w:sz w:val="19"/>
                <w:szCs w:val="19"/>
              </w:rPr>
              <w:t xml:space="preserve">0:00–3:00</w:t>
            </w:r>
          </w:p>
        </w:tc>
        <w:tc>
          <w:tcPr>
            <w:tcW w:type="dxa" w:w="4680"/>
            <w:tcMar>
              <w:top w:type="dxa" w:w="60"/>
              <w:left w:type="dxa" w:w="100"/>
              <w:bottom w:type="dxa" w:w="60"/>
              <w:right w:type="dxa" w:w="100"/>
            </w:tcMar>
          </w:tcPr>
          <w:p>
            <w:r>
              <w:rPr>
                <w:b w:val="false"/>
                <w:bCs w:val="false"/>
                <w:sz w:val="19"/>
                <w:szCs w:val="19"/>
              </w:rPr>
              <w:t xml:space="preserve">Launch — visual comparison only, gut-check vote</w:t>
            </w:r>
          </w:p>
        </w:tc>
      </w:tr>
      <w:tr>
        <w:tc>
          <w:tcPr>
            <w:tcW w:type="dxa" w:w="4680"/>
            <w:tcMar>
              <w:top w:type="dxa" w:w="60"/>
              <w:left w:type="dxa" w:w="100"/>
              <w:bottom w:type="dxa" w:w="60"/>
              <w:right w:type="dxa" w:w="100"/>
            </w:tcMar>
          </w:tcPr>
          <w:p>
            <w:r>
              <w:rPr>
                <w:b w:val="false"/>
                <w:bCs w:val="false"/>
                <w:sz w:val="19"/>
                <w:szCs w:val="19"/>
              </w:rPr>
              <w:t xml:space="preserve">3:00–8:00</w:t>
            </w:r>
          </w:p>
        </w:tc>
        <w:tc>
          <w:tcPr>
            <w:tcW w:type="dxa" w:w="4680"/>
            <w:tcMar>
              <w:top w:type="dxa" w:w="60"/>
              <w:left w:type="dxa" w:w="100"/>
              <w:bottom w:type="dxa" w:w="60"/>
              <w:right w:type="dxa" w:w="100"/>
            </w:tcMar>
          </w:tcPr>
          <w:p>
            <w:r>
              <w:rPr>
                <w:b w:val="false"/>
                <w:bCs w:val="false"/>
                <w:sz w:val="19"/>
                <w:szCs w:val="19"/>
              </w:rPr>
              <w:t xml:space="preserve">Anchor 1 vote recorded; Anchor 2 pressure-tests “better, measured how?”</w:t>
            </w:r>
          </w:p>
        </w:tc>
      </w:tr>
      <w:tr>
        <w:tc>
          <w:tcPr>
            <w:tcW w:type="dxa" w:w="4680"/>
            <w:tcMar>
              <w:top w:type="dxa" w:w="60"/>
              <w:left w:type="dxa" w:w="100"/>
              <w:bottom w:type="dxa" w:w="60"/>
              <w:right w:type="dxa" w:w="100"/>
            </w:tcMar>
          </w:tcPr>
          <w:p>
            <w:r>
              <w:rPr>
                <w:b w:val="false"/>
                <w:bCs w:val="false"/>
                <w:sz w:val="19"/>
                <w:szCs w:val="19"/>
              </w:rPr>
              <w:t xml:space="preserve">8:00–12:00</w:t>
            </w:r>
          </w:p>
        </w:tc>
        <w:tc>
          <w:tcPr>
            <w:tcW w:type="dxa" w:w="4680"/>
            <w:tcMar>
              <w:top w:type="dxa" w:w="60"/>
              <w:left w:type="dxa" w:w="100"/>
              <w:bottom w:type="dxa" w:w="60"/>
              <w:right w:type="dxa" w:w="100"/>
            </w:tcMar>
          </w:tcPr>
          <w:p>
            <w:r>
              <w:rPr>
                <w:b w:val="false"/>
                <w:bCs w:val="false"/>
                <w:sz w:val="19"/>
                <w:szCs w:val="19"/>
              </w:rPr>
              <w:t xml:space="preserve">Anchor 3 — name the five-step process before opening Appendix B</w:t>
            </w:r>
          </w:p>
        </w:tc>
      </w:tr>
      <w:tr>
        <w:tc>
          <w:tcPr>
            <w:tcW w:type="dxa" w:w="4680"/>
            <w:tcMar>
              <w:top w:type="dxa" w:w="60"/>
              <w:left w:type="dxa" w:w="100"/>
              <w:bottom w:type="dxa" w:w="60"/>
              <w:right w:type="dxa" w:w="100"/>
            </w:tcMar>
          </w:tcPr>
          <w:p>
            <w:r>
              <w:rPr>
                <w:b w:val="false"/>
                <w:bCs w:val="false"/>
                <w:sz w:val="19"/>
                <w:szCs w:val="19"/>
              </w:rPr>
              <w:t xml:space="preserve">12:00–15:00</w:t>
            </w:r>
          </w:p>
        </w:tc>
        <w:tc>
          <w:tcPr>
            <w:tcW w:type="dxa" w:w="4680"/>
            <w:tcMar>
              <w:top w:type="dxa" w:w="60"/>
              <w:left w:type="dxa" w:w="100"/>
              <w:bottom w:type="dxa" w:w="60"/>
              <w:right w:type="dxa" w:w="100"/>
            </w:tcMar>
          </w:tcPr>
          <w:p>
            <w:r>
              <w:rPr>
                <w:b w:val="false"/>
                <w:bCs w:val="false"/>
                <w:sz w:val="19"/>
                <w:szCs w:val="19"/>
              </w:rPr>
              <w:t xml:space="preserve">Anchor 4 — surface MA1–MA3, ask which is load-bearing vs. which biases direction</w:t>
            </w:r>
          </w:p>
        </w:tc>
      </w:tr>
      <w:tr>
        <w:tc>
          <w:tcPr>
            <w:tcW w:type="dxa" w:w="4680"/>
            <w:tcMar>
              <w:top w:type="dxa" w:w="60"/>
              <w:left w:type="dxa" w:w="100"/>
              <w:bottom w:type="dxa" w:w="60"/>
              <w:right w:type="dxa" w:w="100"/>
            </w:tcMar>
          </w:tcPr>
          <w:p>
            <w:r>
              <w:rPr>
                <w:b w:val="false"/>
                <w:bCs w:val="false"/>
                <w:sz w:val="19"/>
                <w:szCs w:val="19"/>
              </w:rPr>
              <w:t xml:space="preserve">15:00–30:00</w:t>
            </w:r>
          </w:p>
        </w:tc>
        <w:tc>
          <w:tcPr>
            <w:tcW w:type="dxa" w:w="4680"/>
            <w:tcMar>
              <w:top w:type="dxa" w:w="60"/>
              <w:left w:type="dxa" w:w="100"/>
              <w:bottom w:type="dxa" w:w="60"/>
              <w:right w:type="dxa" w:w="100"/>
            </w:tcMar>
          </w:tcPr>
          <w:p>
            <w:r>
              <w:rPr>
                <w:b w:val="false"/>
                <w:bCs w:val="false"/>
                <w:sz w:val="19"/>
                <w:szCs w:val="19"/>
              </w:rPr>
              <w:t xml:space="preserve">Data Deep Dive — D1–D5 worked in two desks, reconvene for the shared table</w:t>
            </w:r>
          </w:p>
        </w:tc>
      </w:tr>
      <w:tr>
        <w:tc>
          <w:tcPr>
            <w:tcW w:type="dxa" w:w="4680"/>
            <w:tcMar>
              <w:top w:type="dxa" w:w="60"/>
              <w:left w:type="dxa" w:w="100"/>
              <w:bottom w:type="dxa" w:w="60"/>
              <w:right w:type="dxa" w:w="100"/>
            </w:tcMar>
          </w:tcPr>
          <w:p>
            <w:r>
              <w:rPr>
                <w:b w:val="false"/>
                <w:bCs w:val="false"/>
                <w:sz w:val="19"/>
                <w:szCs w:val="19"/>
              </w:rPr>
              <w:t xml:space="preserve">~25:00</w:t>
            </w:r>
          </w:p>
        </w:tc>
        <w:tc>
          <w:tcPr>
            <w:tcW w:type="dxa" w:w="4680"/>
            <w:tcMar>
              <w:top w:type="dxa" w:w="60"/>
              <w:left w:type="dxa" w:w="100"/>
              <w:bottom w:type="dxa" w:w="60"/>
              <w:right w:type="dxa" w:w="100"/>
            </w:tcMar>
          </w:tcPr>
          <w:p>
            <w:r>
              <w:rPr>
                <w:b w:val="false"/>
                <w:bCs w:val="false"/>
                <w:sz w:val="19"/>
                <w:szCs w:val="19"/>
              </w:rPr>
              <w:t xml:space="preserve">NAME THE TRAP — device-count failure rate is not revenue-weighted failure rate</w:t>
            </w:r>
          </w:p>
        </w:tc>
      </w:tr>
      <w:tr>
        <w:tc>
          <w:tcPr>
            <w:tcW w:type="dxa" w:w="4680"/>
            <w:tcMar>
              <w:top w:type="dxa" w:w="60"/>
              <w:left w:type="dxa" w:w="100"/>
              <w:bottom w:type="dxa" w:w="60"/>
              <w:right w:type="dxa" w:w="100"/>
            </w:tcMar>
          </w:tcPr>
          <w:p>
            <w:r>
              <w:rPr>
                <w:b w:val="false"/>
                <w:bCs w:val="false"/>
                <w:sz w:val="19"/>
                <w:szCs w:val="19"/>
              </w:rPr>
              <w:t xml:space="preserve">30:00–40:00</w:t>
            </w:r>
          </w:p>
        </w:tc>
        <w:tc>
          <w:tcPr>
            <w:tcW w:type="dxa" w:w="4680"/>
            <w:tcMar>
              <w:top w:type="dxa" w:w="60"/>
              <w:left w:type="dxa" w:w="100"/>
              <w:bottom w:type="dxa" w:w="60"/>
              <w:right w:type="dxa" w:w="100"/>
            </w:tcMar>
          </w:tcPr>
          <w:p>
            <w:r>
              <w:rPr>
                <w:b w:val="false"/>
                <w:bCs w:val="false"/>
                <w:sz w:val="19"/>
                <w:szCs w:val="19"/>
              </w:rPr>
              <w:t xml:space="preserve">Deep conflict — weighting players by spend; trusting the chipset-vendor proxy</w:t>
            </w:r>
          </w:p>
        </w:tc>
      </w:tr>
      <w:tr>
        <w:tc>
          <w:tcPr>
            <w:tcW w:type="dxa" w:w="4680"/>
            <w:tcMar>
              <w:top w:type="dxa" w:w="60"/>
              <w:left w:type="dxa" w:w="100"/>
              <w:bottom w:type="dxa" w:w="60"/>
              <w:right w:type="dxa" w:w="100"/>
            </w:tcMar>
          </w:tcPr>
          <w:p>
            <w:r>
              <w:rPr>
                <w:b w:val="false"/>
                <w:bCs w:val="false"/>
                <w:sz w:val="19"/>
                <w:szCs w:val="19"/>
              </w:rPr>
              <w:t xml:space="preserve">40:00–45:00</w:t>
            </w:r>
          </w:p>
        </w:tc>
        <w:tc>
          <w:tcPr>
            <w:tcW w:type="dxa" w:w="4680"/>
            <w:tcMar>
              <w:top w:type="dxa" w:w="60"/>
              <w:left w:type="dxa" w:w="100"/>
              <w:bottom w:type="dxa" w:w="60"/>
              <w:right w:type="dxa" w:w="100"/>
            </w:tcMar>
          </w:tcPr>
          <w:p>
            <w:r>
              <w:rPr>
                <w:b w:val="false"/>
                <w:bCs w:val="false"/>
                <w:sz w:val="19"/>
                <w:szCs w:val="19"/>
              </w:rPr>
              <w:t xml:space="preserve">Close, re-vote, reflection, lessons learned</w:t>
            </w:r>
          </w:p>
        </w:tc>
      </w:tr>
    </w:tbl>
    <w:p>
      <w:pPr>
        <w:pStyle w:val="Heading1"/>
        <w:spacing w:after="160" w:before="300"/>
      </w:pPr>
      <w:r>
        <w:rPr>
          <w:b/>
          <w:bCs/>
        </w:rPr>
        <w:t xml:space="preserve">Socratic questions</w:t>
      </w:r>
    </w:p>
    <w:p>
      <w:pPr>
        <w:pStyle w:val="ListParagraph"/>
        <w:numPr>
          <w:ilvl w:val="0"/>
          <w:numId w:val="2"/>
        </w:numPr>
        <w:spacing w:after="100"/>
      </w:pPr>
      <w:r>
        <w:t xml:space="preserve">Appendix C shows a real, sizable share of Android GPUs capped below the Crest Atlas's dimension — why isn't that percentage, by itself, the answer to Alicia's decision?</w:t>
      </w:r>
    </w:p>
    <w:p>
      <w:pPr>
        <w:pStyle w:val="ListParagraph"/>
        <w:numPr>
          <w:ilvl w:val="0"/>
          <w:numId w:val="2"/>
        </w:numPr>
        <w:spacing w:after="100"/>
      </w:pPr>
      <w:r>
        <w:t xml:space="preserve">Your D4 solve gives two different revenue-per-install numbers for Flagship-tier and Value-tier devices — what would have to be true about those two numbers for the Crest Atlas to become the clearly wrong choice, even before you finish D5?</w:t>
      </w:r>
    </w:p>
    <w:p>
      <w:pPr>
        <w:pStyle w:val="ListParagraph"/>
        <w:numPr>
          <w:ilvl w:val="0"/>
          <w:numId w:val="2"/>
        </w:numPr>
        <w:spacing w:after="100"/>
      </w:pPr>
      <w:r>
        <w:t xml:space="preserve">Appendix E discloses that the chipset-vendor proxy for “Value-tier” is built on GPU generations (Mali-G52/G57) that mostly clear well past the old Mali-400's 4096px cap — does that make Option A look better or worse than this case's numbers suggest, and why does the direction of that bias matter more here than its exact size?</w:t>
      </w:r>
    </w:p>
    <w:p>
      <w:pPr>
        <w:pStyle w:val="ListParagraph"/>
        <w:numPr>
          <w:ilvl w:val="0"/>
          <w:numId w:val="2"/>
        </w:numPr>
        <w:spacing w:after="100"/>
      </w:pPr>
      <w:r>
        <w:t xml:space="preserve">You computed a determinant for M before inverting anything — what would it have meant for Alicia's whole model if that determinant had come out to zero?</w:t>
      </w:r>
    </w:p>
    <w:p>
      <w:pPr>
        <w:pStyle w:val="ListParagraph"/>
        <w:numPr>
          <w:ilvl w:val="0"/>
          <w:numId w:val="2"/>
        </w:numPr>
        <w:spacing w:after="100"/>
      </w:pPr>
      <w:r>
        <w:t xml:space="preserve">If Tanager's Nigeria market kept growing much faster than India's, would you expect the revenue-weighted failure rate for the Crest Atlas to get better, worse, or stay the same — and why does that depend on which market has the higher Value-tier share?</w:t>
      </w:r>
    </w:p>
    <w:p>
      <w:pPr>
        <w:pStyle w:val="Heading1"/>
        <w:spacing w:after="160" w:before="300"/>
      </w:pPr>
      <w:r>
        <w:rPr>
          <w:b/>
          <w:bCs/>
        </w:rPr>
        <w:t xml:space="preserve">Cohort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CE4D6" w:val="clear"/>
            <w:tcMar>
              <w:top w:type="dxa" w:w="60"/>
              <w:left w:type="dxa" w:w="100"/>
              <w:bottom w:type="dxa" w:w="60"/>
              <w:right w:type="dxa" w:w="100"/>
            </w:tcMar>
          </w:tcPr>
          <w:p>
            <w:r>
              <w:rPr>
                <w:b/>
                <w:bCs/>
                <w:sz w:val="19"/>
                <w:szCs w:val="19"/>
              </w:rPr>
              <w:t xml:space="preserve">Band</w:t>
            </w:r>
          </w:p>
        </w:tc>
        <w:tc>
          <w:tcPr>
            <w:tcW w:type="dxa" w:w="4680"/>
            <w:shd w:fill="FCE4D6" w:val="clear"/>
            <w:tcMar>
              <w:top w:type="dxa" w:w="60"/>
              <w:left w:type="dxa" w:w="100"/>
              <w:bottom w:type="dxa" w:w="60"/>
              <w:right w:type="dxa" w:w="100"/>
            </w:tcMar>
          </w:tcPr>
          <w:p>
            <w:r>
              <w:rPr>
                <w:b/>
                <w:bCs/>
                <w:sz w:val="19"/>
                <w:szCs w:val="19"/>
              </w:rPr>
              <w:t xml:space="preserve">What changes</w:t>
            </w:r>
          </w:p>
        </w:tc>
      </w:tr>
      <w:tr>
        <w:tc>
          <w:tcPr>
            <w:tcW w:type="dxa" w:w="4680"/>
            <w:tcMar>
              <w:top w:type="dxa" w:w="60"/>
              <w:left w:type="dxa" w:w="100"/>
              <w:bottom w:type="dxa" w:w="60"/>
              <w:right w:type="dxa" w:w="100"/>
            </w:tcMar>
          </w:tcPr>
          <w:p>
            <w:r>
              <w:rPr>
                <w:b w:val="false"/>
                <w:bCs w:val="false"/>
                <w:sz w:val="19"/>
                <w:szCs w:val="19"/>
              </w:rPr>
              <w:t xml:space="preserve">Full (12–20)</w:t>
            </w:r>
          </w:p>
        </w:tc>
        <w:tc>
          <w:tcPr>
            <w:tcW w:type="dxa" w:w="4680"/>
            <w:tcMar>
              <w:top w:type="dxa" w:w="60"/>
              <w:left w:type="dxa" w:w="100"/>
              <w:bottom w:type="dxa" w:w="60"/>
              <w:right w:type="dxa" w:w="100"/>
            </w:tcMar>
          </w:tcPr>
          <w:p>
            <w:r>
              <w:rPr>
                <w:b w:val="false"/>
                <w:bCs w:val="false"/>
                <w:sz w:val="19"/>
                <w:szCs w:val="19"/>
              </w:rPr>
              <w:t xml:space="preserve">Anchors 2-3 run as written; the room debates device-count vs. revenue-weighted framing before the Data Deep Dive resolves it — expect a Crest-leaning faction to hold out until D5's 85.1% figure lands, then split further once MA3's finding surfaces.</w:t>
            </w:r>
          </w:p>
        </w:tc>
      </w:tr>
      <w:tr>
        <w:tc>
          <w:tcPr>
            <w:tcW w:type="dxa" w:w="4680"/>
            <w:tcMar>
              <w:top w:type="dxa" w:w="60"/>
              <w:left w:type="dxa" w:w="100"/>
              <w:bottom w:type="dxa" w:w="60"/>
              <w:right w:type="dxa" w:w="100"/>
            </w:tcMar>
          </w:tcPr>
          <w:p>
            <w:r>
              <w:rPr>
                <w:b w:val="false"/>
                <w:bCs w:val="false"/>
                <w:sz w:val="19"/>
                <w:szCs w:val="19"/>
              </w:rPr>
              <w:t xml:space="preserve">Compressed (6–11)</w:t>
            </w:r>
          </w:p>
        </w:tc>
        <w:tc>
          <w:tcPr>
            <w:tcW w:type="dxa" w:w="4680"/>
            <w:tcMar>
              <w:top w:type="dxa" w:w="60"/>
              <w:left w:type="dxa" w:w="100"/>
              <w:bottom w:type="dxa" w:w="60"/>
              <w:right w:type="dxa" w:w="100"/>
            </w:tcMar>
          </w:tcPr>
          <w:p>
            <w:r>
              <w:rPr>
                <w:b w:val="false"/>
                <w:bCs w:val="false"/>
                <w:sz w:val="19"/>
                <w:szCs w:val="19"/>
              </w:rPr>
              <w:t xml:space="preserve">Anchors 2-3 combine into one pass; D1-D3 worked once as a shared example, then pairs split D4's two revenue-per-install figures before reconvening for D5's shared decision table.</w:t>
            </w:r>
          </w:p>
        </w:tc>
      </w:tr>
      <w:tr>
        <w:tc>
          <w:tcPr>
            <w:tcW w:type="dxa" w:w="4680"/>
            <w:tcMar>
              <w:top w:type="dxa" w:w="60"/>
              <w:left w:type="dxa" w:w="100"/>
              <w:bottom w:type="dxa" w:w="60"/>
              <w:right w:type="dxa" w:w="100"/>
            </w:tcMar>
          </w:tcPr>
          <w:p>
            <w:r>
              <w:rPr>
                <w:b w:val="false"/>
                <w:bCs w:val="false"/>
                <w:sz w:val="19"/>
                <w:szCs w:val="19"/>
              </w:rPr>
              <w:t xml:space="preserve">1:1 / pair (1–2)</w:t>
            </w:r>
          </w:p>
        </w:tc>
        <w:tc>
          <w:tcPr>
            <w:tcW w:type="dxa" w:w="4680"/>
            <w:tcMar>
              <w:top w:type="dxa" w:w="60"/>
              <w:left w:type="dxa" w:w="100"/>
              <w:bottom w:type="dxa" w:w="60"/>
              <w:right w:type="dxa" w:w="100"/>
            </w:tcMar>
          </w:tcPr>
          <w:p>
            <w:r>
              <w:rPr>
                <w:b w:val="false"/>
                <w:bCs w:val="false"/>
                <w:sz w:val="19"/>
                <w:szCs w:val="19"/>
              </w:rPr>
              <w:t xml:space="preserve">No vote to take — Anchor 1 becomes a stated initial position instead of a cold-call; guide plays devil's advocate directly, defending whichever option the Hero did NOT pick.</w:t>
            </w:r>
          </w:p>
        </w:tc>
      </w:tr>
    </w:tbl>
    <w:p>
      <w:pPr>
        <w:pStyle w:val="Heading1"/>
        <w:spacing w:after="160" w:before="300"/>
      </w:pPr>
      <w:r>
        <w:rPr>
          <w:b/>
          <w:bCs/>
        </w:rPr>
        <w:t xml:space="preserve">Standards touched on</w:t>
      </w:r>
    </w:p>
    <w:p>
      <w:pPr>
        <w:spacing w:after="160"/>
      </w:pPr>
      <w:r>
        <w:t xml:space="preserve">Matrix · Matrix Dimension · Determinant · Identity Matrix · How to add and multiply matrices · How to find the determinant of a 2x2 matrix · How to solve a system of equations using a matrix</w:t>
      </w:r>
    </w:p>
    <w:p>
      <w:pPr>
        <w:pStyle w:val="Heading1"/>
        <w:spacing w:after="160" w:before="300"/>
      </w:pPr>
      <w:r>
        <w:rPr>
          <w:b/>
          <w:bCs/>
        </w:rPr>
        <w:t xml:space="preserve">Skills the case exercises (name in debrief)</w:t>
      </w:r>
    </w:p>
    <w:p>
      <w:pPr>
        <w:pStyle w:val="ListParagraph"/>
        <w:numPr>
          <w:ilvl w:val="0"/>
          <w:numId w:val="3"/>
        </w:numPr>
        <w:spacing w:after="80"/>
      </w:pPr>
      <w:r>
        <w:t xml:space="preserve">pre-calculus-matrix — building a labeled 2×2 matrix from real-world row/column definitions</w:t>
      </w:r>
    </w:p>
    <w:p>
      <w:pPr>
        <w:pStyle w:val="ListParagraph"/>
        <w:numPr>
          <w:ilvl w:val="0"/>
          <w:numId w:val="3"/>
        </w:numPr>
        <w:spacing w:after="80"/>
      </w:pPr>
      <w:r>
        <w:t xml:space="preserve">pre-calculus-matrix-dimension — stating and justifying a matrix's dimensions</w:t>
      </w:r>
    </w:p>
    <w:p>
      <w:pPr>
        <w:pStyle w:val="ListParagraph"/>
        <w:numPr>
          <w:ilvl w:val="0"/>
          <w:numId w:val="3"/>
        </w:numPr>
        <w:spacing w:after="80"/>
      </w:pPr>
      <w:r>
        <w:t xml:space="preserve">pre-calculus-identity-matrix — verifying M · M⁻¹ = I entry by entry</w:t>
      </w:r>
    </w:p>
    <w:p>
      <w:pPr>
        <w:pStyle w:val="ListParagraph"/>
        <w:numPr>
          <w:ilvl w:val="0"/>
          <w:numId w:val="3"/>
        </w:numPr>
        <w:spacing w:after="80"/>
      </w:pPr>
      <w:r>
        <w:t xml:space="preserve">pre-calculus-how-to-add-and-multiply-matrices — matrix multiplication mechanics (M·M⁻¹, M⁻¹·v)</w:t>
      </w:r>
    </w:p>
    <w:p>
      <w:pPr>
        <w:pStyle w:val="ListParagraph"/>
        <w:numPr>
          <w:ilvl w:val="0"/>
          <w:numId w:val="3"/>
        </w:numPr>
        <w:spacing w:after="80"/>
      </w:pPr>
      <w:r>
        <w:t xml:space="preserve">pre-calculus-determinant / pre-calculus-how-to-find-the-determinant-of-a-2x2-matrix — computing det(M) and explaining why nonzero is required before inverting</w:t>
      </w:r>
    </w:p>
    <w:p>
      <w:pPr>
        <w:pStyle w:val="ListParagraph"/>
        <w:numPr>
          <w:ilvl w:val="0"/>
          <w:numId w:val="3"/>
        </w:numPr>
        <w:spacing w:after="80"/>
      </w:pPr>
      <w:r>
        <w:t xml:space="preserve">pre-calculus-how-to-solve-a-system-of-equations-using-a-matrix — solving r = M⁻¹v and applying it to a real decision</w:t>
      </w:r>
    </w:p>
    <w:p>
      <w:pPr>
        <w:pStyle w:val="Heading1"/>
        <w:spacing w:after="160" w:before="300"/>
      </w:pPr>
      <w:r>
        <w:rPr>
          <w:b/>
          <w:bCs/>
        </w:rPr>
        <w:t xml:space="preserve">Lessons learned (placeholder — fill after first run)</w:t>
      </w:r>
    </w:p>
    <w:p>
      <w:pPr>
        <w:pStyle w:val="ListParagraph"/>
        <w:numPr>
          <w:ilvl w:val="0"/>
          <w:numId w:val="3"/>
        </w:numPr>
        <w:spacing w:after="80"/>
      </w:pPr>
      <w:r>
        <w:t xml:space="preserve">Whether Heroes reached for the raw device-count percentage first, and how much nudging it took to get to the revenue-weighting question.</w:t>
      </w:r>
    </w:p>
    <w:p>
      <w:pPr>
        <w:pStyle w:val="ListParagraph"/>
        <w:numPr>
          <w:ilvl w:val="0"/>
          <w:numId w:val="3"/>
        </w:numPr>
        <w:spacing w:after="80"/>
      </w:pPr>
      <w:r>
        <w:t xml:space="preserve">Whether the identity-matrix verification step (D2) was treated as a real check on the inverse or as a box to tick before D4.</w:t>
      </w:r>
    </w:p>
    <w:p>
      <w:pPr>
        <w:pStyle w:val="ListParagraph"/>
        <w:numPr>
          <w:ilvl w:val="0"/>
          <w:numId w:val="3"/>
        </w:numPr>
        <w:spacing w:after="80"/>
      </w:pPr>
      <w:r>
        <w:t xml:space="preserve">Whether the “this proxy is now probably too pessimistic” direction of MA3 was noticed independently, and whether Heroes correctly concluded it strengthens rather than undermines Option B's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2026-08-31T18:10:55.515Z</dcterms:created>
  <dcterms:modified xsi:type="dcterms:W3CDTF">2026-08-31T18:10:55.517Z</dcterms:modified>
</cp:coreProperties>
</file>

<file path=docProps/custom.xml><?xml version="1.0" encoding="utf-8"?>
<Properties xmlns="http://schemas.openxmlformats.org/officeDocument/2006/custom-properties" xmlns:vt="http://schemas.openxmlformats.org/officeDocument/2006/docPropsVTypes"/>
</file>