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Tilt Decision</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Priya Desai has the rack catalog open in one tab and the competitor's proposal open in the other, and she has been toggling between them for twenty minutes. The Reyes family's south-facing roof is still up on her second monitor, the drone photo she took herself, panels sketched over it in the design software as translucent blue rectangles.</w:t>
      </w:r>
    </w:p>
    <w:p>
      <w:r>
        <w:t xml:space="preserve">Her phone buzzes face-down on the desk. She doesn't turn it over yet.</w:t>
      </w:r>
    </w:p>
    <w:p>
      <w:r>
        <w:t xml:space="preserve">The other installer's quote promises a bigger number on the cover page — more total annual kilowatt-hours, printed bold, circled probably. Mrs. Reyes mentioned it on the phone yesterday, not accusingly, just: </w:t>
      </w:r>
      <w:r>
        <w:rPr>
          <w:i/>
          <w:iCs/>
        </w:rPr>
        <w:t xml:space="preserve">"Their sheet says more power. Yours says less. Why would we pay you more to get less?"</w:t>
      </w:r>
    </w:p>
    <w:p>
      <w:r>
        <w:t xml:space="preserve">Priya has an answer. She is not sure yet that it is the </w:t>
      </w:r>
      <w:r>
        <w:rPr>
          <w:i/>
          <w:iCs/>
        </w:rPr>
        <w:t xml:space="preserve">right</w:t>
      </w:r>
      <w:r>
        <w:t xml:space="preserve"> answer, which is a different problem than not having one. Two tilt angles are open in the modeling tool, same roof, same panels, same racking hardware — only the angle iron is set to a different number of degrees in each. One of them wins on the number the competitor is printing. She has a hunch the other one wins on the number that actually shows up on the Reyes family's utility bill each August, when the rate meter tips into its most expensive hours of the year.</w:t>
      </w:r>
    </w:p>
    <w:p>
      <w:r>
        <w:t xml:space="preserve">A hunch is not a bid. She pulls both models onto one screen, side by side, and reaches for the angle iron spec sheet.</w:t>
      </w:r>
    </w:p>
    <w:p>
      <w:r>
        <w:t xml:space="preserve">The phone buzzes again.</w:t>
      </w:r>
    </w:p>
    <w:p>
      <w:pPr>
        <w:pStyle w:val="Heading2"/>
        <w:spacing w:after="120" w:before="240"/>
      </w:pPr>
      <w:r>
        <w:t xml:space="preserve">Background</w:t>
      </w:r>
    </w:p>
    <w:p>
      <w:r>
        <w:t xml:space="preserve">Priya Desai is a solar installation design engineer at Solterra Home Solar, a residential solar contractor. She is responsible for the technical design behind every bid the sales team submits — the panel layout, the racking configuration, and the projected annual production figure the company puts its name behind. If that figure is wrong, it is Priya's design, not the salesperson's pitch, that the homeowner remembers when the first year's bill arrives.</w:t>
      </w:r>
    </w:p>
    <w:p>
      <w:r>
        <w:t xml:space="preserve">The proposed installation is a fixed, non-tracking rooftop array on the Reyes family's home. Both options under consideration use the </w:t>
      </w:r>
      <w:r>
        <w:rPr>
          <w:b/>
          <w:bCs/>
        </w:rPr>
        <w:t xml:space="preserve">identical number of panels, the identical panel model, and the identical racking system</w:t>
      </w:r>
      <w:r>
        <w:t xml:space="preserve"> (SEE APPENDIX A) — the racking hardware permits the installed tilt angle to be locked at any value within its supported range at the time of mounting, and cannot be adjusted afterward without a service call. The two options differ in exactly one setting: the angle at which the installer locks the rack before the panels go on.</w:t>
      </w:r>
    </w:p>
    <w:p>
      <w:r>
        <w:rPr>
          <w:b/>
          <w:bCs/>
        </w:rPr>
        <w:t xml:space="preserve">Latitude Lock</w:t>
      </w:r>
      <w:r>
        <w:t xml:space="preserve"> sets the array's fixed tilt angle equal to the site's latitude — the angle a generation of solar-design rules of thumb call optimal, because it is the single fixed angle that minimizes the sun's average angle of incidence across a full year and therefore maximizes total annual energy collected (SEE APPENDICES A and D).</w:t>
      </w:r>
    </w:p>
    <w:p>
      <w:r>
        <w:rPr>
          <w:b/>
          <w:bCs/>
        </w:rPr>
        <w:t xml:space="preserve">Summer Shift</w:t>
      </w:r>
      <w:r>
        <w:t xml:space="preserve"> sets the array to a shallower fixed tilt angle, chosen so the panel surface sits closer to perpendicular to the sun during the high-elevation summer months, at the cost of a worse angle of incidence — and therefore lower output — during the low-elevation winter months (SEE APPENDICES A and D).</w:t>
      </w:r>
    </w:p>
    <w:p>
      <w:r>
        <w:t xml:space="preserve">Both options are modeled against the same published solar-production tool and the same site location (SEE APPENDIX B), so the two proposals differ only in their month-by-month output curve, never in panel count, panel wattage, or hardware cost. The racking system also imposes a hard physical limit on how steep or shallow a tilt it can hold (SEE APPENDIX A); either option's angle must fall inside that range or it is not buildable at all.</w:t>
      </w:r>
    </w:p>
    <w:p>
      <w:r>
        <w:t xml:space="preserve">The homeowner's utility does not pay the same price for every kilowatt-hour: its published residential time-of-use rate schedule charges a higher rate during summer on-peak hours than the rest of the year (SEE APPENDIX C), the same schedule the Reyes family will actually be billed and credited under. Priya's bid has to state a single production figure comparable to the competitor's, and the two installers are not required to define that figure the same way — which is exactly what has put two different "winning" numbers in front of the Reyes family. Where a figure here is not a matter of public record, it is stated as an explicit modeling assumption (SEE APPENDIX E) rather than guessed, and every sourced figure is listed in (SEE APPENDIX F). The vocabulary and "how to…" skills this case asks you to research are listed in </w:t>
      </w:r>
      <w:r>
        <w:rPr>
          <w:b/>
          <w:bCs/>
        </w:rPr>
        <w:t xml:space="preserve">APPENDIX G</w:t>
      </w:r>
      <w:r>
        <w:t xml:space="preserve"> — where Challenge 1 sends you.</w:t>
      </w:r>
    </w:p>
    <w:p>
      <w:pPr>
        <w:pStyle w:val="Heading2"/>
        <w:spacing w:after="120" w:before="240"/>
      </w:pPr>
      <w:r>
        <w:t xml:space="preserve">Dilemma</w:t>
      </w:r>
    </w:p>
    <w:p>
      <w:r>
        <w:t xml:space="preserve">You are Priya Desai. Do you: A.) Recommend Latitude Lock — the fixed tilt angle that maximizes total annual energy collected OR B.) Recommend Summer Shift — the shallower fixed tilt angle that favors the utility's highest-rate summer months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degrees-to-radians conversion table for the sun's solar-noon elevation angle at the     site's latitude on each representative date in Appendix D (SEE APPENDIX D), with every value     shown in both degrees and radians and the conversion arithmetic shown for at least one entry.     D2. A solar-position table for each representative date in Appendix D, covering a morning,     solar-noon, and afternoon sun position (SEE APPENDIX D): each published sun azimuth-and-     elevation pair converted into a standard-position angle, its reference angle identified and     labeled, and the sine, cosine, and tangent of that angle found using the unit circle — with     the full unit-circle reasoning shown for at least one entry from each quadrant your table     encounters.     D3. A single graph, spanning the full year, of the sun's solar-noon elevation angle as a     sinusoidal function of the date, with the model's amplitude and period both identified,     labeled directly on the graph, and computed from the data in Appendix D — with Latitude     Lock's and Summer Shift's fixed tilt angles (SEE APPENDIX A) both drawn on the same graph as     horizontal reference lines for comparison.     D4. A monthly angle-of-incidence and relative-efficiency table for each tilt option, using the     cosine relationship between each month's solar-noon elevation angle (from D2/D3) and the     option's fixed tilt angle, checked for consistency against the modeled monthly output in     Appendix B for at least two representative months — followed by a weighted-annual-output     comparison table that carries that check forward: each option's modeled monthly output from     Appendix B multiplied by the time-of-use rate multiplier that applies to that month under     Appendix C's rate schedule, summed into a single weighted effective annual kWh-per-panel     figure for Latitude Lock and for Summer Shift, with your recommendation stated in terms of     that figure rather than raw annual kWh.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Site and Racking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Installation site</w:t>
            </w:r>
          </w:p>
        </w:tc>
        <w:tc>
          <w:tcPr>
            <w:tcW w:type="dxa" w:w="4500"/>
          </w:tcPr>
          <w:p>
            <w:r>
              <w:t xml:space="preserve">A residential rooftop in Sacramento, California, roof face oriented true south</w:t>
            </w:r>
          </w:p>
        </w:tc>
      </w:tr>
      <w:tr>
        <w:tc>
          <w:tcPr>
            <w:tcW w:type="dxa" w:w="4500"/>
          </w:tcPr>
          <w:p>
            <w:r>
              <w:t xml:space="preserve">Site latitude (decimal degrees)</w:t>
            </w:r>
          </w:p>
        </w:tc>
        <w:tc>
          <w:tcPr>
            <w:tcW w:type="dxa" w:w="4500"/>
          </w:tcPr>
          <w:p>
            <w:r>
              <w:t xml:space="preserve">38.5816° N [S1]</w:t>
            </w:r>
          </w:p>
        </w:tc>
      </w:tr>
      <w:tr>
        <w:tc>
          <w:tcPr>
            <w:tcW w:type="dxa" w:w="4500"/>
          </w:tcPr>
          <w:p>
            <w:r>
              <w:t xml:space="preserve">Site longitude (decimal degrees)</w:t>
            </w:r>
          </w:p>
        </w:tc>
        <w:tc>
          <w:tcPr>
            <w:tcW w:type="dxa" w:w="4500"/>
          </w:tcPr>
          <w:p>
            <w:r>
              <w:t xml:space="preserve">121.4944° W [S1]</w:t>
            </w:r>
          </w:p>
        </w:tc>
      </w:tr>
      <w:tr>
        <w:tc>
          <w:tcPr>
            <w:tcW w:type="dxa" w:w="4500"/>
          </w:tcPr>
          <w:p>
            <w:r>
              <w:t xml:space="preserve">Number of panels in the proposed array</w:t>
            </w:r>
          </w:p>
        </w:tc>
        <w:tc>
          <w:tcPr>
            <w:tcW w:type="dxa" w:w="4500"/>
          </w:tcPr>
          <w:p>
            <w:r>
              <w:t xml:space="preserve">20 panels (MA1)</w:t>
            </w:r>
          </w:p>
        </w:tc>
      </w:tr>
      <w:tr>
        <w:tc>
          <w:tcPr>
            <w:tcW w:type="dxa" w:w="4500"/>
          </w:tcPr>
          <w:p>
            <w:r>
              <w:t xml:space="preserve">Panel rated power, STC (W)</w:t>
            </w:r>
          </w:p>
        </w:tc>
        <w:tc>
          <w:tcPr>
            <w:tcW w:type="dxa" w:w="4500"/>
          </w:tcPr>
          <w:p>
            <w:r>
              <w:t xml:space="preserve">400 W — Qcells Q.PEAK DUO BLK M-G11 400 [S2]</w:t>
            </w:r>
          </w:p>
        </w:tc>
      </w:tr>
      <w:tr>
        <w:tc>
          <w:tcPr>
            <w:tcW w:type="dxa" w:w="4500"/>
          </w:tcPr>
          <w:p>
            <w:r>
              <w:t xml:space="preserve">Racking system minimum supported tilt angle (degrees from horizontal)</w:t>
            </w:r>
          </w:p>
        </w:tc>
        <w:tc>
          <w:tcPr>
            <w:tcW w:type="dxa" w:w="4500"/>
          </w:tcPr>
          <w:p>
            <w:r>
              <w:t xml:space="preserve">10° — Clenergy PV-ezRack SolarRoof Adjustable Tilt Legs [S3]</w:t>
            </w:r>
          </w:p>
        </w:tc>
      </w:tr>
      <w:tr>
        <w:tc>
          <w:tcPr>
            <w:tcW w:type="dxa" w:w="4500"/>
          </w:tcPr>
          <w:p>
            <w:r>
              <w:t xml:space="preserve">Racking system maximum supported tilt angle (degrees from horizontal)</w:t>
            </w:r>
          </w:p>
        </w:tc>
        <w:tc>
          <w:tcPr>
            <w:tcW w:type="dxa" w:w="4500"/>
          </w:tcPr>
          <w:p>
            <w:r>
              <w:t xml:space="preserve">60° — Clenergy PV-ezRack SolarRoof Adjustable Tilt Legs [S3]</w:t>
            </w:r>
          </w:p>
        </w:tc>
      </w:tr>
      <w:tr>
        <w:tc>
          <w:tcPr>
            <w:tcW w:type="dxa" w:w="4500"/>
          </w:tcPr>
          <w:p>
            <w:r>
              <w:t xml:space="preserve">Option A — Latitude Lock tilt angle (degrees from horizontal)</w:t>
            </w:r>
          </w:p>
        </w:tc>
        <w:tc>
          <w:tcPr>
            <w:tcW w:type="dxa" w:w="4500"/>
          </w:tcPr>
          <w:p>
            <w:r>
              <w:t xml:space="preserve">39° (site latitude 38.5816° [S1], rounded to the nearest whole degree — the resolution a tilt-leg protractor is actually set to)</w:t>
            </w:r>
          </w:p>
        </w:tc>
      </w:tr>
      <w:tr>
        <w:tc>
          <w:tcPr>
            <w:tcW w:type="dxa" w:w="4500"/>
          </w:tcPr>
          <w:p>
            <w:r>
              <w:t xml:space="preserve">Option B — Summer Shift tilt angle (degrees from horizontal)</w:t>
            </w:r>
          </w:p>
        </w:tc>
        <w:tc>
          <w:tcPr>
            <w:tcW w:type="dxa" w:w="4500"/>
          </w:tcPr>
          <w:p>
            <w:r>
              <w:t xml:space="preserve">24° (latitude − 15°, the summer-tilt rule of thumb reported in Lave &amp; Kleissl 2011 [S4], rounded to the nearest whole degree)</w:t>
            </w:r>
          </w:p>
        </w:tc>
      </w:tr>
    </w:tbl>
    <w:p/>
    <w:p>
      <w:pPr>
        <w:pStyle w:val="Heading2"/>
        <w:spacing w:after="120" w:before="240"/>
      </w:pPr>
      <w:r>
        <w:t xml:space="preserve">Appendix B — Modeled Monthly Output by Tilt Angle</w:t>
      </w:r>
    </w:p>
    <w:p>
      <w:r>
        <w:t xml:space="preserve">Figures below are modeled output per panel using NREL's PVWatts Calculator (SEE APPENDIX G), run twice at the site location in Appendix A — once at Latitude Lock's tilt angle and once at Summer Shift's tilt angle — with every other PVWatts input (system losses, array type, module type, azimuth) held identical between the two runs, so the two columns differ only in tilt angle.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Month</w:t>
            </w:r>
          </w:p>
        </w:tc>
        <w:tc>
          <w:tcPr>
            <w:tcW w:type="dxa" w:w="3000"/>
            <w:shd w:fill="DDDDDD" w:val="clear"/>
          </w:tcPr>
          <w:p>
            <w:r>
              <w:t xml:space="preserve">Option A modeled AC output per panel (kWh)</w:t>
            </w:r>
          </w:p>
        </w:tc>
        <w:tc>
          <w:tcPr>
            <w:tcW w:type="dxa" w:w="3000"/>
            <w:shd w:fill="DDDDDD" w:val="clear"/>
          </w:tcPr>
          <w:p>
            <w:r>
              <w:t xml:space="preserve">Option B modeled AC output per panel (kWh)</w:t>
            </w:r>
          </w:p>
        </w:tc>
      </w:tr>
      <w:tr>
        <w:tc>
          <w:tcPr>
            <w:tcW w:type="dxa" w:w="3000"/>
          </w:tcPr>
          <w:p>
            <w:r>
              <w:t xml:space="preserve">January</w:t>
            </w:r>
          </w:p>
        </w:tc>
        <w:tc>
          <w:tcPr>
            <w:tcW w:type="dxa" w:w="3000"/>
          </w:tcPr>
          <w:p>
            <w:r>
              <w:t xml:space="preserve">35.5 [S5]</w:t>
            </w:r>
          </w:p>
        </w:tc>
        <w:tc>
          <w:tcPr>
            <w:tcW w:type="dxa" w:w="3000"/>
          </w:tcPr>
          <w:p>
            <w:r>
              <w:t xml:space="preserve">31.4 [S5]</w:t>
            </w:r>
          </w:p>
        </w:tc>
      </w:tr>
      <w:tr>
        <w:tc>
          <w:tcPr>
            <w:tcW w:type="dxa" w:w="3000"/>
          </w:tcPr>
          <w:p>
            <w:r>
              <w:t xml:space="preserve">February</w:t>
            </w:r>
          </w:p>
        </w:tc>
        <w:tc>
          <w:tcPr>
            <w:tcW w:type="dxa" w:w="3000"/>
          </w:tcPr>
          <w:p>
            <w:r>
              <w:t xml:space="preserve">45.5 [S5]</w:t>
            </w:r>
          </w:p>
        </w:tc>
        <w:tc>
          <w:tcPr>
            <w:tcW w:type="dxa" w:w="3000"/>
          </w:tcPr>
          <w:p>
            <w:r>
              <w:t xml:space="preserve">41.4 [S5]</w:t>
            </w:r>
          </w:p>
        </w:tc>
      </w:tr>
      <w:tr>
        <w:tc>
          <w:tcPr>
            <w:tcW w:type="dxa" w:w="3000"/>
          </w:tcPr>
          <w:p>
            <w:r>
              <w:t xml:space="preserve">March</w:t>
            </w:r>
          </w:p>
        </w:tc>
        <w:tc>
          <w:tcPr>
            <w:tcW w:type="dxa" w:w="3000"/>
          </w:tcPr>
          <w:p>
            <w:r>
              <w:t xml:space="preserve">58.0 [S5]</w:t>
            </w:r>
          </w:p>
        </w:tc>
        <w:tc>
          <w:tcPr>
            <w:tcW w:type="dxa" w:w="3000"/>
          </w:tcPr>
          <w:p>
            <w:r>
              <w:t xml:space="preserve">56.2 [S5]</w:t>
            </w:r>
          </w:p>
        </w:tc>
      </w:tr>
      <w:tr>
        <w:tc>
          <w:tcPr>
            <w:tcW w:type="dxa" w:w="3000"/>
          </w:tcPr>
          <w:p>
            <w:r>
              <w:t xml:space="preserve">April</w:t>
            </w:r>
          </w:p>
        </w:tc>
        <w:tc>
          <w:tcPr>
            <w:tcW w:type="dxa" w:w="3000"/>
          </w:tcPr>
          <w:p>
            <w:r>
              <w:t xml:space="preserve">60.4 [S5]</w:t>
            </w:r>
          </w:p>
        </w:tc>
        <w:tc>
          <w:tcPr>
            <w:tcW w:type="dxa" w:w="3000"/>
          </w:tcPr>
          <w:p>
            <w:r>
              <w:t xml:space="preserve">62.0 [S5]</w:t>
            </w:r>
          </w:p>
        </w:tc>
      </w:tr>
      <w:tr>
        <w:tc>
          <w:tcPr>
            <w:tcW w:type="dxa" w:w="3000"/>
          </w:tcPr>
          <w:p>
            <w:r>
              <w:t xml:space="preserve">May</w:t>
            </w:r>
          </w:p>
        </w:tc>
        <w:tc>
          <w:tcPr>
            <w:tcW w:type="dxa" w:w="3000"/>
          </w:tcPr>
          <w:p>
            <w:r>
              <w:t xml:space="preserve">61.3 [S5]</w:t>
            </w:r>
          </w:p>
        </w:tc>
        <w:tc>
          <w:tcPr>
            <w:tcW w:type="dxa" w:w="3000"/>
          </w:tcPr>
          <w:p>
            <w:r>
              <w:t xml:space="preserve">66.2 [S5]</w:t>
            </w:r>
          </w:p>
        </w:tc>
      </w:tr>
      <w:tr>
        <w:tc>
          <w:tcPr>
            <w:tcW w:type="dxa" w:w="3000"/>
          </w:tcPr>
          <w:p>
            <w:r>
              <w:t xml:space="preserve">June</w:t>
            </w:r>
          </w:p>
        </w:tc>
        <w:tc>
          <w:tcPr>
            <w:tcW w:type="dxa" w:w="3000"/>
          </w:tcPr>
          <w:p>
            <w:r>
              <w:t xml:space="preserve">63.2 [S5]</w:t>
            </w:r>
          </w:p>
        </w:tc>
        <w:tc>
          <w:tcPr>
            <w:tcW w:type="dxa" w:w="3000"/>
          </w:tcPr>
          <w:p>
            <w:r>
              <w:t xml:space="preserve">69.9 [S5]</w:t>
            </w:r>
          </w:p>
        </w:tc>
      </w:tr>
      <w:tr>
        <w:tc>
          <w:tcPr>
            <w:tcW w:type="dxa" w:w="3000"/>
          </w:tcPr>
          <w:p>
            <w:r>
              <w:t xml:space="preserve">July</w:t>
            </w:r>
          </w:p>
        </w:tc>
        <w:tc>
          <w:tcPr>
            <w:tcW w:type="dxa" w:w="3000"/>
          </w:tcPr>
          <w:p>
            <w:r>
              <w:t xml:space="preserve">66.5 [S5]</w:t>
            </w:r>
          </w:p>
        </w:tc>
        <w:tc>
          <w:tcPr>
            <w:tcW w:type="dxa" w:w="3000"/>
          </w:tcPr>
          <w:p>
            <w:r>
              <w:t xml:space="preserve">72.6 [S5]</w:t>
            </w:r>
          </w:p>
        </w:tc>
      </w:tr>
      <w:tr>
        <w:tc>
          <w:tcPr>
            <w:tcW w:type="dxa" w:w="3000"/>
          </w:tcPr>
          <w:p>
            <w:r>
              <w:t xml:space="preserve">August</w:t>
            </w:r>
          </w:p>
        </w:tc>
        <w:tc>
          <w:tcPr>
            <w:tcW w:type="dxa" w:w="3000"/>
          </w:tcPr>
          <w:p>
            <w:r>
              <w:t xml:space="preserve">66.9 [S5]</w:t>
            </w:r>
          </w:p>
        </w:tc>
        <w:tc>
          <w:tcPr>
            <w:tcW w:type="dxa" w:w="3000"/>
          </w:tcPr>
          <w:p>
            <w:r>
              <w:t xml:space="preserve">69.7 [S5]</w:t>
            </w:r>
          </w:p>
        </w:tc>
      </w:tr>
      <w:tr>
        <w:tc>
          <w:tcPr>
            <w:tcW w:type="dxa" w:w="3000"/>
          </w:tcPr>
          <w:p>
            <w:r>
              <w:t xml:space="preserve">September</w:t>
            </w:r>
          </w:p>
        </w:tc>
        <w:tc>
          <w:tcPr>
            <w:tcW w:type="dxa" w:w="3000"/>
          </w:tcPr>
          <w:p>
            <w:r>
              <w:t xml:space="preserve">64.4 [S5]</w:t>
            </w:r>
          </w:p>
        </w:tc>
        <w:tc>
          <w:tcPr>
            <w:tcW w:type="dxa" w:w="3000"/>
          </w:tcPr>
          <w:p>
            <w:r>
              <w:t xml:space="preserve">63.1 [S5]</w:t>
            </w:r>
          </w:p>
        </w:tc>
      </w:tr>
      <w:tr>
        <w:tc>
          <w:tcPr>
            <w:tcW w:type="dxa" w:w="3000"/>
          </w:tcPr>
          <w:p>
            <w:r>
              <w:t xml:space="preserve">October</w:t>
            </w:r>
          </w:p>
        </w:tc>
        <w:tc>
          <w:tcPr>
            <w:tcW w:type="dxa" w:w="3000"/>
          </w:tcPr>
          <w:p>
            <w:r>
              <w:t xml:space="preserve">60.0 [S5]</w:t>
            </w:r>
          </w:p>
        </w:tc>
        <w:tc>
          <w:tcPr>
            <w:tcW w:type="dxa" w:w="3000"/>
          </w:tcPr>
          <w:p>
            <w:r>
              <w:t xml:space="preserve">55.4 [S5]</w:t>
            </w:r>
          </w:p>
        </w:tc>
      </w:tr>
      <w:tr>
        <w:tc>
          <w:tcPr>
            <w:tcW w:type="dxa" w:w="3000"/>
          </w:tcPr>
          <w:p>
            <w:r>
              <w:t xml:space="preserve">November</w:t>
            </w:r>
          </w:p>
        </w:tc>
        <w:tc>
          <w:tcPr>
            <w:tcW w:type="dxa" w:w="3000"/>
          </w:tcPr>
          <w:p>
            <w:r>
              <w:t xml:space="preserve">41.7 [S5]</w:t>
            </w:r>
          </w:p>
        </w:tc>
        <w:tc>
          <w:tcPr>
            <w:tcW w:type="dxa" w:w="3000"/>
          </w:tcPr>
          <w:p>
            <w:r>
              <w:t xml:space="preserve">36.9 [S5]</w:t>
            </w:r>
          </w:p>
        </w:tc>
      </w:tr>
      <w:tr>
        <w:tc>
          <w:tcPr>
            <w:tcW w:type="dxa" w:w="3000"/>
          </w:tcPr>
          <w:p>
            <w:r>
              <w:t xml:space="preserve">December</w:t>
            </w:r>
          </w:p>
        </w:tc>
        <w:tc>
          <w:tcPr>
            <w:tcW w:type="dxa" w:w="3000"/>
          </w:tcPr>
          <w:p>
            <w:r>
              <w:t xml:space="preserve">36.0 [S5]</w:t>
            </w:r>
          </w:p>
        </w:tc>
        <w:tc>
          <w:tcPr>
            <w:tcW w:type="dxa" w:w="3000"/>
          </w:tcPr>
          <w:p>
            <w:r>
              <w:t xml:space="preserve">31.4 [S5]</w:t>
            </w:r>
          </w:p>
        </w:tc>
      </w:tr>
      <w:tr>
        <w:tc>
          <w:tcPr>
            <w:tcW w:type="dxa" w:w="3000"/>
          </w:tcPr>
          <w:p>
            <w:r>
              <w:rPr>
                <w:b/>
                <w:bCs/>
              </w:rPr>
              <w:t xml:space="preserve">Annual total</w:t>
            </w:r>
          </w:p>
        </w:tc>
        <w:tc>
          <w:tcPr>
            <w:tcW w:type="dxa" w:w="3000"/>
          </w:tcPr>
          <w:p>
            <w:r>
              <w:t xml:space="preserve">659.3 [S5]</w:t>
            </w:r>
          </w:p>
        </w:tc>
        <w:tc>
          <w:tcPr>
            <w:tcW w:type="dxa" w:w="3000"/>
          </w:tcPr>
          <w:p>
            <w:r>
              <w:t xml:space="preserve">656.2 [S5]</w:t>
            </w:r>
          </w:p>
        </w:tc>
      </w:tr>
    </w:tbl>
    <w:p/>
    <w:p>
      <w:pPr>
        <w:pStyle w:val="Heading2"/>
        <w:spacing w:after="120" w:before="240"/>
      </w:pPr>
      <w:r>
        <w:t xml:space="preserve">Appendix C — Utility Time-of-Use Rate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Utility serving the site</w:t>
            </w:r>
          </w:p>
        </w:tc>
        <w:tc>
          <w:tcPr>
            <w:tcW w:type="dxa" w:w="4500"/>
          </w:tcPr>
          <w:p>
            <w:r>
              <w:t xml:space="preserve">Sacramento Municipal Utility District (SMUD) [S6]</w:t>
            </w:r>
          </w:p>
        </w:tc>
      </w:tr>
      <w:tr>
        <w:tc>
          <w:tcPr>
            <w:tcW w:type="dxa" w:w="4500"/>
          </w:tcPr>
          <w:p>
            <w:r>
              <w:t xml:space="preserve">Residential time-of-use rate plan name</w:t>
            </w:r>
          </w:p>
        </w:tc>
        <w:tc>
          <w:tcPr>
            <w:tcW w:type="dxa" w:w="4500"/>
          </w:tcPr>
          <w:p>
            <w:r>
              <w:t xml:space="preserve">Residential Time-of-Day (5–8pm) Rate, Schedule R-TOD [S6]</w:t>
            </w:r>
          </w:p>
        </w:tc>
      </w:tr>
      <w:tr>
        <w:tc>
          <w:tcPr>
            <w:tcW w:type="dxa" w:w="4500"/>
          </w:tcPr>
          <w:p>
            <w:r>
              <w:t xml:space="preserve">Calendar months defined as "summer" under this plan</w:t>
            </w:r>
          </w:p>
        </w:tc>
        <w:tc>
          <w:tcPr>
            <w:tcW w:type="dxa" w:w="4500"/>
          </w:tcPr>
          <w:p>
            <w:r>
              <w:t xml:space="preserve">June 1 – September 30 [S6]</w:t>
            </w:r>
          </w:p>
        </w:tc>
      </w:tr>
      <w:tr>
        <w:tc>
          <w:tcPr>
            <w:tcW w:type="dxa" w:w="4500"/>
          </w:tcPr>
          <w:p>
            <w:r>
              <w:t xml:space="preserve">Daily on-peak hours during summer months</w:t>
            </w:r>
          </w:p>
        </w:tc>
        <w:tc>
          <w:tcPr>
            <w:tcW w:type="dxa" w:w="4500"/>
          </w:tcPr>
          <w:p>
            <w:r>
              <w:t xml:space="preserve">5 p.m. – 8 p.m., daily [S6]</w:t>
            </w:r>
          </w:p>
        </w:tc>
      </w:tr>
      <w:tr>
        <w:tc>
          <w:tcPr>
            <w:tcW w:type="dxa" w:w="4500"/>
          </w:tcPr>
          <w:p>
            <w:r>
              <w:t xml:space="preserve">Summer on-peak rate ($ per kWh)</w:t>
            </w:r>
          </w:p>
        </w:tc>
        <w:tc>
          <w:tcPr>
            <w:tcW w:type="dxa" w:w="4500"/>
          </w:tcPr>
          <w:p>
            <w:r>
              <w:t xml:space="preserve">$0.3765 [S6]</w:t>
            </w:r>
          </w:p>
        </w:tc>
      </w:tr>
      <w:tr>
        <w:tc>
          <w:tcPr>
            <w:tcW w:type="dxa" w:w="4500"/>
          </w:tcPr>
          <w:p>
            <w:r>
              <w:t xml:space="preserve">Non-summer (winter) rate ($ per kWh)</w:t>
            </w:r>
          </w:p>
        </w:tc>
        <w:tc>
          <w:tcPr>
            <w:tcW w:type="dxa" w:w="4500"/>
          </w:tcPr>
          <w:p>
            <w:r>
              <w:t xml:space="preserve">$0.1285 (non-summer off-peak rate, midnight–5pm and 8pm–midnight — the rate that applies across most of every non-summer hour) [S6]</w:t>
            </w:r>
          </w:p>
        </w:tc>
      </w:tr>
      <w:tr>
        <w:tc>
          <w:tcPr>
            <w:tcW w:type="dxa" w:w="4500"/>
          </w:tcPr>
          <w:p>
            <w:r>
              <w:t xml:space="preserve">Summer on-peak rate multiplier (summer on-peak rate ÷ non-summer rate)</w:t>
            </w:r>
          </w:p>
        </w:tc>
        <w:tc>
          <w:tcPr>
            <w:tcW w:type="dxa" w:w="4500"/>
          </w:tcPr>
          <w:p>
            <w:r>
              <w:t xml:space="preserve">2.93 (= 0.3765 ÷ 0.1285) [S6, derived]</w:t>
            </w:r>
          </w:p>
        </w:tc>
      </w:tr>
    </w:tbl>
    <w:p/>
    <w:p>
      <w:pPr>
        <w:pStyle w:val="Heading2"/>
        <w:spacing w:after="120" w:before="240"/>
      </w:pPr>
      <w:r>
        <w:t xml:space="preserve">Appendix D — Solar Position Reference Table</w:t>
      </w:r>
    </w:p>
    <w:p>
      <w:r>
        <w:t xml:space="preserve">Sun position figures below are solar-noon and off-noon values for four representative dates — the two solstices and the two equinoxes — at the site's latitude (SEE APPENDIX A), drawn from a published solar-position calculator. Azimuth is reported the way solar-position tables report it: degrees clockwise from true north, the same convention a compass bearing 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Representative date</w:t>
            </w:r>
          </w:p>
        </w:tc>
        <w:tc>
          <w:tcPr>
            <w:tcW w:type="dxa" w:w="2250"/>
            <w:shd w:fill="DDDDDD" w:val="clear"/>
          </w:tcPr>
          <w:p>
            <w:r>
              <w:t xml:space="preserve">Time of day</w:t>
            </w:r>
          </w:p>
        </w:tc>
        <w:tc>
          <w:tcPr>
            <w:tcW w:type="dxa" w:w="2250"/>
            <w:shd w:fill="DDDDDD" w:val="clear"/>
          </w:tcPr>
          <w:p>
            <w:r>
              <w:t xml:space="preserve">Solar elevation angle (° above horizon)</w:t>
            </w:r>
          </w:p>
        </w:tc>
        <w:tc>
          <w:tcPr>
            <w:tcW w:type="dxa" w:w="2250"/>
            <w:shd w:fill="DDDDDD" w:val="clear"/>
          </w:tcPr>
          <w:p>
            <w:r>
              <w:t xml:space="preserve">Solar azimuth (° clockwise from true north)</w:t>
            </w:r>
          </w:p>
        </w:tc>
      </w:tr>
      <w:tr>
        <w:tc>
          <w:tcPr>
            <w:tcW w:type="dxa" w:w="2250"/>
          </w:tcPr>
          <w:p>
            <w:r>
              <w:t xml:space="preserve">Summer solstice (Jun 21, 2026)</w:t>
            </w:r>
          </w:p>
        </w:tc>
        <w:tc>
          <w:tcPr>
            <w:tcW w:type="dxa" w:w="2250"/>
          </w:tcPr>
          <w:p>
            <w:r>
              <w:t xml:space="preserve">Morning (9:00 a.m. PDT)</w:t>
            </w:r>
          </w:p>
        </w:tc>
        <w:tc>
          <w:tcPr>
            <w:tcW w:type="dxa" w:w="2250"/>
          </w:tcPr>
          <w:p>
            <w:r>
              <w:t xml:space="preserve">35.8° [S7]</w:t>
            </w:r>
          </w:p>
        </w:tc>
        <w:tc>
          <w:tcPr>
            <w:tcW w:type="dxa" w:w="2250"/>
          </w:tcPr>
          <w:p>
            <w:r>
              <w:t xml:space="preserve">87.0° [S7]</w:t>
            </w:r>
          </w:p>
        </w:tc>
      </w:tr>
      <w:tr>
        <w:tc>
          <w:tcPr>
            <w:tcW w:type="dxa" w:w="2250"/>
          </w:tcPr>
          <w:p>
            <w:r>
              <w:t xml:space="preserve">Summer solstice (Jun 21, 2026)</w:t>
            </w:r>
          </w:p>
        </w:tc>
        <w:tc>
          <w:tcPr>
            <w:tcW w:type="dxa" w:w="2250"/>
          </w:tcPr>
          <w:p>
            <w:r>
              <w:t xml:space="preserve">Solar noon (1:08 p.m. PDT)</w:t>
            </w:r>
          </w:p>
        </w:tc>
        <w:tc>
          <w:tcPr>
            <w:tcW w:type="dxa" w:w="2250"/>
          </w:tcPr>
          <w:p>
            <w:r>
              <w:t xml:space="preserve">74.9° [S7]</w:t>
            </w:r>
          </w:p>
        </w:tc>
        <w:tc>
          <w:tcPr>
            <w:tcW w:type="dxa" w:w="2250"/>
          </w:tcPr>
          <w:p>
            <w:r>
              <w:t xml:space="preserve">180.1° [S7]</w:t>
            </w:r>
          </w:p>
        </w:tc>
      </w:tr>
      <w:tr>
        <w:tc>
          <w:tcPr>
            <w:tcW w:type="dxa" w:w="2250"/>
          </w:tcPr>
          <w:p>
            <w:r>
              <w:t xml:space="preserve">Summer solstice (Jun 21, 2026)</w:t>
            </w:r>
          </w:p>
        </w:tc>
        <w:tc>
          <w:tcPr>
            <w:tcW w:type="dxa" w:w="2250"/>
          </w:tcPr>
          <w:p>
            <w:r>
              <w:t xml:space="preserve">Afternoon (3:00 p.m. PDT)</w:t>
            </w:r>
          </w:p>
        </w:tc>
        <w:tc>
          <w:tcPr>
            <w:tcW w:type="dxa" w:w="2250"/>
          </w:tcPr>
          <w:p>
            <w:r>
              <w:t xml:space="preserve">61.8° [S7]</w:t>
            </w:r>
          </w:p>
        </w:tc>
        <w:tc>
          <w:tcPr>
            <w:tcW w:type="dxa" w:w="2250"/>
          </w:tcPr>
          <w:p>
            <w:r>
              <w:t xml:space="preserve">245.8° [S7]</w:t>
            </w:r>
          </w:p>
        </w:tc>
      </w:tr>
      <w:tr>
        <w:tc>
          <w:tcPr>
            <w:tcW w:type="dxa" w:w="2250"/>
          </w:tcPr>
          <w:p>
            <w:r>
              <w:t xml:space="preserve">Winter solstice (Dec 21, 2026)</w:t>
            </w:r>
          </w:p>
        </w:tc>
        <w:tc>
          <w:tcPr>
            <w:tcW w:type="dxa" w:w="2250"/>
          </w:tcPr>
          <w:p>
            <w:r>
              <w:t xml:space="preserve">Morning (9:00 a.m. PST)</w:t>
            </w:r>
          </w:p>
        </w:tc>
        <w:tc>
          <w:tcPr>
            <w:tcW w:type="dxa" w:w="2250"/>
          </w:tcPr>
          <w:p>
            <w:r>
              <w:t xml:space="preserve">14.5° [S7]</w:t>
            </w:r>
          </w:p>
        </w:tc>
        <w:tc>
          <w:tcPr>
            <w:tcW w:type="dxa" w:w="2250"/>
          </w:tcPr>
          <w:p>
            <w:r>
              <w:t xml:space="preserve">137.0° [S7]</w:t>
            </w:r>
          </w:p>
        </w:tc>
      </w:tr>
      <w:tr>
        <w:tc>
          <w:tcPr>
            <w:tcW w:type="dxa" w:w="2250"/>
          </w:tcPr>
          <w:p>
            <w:r>
              <w:t xml:space="preserve">Winter solstice (Dec 21, 2026)</w:t>
            </w:r>
          </w:p>
        </w:tc>
        <w:tc>
          <w:tcPr>
            <w:tcW w:type="dxa" w:w="2250"/>
          </w:tcPr>
          <w:p>
            <w:r>
              <w:t xml:space="preserve">Solar noon (12:04 p.m. PST)</w:t>
            </w:r>
          </w:p>
        </w:tc>
        <w:tc>
          <w:tcPr>
            <w:tcW w:type="dxa" w:w="2250"/>
          </w:tcPr>
          <w:p>
            <w:r>
              <w:t xml:space="preserve">28.0° [S7]</w:t>
            </w:r>
          </w:p>
        </w:tc>
        <w:tc>
          <w:tcPr>
            <w:tcW w:type="dxa" w:w="2250"/>
          </w:tcPr>
          <w:p>
            <w:r>
              <w:t xml:space="preserve">179.9° [S7]</w:t>
            </w:r>
          </w:p>
        </w:tc>
      </w:tr>
      <w:tr>
        <w:tc>
          <w:tcPr>
            <w:tcW w:type="dxa" w:w="2250"/>
          </w:tcPr>
          <w:p>
            <w:r>
              <w:t xml:space="preserve">Winter solstice (Dec 21, 2026)</w:t>
            </w:r>
          </w:p>
        </w:tc>
        <w:tc>
          <w:tcPr>
            <w:tcW w:type="dxa" w:w="2250"/>
          </w:tcPr>
          <w:p>
            <w:r>
              <w:t xml:space="preserve">Afternoon (3:00 p.m. PST)</w:t>
            </w:r>
          </w:p>
        </w:tc>
        <w:tc>
          <w:tcPr>
            <w:tcW w:type="dxa" w:w="2250"/>
          </w:tcPr>
          <w:p>
            <w:r>
              <w:t xml:space="preserve">15.6° [S7]</w:t>
            </w:r>
          </w:p>
        </w:tc>
        <w:tc>
          <w:tcPr>
            <w:tcW w:type="dxa" w:w="2250"/>
          </w:tcPr>
          <w:p>
            <w:r>
              <w:t xml:space="preserve">221.4° [S7]</w:t>
            </w:r>
          </w:p>
        </w:tc>
      </w:tr>
      <w:tr>
        <w:tc>
          <w:tcPr>
            <w:tcW w:type="dxa" w:w="2250"/>
          </w:tcPr>
          <w:p>
            <w:r>
              <w:t xml:space="preserve">Spring equinox (Mar 20, 2026)</w:t>
            </w:r>
          </w:p>
        </w:tc>
        <w:tc>
          <w:tcPr>
            <w:tcW w:type="dxa" w:w="2250"/>
          </w:tcPr>
          <w:p>
            <w:r>
              <w:t xml:space="preserve">Solar noon (1:13 p.m. PDT)</w:t>
            </w:r>
          </w:p>
        </w:tc>
        <w:tc>
          <w:tcPr>
            <w:tcW w:type="dxa" w:w="2250"/>
          </w:tcPr>
          <w:p>
            <w:r>
              <w:t xml:space="preserve">51.5° [S7]</w:t>
            </w:r>
          </w:p>
        </w:tc>
        <w:tc>
          <w:tcPr>
            <w:tcW w:type="dxa" w:w="2250"/>
          </w:tcPr>
          <w:p>
            <w:r>
              <w:t xml:space="preserve">179.9° [S7]</w:t>
            </w:r>
          </w:p>
        </w:tc>
      </w:tr>
      <w:tr>
        <w:tc>
          <w:tcPr>
            <w:tcW w:type="dxa" w:w="2250"/>
          </w:tcPr>
          <w:p>
            <w:r>
              <w:t xml:space="preserve">Fall equinox (Sep 22, 2026)</w:t>
            </w:r>
          </w:p>
        </w:tc>
        <w:tc>
          <w:tcPr>
            <w:tcW w:type="dxa" w:w="2250"/>
          </w:tcPr>
          <w:p>
            <w:r>
              <w:t xml:space="preserve">Solar noon (12:59 p.m. PDT)</w:t>
            </w:r>
          </w:p>
        </w:tc>
        <w:tc>
          <w:tcPr>
            <w:tcW w:type="dxa" w:w="2250"/>
          </w:tcPr>
          <w:p>
            <w:r>
              <w:t xml:space="preserve">51.5° [S7]</w:t>
            </w:r>
          </w:p>
        </w:tc>
        <w:tc>
          <w:tcPr>
            <w:tcW w:type="dxa" w:w="2250"/>
          </w:tcPr>
          <w:p>
            <w:r>
              <w:t xml:space="preserve">180.2° [S7]</w:t>
            </w:r>
          </w:p>
        </w:tc>
      </w:tr>
    </w:tbl>
    <w:p/>
    <w:p>
      <w:r>
        <w:rPr>
          <w:b/>
          <w:bCs/>
        </w:rPr>
        <w:t xml:space="preserve">Dates used for the year-long model in D3.</w:t>
      </w:r>
      <w:r>
        <w:t xml:space="preserve"> In addition to the four representative dates above, D3's sinusoidal model is fit against solar-noon elevation angle sampled once near the middle of every calendar month across the year. Those twelve additional solar-noon elevation values, all at this site's latitude and from the same solar-position source as the table above (mid-month dates,</w:t>
      </w:r>
    </w:p>
    <w:p>
      <w:pPr>
        <w:ind w:left="360"/>
      </w:pPr>
      <w:r>
        <w:t xml:space="preserve">2026) [S7],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Month (2026)</w:t>
            </w:r>
          </w:p>
        </w:tc>
        <w:tc>
          <w:tcPr>
            <w:tcW w:type="dxa" w:w="4500"/>
            <w:shd w:fill="DDDDDD" w:val="clear"/>
          </w:tcPr>
          <w:p>
            <w:r>
              <w:t xml:space="preserve">Solar-noon elevation angle</w:t>
            </w:r>
          </w:p>
        </w:tc>
      </w:tr>
      <w:tr>
        <w:tc>
          <w:tcPr>
            <w:tcW w:type="dxa" w:w="4500"/>
          </w:tcPr>
          <w:p>
            <w:r>
              <w:t xml:space="preserve">Jan 15</w:t>
            </w:r>
          </w:p>
        </w:tc>
        <w:tc>
          <w:tcPr>
            <w:tcW w:type="dxa" w:w="4500"/>
          </w:tcPr>
          <w:p>
            <w:r>
              <w:t xml:space="preserve">30.4°</w:t>
            </w:r>
          </w:p>
        </w:tc>
      </w:tr>
      <w:tr>
        <w:tc>
          <w:tcPr>
            <w:tcW w:type="dxa" w:w="4500"/>
          </w:tcPr>
          <w:p>
            <w:r>
              <w:t xml:space="preserve">Feb 15</w:t>
            </w:r>
          </w:p>
        </w:tc>
        <w:tc>
          <w:tcPr>
            <w:tcW w:type="dxa" w:w="4500"/>
          </w:tcPr>
          <w:p>
            <w:r>
              <w:t xml:space="preserve">39.0°</w:t>
            </w:r>
          </w:p>
        </w:tc>
      </w:tr>
      <w:tr>
        <w:tc>
          <w:tcPr>
            <w:tcW w:type="dxa" w:w="4500"/>
          </w:tcPr>
          <w:p>
            <w:r>
              <w:t xml:space="preserve">Mar 15</w:t>
            </w:r>
          </w:p>
        </w:tc>
        <w:tc>
          <w:tcPr>
            <w:tcW w:type="dxa" w:w="4500"/>
          </w:tcPr>
          <w:p>
            <w:r>
              <w:t xml:space="preserve">49.5°</w:t>
            </w:r>
          </w:p>
        </w:tc>
      </w:tr>
      <w:tr>
        <w:tc>
          <w:tcPr>
            <w:tcW w:type="dxa" w:w="4500"/>
          </w:tcPr>
          <w:p>
            <w:r>
              <w:t xml:space="preserve">Apr 15</w:t>
            </w:r>
          </w:p>
        </w:tc>
        <w:tc>
          <w:tcPr>
            <w:tcW w:type="dxa" w:w="4500"/>
          </w:tcPr>
          <w:p>
            <w:r>
              <w:t xml:space="preserve">61.4°</w:t>
            </w:r>
          </w:p>
        </w:tc>
      </w:tr>
      <w:tr>
        <w:tc>
          <w:tcPr>
            <w:tcW w:type="dxa" w:w="4500"/>
          </w:tcPr>
          <w:p>
            <w:r>
              <w:t xml:space="preserve">May 15</w:t>
            </w:r>
          </w:p>
        </w:tc>
        <w:tc>
          <w:tcPr>
            <w:tcW w:type="dxa" w:w="4500"/>
          </w:tcPr>
          <w:p>
            <w:r>
              <w:t xml:space="preserve">70.4°</w:t>
            </w:r>
          </w:p>
        </w:tc>
      </w:tr>
      <w:tr>
        <w:tc>
          <w:tcPr>
            <w:tcW w:type="dxa" w:w="4500"/>
          </w:tcPr>
          <w:p>
            <w:r>
              <w:t xml:space="preserve">Jun 15</w:t>
            </w:r>
          </w:p>
        </w:tc>
        <w:tc>
          <w:tcPr>
            <w:tcW w:type="dxa" w:w="4500"/>
          </w:tcPr>
          <w:p>
            <w:r>
              <w:t xml:space="preserve">74.8°</w:t>
            </w:r>
          </w:p>
        </w:tc>
      </w:tr>
      <w:tr>
        <w:tc>
          <w:tcPr>
            <w:tcW w:type="dxa" w:w="4500"/>
          </w:tcPr>
          <w:p>
            <w:r>
              <w:t xml:space="preserve">Jul 15</w:t>
            </w:r>
          </w:p>
        </w:tc>
        <w:tc>
          <w:tcPr>
            <w:tcW w:type="dxa" w:w="4500"/>
          </w:tcPr>
          <w:p>
            <w:r>
              <w:t xml:space="preserve">72.8°</w:t>
            </w:r>
          </w:p>
        </w:tc>
      </w:tr>
      <w:tr>
        <w:tc>
          <w:tcPr>
            <w:tcW w:type="dxa" w:w="4500"/>
          </w:tcPr>
          <w:p>
            <w:r>
              <w:t xml:space="preserve">Aug 15</w:t>
            </w:r>
          </w:p>
        </w:tc>
        <w:tc>
          <w:tcPr>
            <w:tcW w:type="dxa" w:w="4500"/>
          </w:tcPr>
          <w:p>
            <w:r>
              <w:t xml:space="preserve">65.3°</w:t>
            </w:r>
          </w:p>
        </w:tc>
      </w:tr>
      <w:tr>
        <w:tc>
          <w:tcPr>
            <w:tcW w:type="dxa" w:w="4500"/>
          </w:tcPr>
          <w:p>
            <w:r>
              <w:t xml:space="preserve">Sep 15</w:t>
            </w:r>
          </w:p>
        </w:tc>
        <w:tc>
          <w:tcPr>
            <w:tcW w:type="dxa" w:w="4500"/>
          </w:tcPr>
          <w:p>
            <w:r>
              <w:t xml:space="preserve">54.2°</w:t>
            </w:r>
          </w:p>
        </w:tc>
      </w:tr>
      <w:tr>
        <w:tc>
          <w:tcPr>
            <w:tcW w:type="dxa" w:w="4500"/>
          </w:tcPr>
          <w:p>
            <w:r>
              <w:t xml:space="preserve">Oct 15</w:t>
            </w:r>
          </w:p>
        </w:tc>
        <w:tc>
          <w:tcPr>
            <w:tcW w:type="dxa" w:w="4500"/>
          </w:tcPr>
          <w:p>
            <w:r>
              <w:t xml:space="preserve">42.7°</w:t>
            </w:r>
          </w:p>
        </w:tc>
      </w:tr>
      <w:tr>
        <w:tc>
          <w:tcPr>
            <w:tcW w:type="dxa" w:w="4500"/>
          </w:tcPr>
          <w:p>
            <w:r>
              <w:t xml:space="preserve">Nov 15</w:t>
            </w:r>
          </w:p>
        </w:tc>
        <w:tc>
          <w:tcPr>
            <w:tcW w:type="dxa" w:w="4500"/>
          </w:tcPr>
          <w:p>
            <w:r>
              <w:t xml:space="preserve">32.8°</w:t>
            </w:r>
          </w:p>
        </w:tc>
      </w:tr>
      <w:tr>
        <w:tc>
          <w:tcPr>
            <w:tcW w:type="dxa" w:w="4500"/>
          </w:tcPr>
          <w:p>
            <w:r>
              <w:t xml:space="preserve">Dec 15</w:t>
            </w:r>
          </w:p>
        </w:tc>
        <w:tc>
          <w:tcPr>
            <w:tcW w:type="dxa" w:w="4500"/>
          </w:tcPr>
          <w:p>
            <w:r>
              <w:t xml:space="preserve">28.1°</w:t>
            </w:r>
          </w:p>
        </w:tc>
      </w:tr>
    </w:tbl>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 APPENDIX G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Number of panels in the Reyes household's array</w:t>
            </w:r>
          </w:p>
        </w:tc>
        <w:tc>
          <w:tcPr>
            <w:tcW w:type="dxa" w:w="1800"/>
          </w:tcPr>
          <w:p>
            <w:r>
              <w:t xml:space="preserve">20 panels</w:t>
            </w:r>
          </w:p>
        </w:tc>
        <w:tc>
          <w:tcPr>
            <w:tcW w:type="dxa" w:w="1800"/>
          </w:tcPr>
          <w:p>
            <w:r>
              <w:t xml:space="preserve">No public record exists for a fictional household's specific array size. 20 panels of the named 400 W module (SEE APPENDIX A) sizes to an 8.0 kW DC array, in the range of a typical mid-size residential system in the Sacramento market.</w:t>
            </w:r>
          </w:p>
        </w:tc>
        <w:tc>
          <w:tcPr>
            <w:tcW w:type="dxa" w:w="1800"/>
          </w:tcPr>
          <w:p>
            <w:r>
              <w:t xml:space="preserve">None. The case's primary metric (SEE Background, Dilemma) is stated </w:t>
            </w:r>
            <w:r>
              <w:rPr>
                <w:b/>
                <w:bCs/>
              </w:rPr>
              <w:t xml:space="preserve">per panel</w:t>
            </w:r>
            <w:r>
              <w:t xml:space="preserve">, and panel count is identical for both options — it cancels out of the comparison entirely and cannot flip the recommendation.</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DDDDD" w:val="clear"/>
          </w:tcPr>
          <w:p>
            <w:r>
              <w:t xml:space="preserve">#</w:t>
            </w:r>
          </w:p>
        </w:tc>
        <w:tc>
          <w:tcPr>
            <w:tcW w:type="dxa" w:w="1125"/>
            <w:shd w:fill="DDDDDD" w:val="clear"/>
          </w:tcPr>
          <w:p>
            <w:r>
              <w:t xml:space="preserve">Claim</w:t>
            </w:r>
          </w:p>
        </w:tc>
        <w:tc>
          <w:tcPr>
            <w:tcW w:type="dxa" w:w="1125"/>
            <w:shd w:fill="DDDDDD" w:val="clear"/>
          </w:tcPr>
          <w:p>
            <w:r>
              <w:t xml:space="preserve">Value</w:t>
            </w:r>
          </w:p>
        </w:tc>
        <w:tc>
          <w:tcPr>
            <w:tcW w:type="dxa" w:w="1125"/>
            <w:shd w:fill="DDDDDD" w:val="clear"/>
          </w:tcPr>
          <w:p>
            <w:r>
              <w:t xml:space="preserve">Source</w:t>
            </w:r>
          </w:p>
        </w:tc>
        <w:tc>
          <w:tcPr>
            <w:tcW w:type="dxa" w:w="1125"/>
            <w:shd w:fill="DDDDDD" w:val="clear"/>
          </w:tcPr>
          <w:p>
            <w:r>
              <w:t xml:space="preserve">Date</w:t>
            </w:r>
          </w:p>
        </w:tc>
        <w:tc>
          <w:tcPr>
            <w:tcW w:type="dxa" w:w="1125"/>
            <w:shd w:fill="DDDDDD" w:val="clear"/>
          </w:tcPr>
          <w:p>
            <w:r>
              <w:t xml:space="preserve">Confidence</w:t>
            </w:r>
          </w:p>
        </w:tc>
        <w:tc>
          <w:tcPr>
            <w:tcW w:type="dxa" w:w="1125"/>
            <w:shd w:fill="DDDDDD" w:val="clear"/>
          </w:tcPr>
          <w:p>
            <w:r>
              <w:t xml:space="preserve"/>
            </w:r>
          </w:p>
        </w:tc>
        <w:tc>
          <w:tcPr>
            <w:tcW w:type="dxa" w:w="1125"/>
            <w:shd w:fill="DDDDDD" w:val="clear"/>
          </w:tcPr>
          <w:p>
            <w:r>
              <w:t xml:space="preserve"/>
            </w:r>
          </w:p>
        </w:tc>
      </w:tr>
      <w:tr>
        <w:tc>
          <w:tcPr>
            <w:tcW w:type="dxa" w:w="1125"/>
          </w:tcPr>
          <w:p>
            <w:r>
              <w:t xml:space="preserve">S1</w:t>
            </w:r>
          </w:p>
        </w:tc>
        <w:tc>
          <w:tcPr>
            <w:tcW w:type="dxa" w:w="1125"/>
          </w:tcPr>
          <w:p>
            <w:r>
              <w:t xml:space="preserve">Representative site coordinates for a Sacramento, CA rooftop installation (Sacramento City Hall, used as the case's stated site point)</w:t>
            </w:r>
          </w:p>
        </w:tc>
        <w:tc>
          <w:tcPr>
            <w:tcW w:type="dxa" w:w="1125"/>
          </w:tcPr>
          <w:p>
            <w:r>
              <w:t xml:space="preserve">38.5816° N, 121.4944° W (live page as of 2026-08-31 shows 38.582301° N, 121.49332° W — a ~90m drift, immaterial: still rounds to a 39° tilt)</w:t>
            </w:r>
          </w:p>
        </w:tc>
        <w:tc>
          <w:tcPr>
            <w:tcW w:type="dxa" w:w="1125"/>
          </w:tcPr>
          <w:p>
            <w:hyperlink w:history="1" r:id="rIdxp8ibwvi0wcbi7m-valoh">
              <w:r>
                <w:rPr>
                  <w:rStyle w:val="Hyperlink"/>
                </w:rPr>
                <w:t xml:space="preserve">findlatitudeandlongitude.com — Sacramento City Hall, Sacramento, CA</w:t>
              </w:r>
            </w:hyperlink>
          </w:p>
        </w:tc>
        <w:tc>
          <w:tcPr>
            <w:tcW w:type="dxa" w:w="1125"/>
          </w:tcPr>
          <w:p>
            <w:r>
              <w:t xml:space="preserve">n.d. (accessed 2026-08-30)</w:t>
            </w:r>
          </w:p>
        </w:tc>
        <w:tc>
          <w:tcPr>
            <w:tcW w:type="dxa" w:w="1125"/>
          </w:tcPr>
          <w:p>
            <w:r>
              <w:t xml:space="preserve">MEDIUM</w:t>
            </w:r>
          </w:p>
        </w:tc>
        <w:tc>
          <w:tcPr>
            <w:tcW w:type="dxa" w:w="1125"/>
          </w:tcPr>
          <w:p>
            <w:r>
              <w:t xml:space="preserve"/>
            </w:r>
          </w:p>
        </w:tc>
        <w:tc>
          <w:tcPr>
            <w:tcW w:type="dxa" w:w="1125"/>
          </w:tcPr>
          <w:p>
            <w:r>
              <w:t xml:space="preserve"/>
            </w:r>
          </w:p>
        </w:tc>
      </w:tr>
      <w:tr>
        <w:tc>
          <w:tcPr>
            <w:tcW w:type="dxa" w:w="1125"/>
          </w:tcPr>
          <w:p>
            <w:r>
              <w:t xml:space="preserve">S2</w:t>
            </w:r>
          </w:p>
        </w:tc>
        <w:tc>
          <w:tcPr>
            <w:tcW w:type="dxa" w:w="1125"/>
          </w:tcPr>
          <w:p>
            <w:r>
              <w:t xml:space="preserve">STC rated power of a current, named residential solar panel model</w:t>
            </w:r>
          </w:p>
        </w:tc>
        <w:tc>
          <w:tcPr>
            <w:tcW w:type="dxa" w:w="1125"/>
          </w:tcPr>
          <w:p>
            <w:r>
              <w:t xml:space="preserve">400 W — Qcells (Hanwha Q CELLS) Q.PEAK DUO BLK M-G11 400, 108 half-cut monocrystalline cells</w:t>
            </w:r>
          </w:p>
        </w:tc>
        <w:tc>
          <w:tcPr>
            <w:tcW w:type="dxa" w:w="1125"/>
          </w:tcPr>
          <w:p>
            <w:r>
              <w:t xml:space="preserve">Hanwha Q CELLS — </w:t>
            </w:r>
            <w:hyperlink w:history="1" r:id="rId7qdvdhktv9_qbwxtwz7pj">
              <w:r>
                <w:rPr>
                  <w:rStyle w:val="Hyperlink"/>
                </w:rPr>
                <w:t xml:space="preserve">Q.PEAK DUO BLK M-G11 Series datasheet</w:t>
              </w:r>
            </w:hyperlink>
            <w:r>
              <w:t xml:space="preserve">, doc. code </w:t>
            </w:r>
            <w:r>
              <w:rPr>
                <w:rFonts w:ascii="Courier New" w:cs="Courier New" w:eastAsia="Courier New" w:hAnsi="Courier New"/>
              </w:rPr>
              <w:t xml:space="preserve">Q.PEAK_DUO_BLK_M-G11_series_380-400_30T_2022-06_Rev01_EN</w:t>
            </w:r>
          </w:p>
        </w:tc>
        <w:tc>
          <w:tcPr>
            <w:tcW w:type="dxa" w:w="1125"/>
          </w:tcPr>
          <w:p>
            <w:r>
              <w:t xml:space="preserve">2022-06 (Rev01)</w:t>
            </w:r>
          </w:p>
        </w:tc>
        <w:tc>
          <w:tcPr>
            <w:tcW w:type="dxa" w:w="1125"/>
          </w:tcPr>
          <w:p>
            <w:r>
              <w:t xml:space="preserve">HIGH</w:t>
            </w:r>
          </w:p>
        </w:tc>
        <w:tc>
          <w:tcPr>
            <w:tcW w:type="dxa" w:w="1125"/>
          </w:tcPr>
          <w:p>
            <w:r>
              <w:t xml:space="preserve"/>
            </w:r>
          </w:p>
        </w:tc>
        <w:tc>
          <w:tcPr>
            <w:tcW w:type="dxa" w:w="1125"/>
          </w:tcPr>
          <w:p>
            <w:r>
              <w:t xml:space="preserve"/>
            </w:r>
          </w:p>
        </w:tc>
      </w:tr>
      <w:tr>
        <w:tc>
          <w:tcPr>
            <w:tcW w:type="dxa" w:w="1125"/>
          </w:tcPr>
          <w:p>
            <w:r>
              <w:t xml:space="preserve">S3</w:t>
            </w:r>
          </w:p>
        </w:tc>
        <w:tc>
          <w:tcPr>
            <w:tcW w:type="dxa" w:w="1125"/>
          </w:tcPr>
          <w:p>
            <w:r>
              <w:t xml:space="preserve">Tilt angle range supported by a named, currently-sold adjustable residential roof-mount racking system</w:t>
            </w:r>
          </w:p>
        </w:tc>
        <w:tc>
          <w:tcPr>
            <w:tcW w:type="dxa" w:w="1125"/>
          </w:tcPr>
          <w:p>
            <w:r>
              <w:t xml:space="preserve">10°–60° — Clenergy PV-ezRack SolarRoof Adjustable Tilt Legs</w:t>
            </w:r>
          </w:p>
        </w:tc>
        <w:tc>
          <w:tcPr>
            <w:tcW w:type="dxa" w:w="1125"/>
          </w:tcPr>
          <w:p>
            <w:hyperlink w:history="1" r:id="rIdymnmcptpxit74wufcmijk">
              <w:r>
                <w:rPr>
                  <w:rStyle w:val="Hyperlink"/>
                </w:rPr>
                <w:t xml:space="preserve">Clenergy — SolarRoof Adjustable Tilt product page</w:t>
              </w:r>
            </w:hyperlink>
            <w:r>
              <w:t xml:space="preserve">; cross-listed at </w:t>
            </w:r>
            <w:hyperlink w:history="1" r:id="rIdbufq-fbyjzkxfjmajroa4">
              <w:r>
                <w:rPr>
                  <w:rStyle w:val="Hyperlink"/>
                </w:rPr>
                <w:t xml:space="preserve">ENF Solar mounting-system directory</w:t>
              </w:r>
            </w:hyperlink>
          </w:p>
        </w:tc>
        <w:tc>
          <w:tcPr>
            <w:tcW w:type="dxa" w:w="1125"/>
          </w:tcPr>
          <w:p>
            <w:r>
              <w:t xml:space="preserve">n.d. (accessed 2026-08-30)</w:t>
            </w:r>
          </w:p>
        </w:tc>
        <w:tc>
          <w:tcPr>
            <w:tcW w:type="dxa" w:w="1125"/>
          </w:tcPr>
          <w:p>
            <w:r>
              <w:t xml:space="preserve">MEDIUM — direct fetch of clenergy.com was blocked by the site's bot-protection (HTTP 403); the figure is corroborated by an independent aggregator listing the same range for the same named product, but neither could be rendered as a full primary-page fetch.</w:t>
            </w:r>
          </w:p>
        </w:tc>
        <w:tc>
          <w:tcPr>
            <w:tcW w:type="dxa" w:w="1125"/>
          </w:tcPr>
          <w:p>
            <w:r>
              <w:t xml:space="preserve"/>
            </w:r>
          </w:p>
        </w:tc>
        <w:tc>
          <w:tcPr>
            <w:tcW w:type="dxa" w:w="1125"/>
          </w:tcPr>
          <w:p>
            <w:r>
              <w:t xml:space="preserve"/>
            </w:r>
          </w:p>
        </w:tc>
      </w:tr>
      <w:tr>
        <w:tc>
          <w:tcPr>
            <w:tcW w:type="dxa" w:w="1125"/>
          </w:tcPr>
          <w:p>
            <w:r>
              <w:t xml:space="preserve">S4</w:t>
            </w:r>
          </w:p>
        </w:tc>
        <w:tc>
          <w:tcPr>
            <w:tcW w:type="dxa" w:w="1125"/>
          </w:tcPr>
          <w:p>
            <w:r>
              <w:t xml:space="preserve">"Latitude − 15°" summer-tilt rule of thumb for a shallower fixed-tilt angle</w:t>
            </w:r>
          </w:p>
        </w:tc>
        <w:tc>
          <w:tcPr>
            <w:tcW w:type="dxa" w:w="1125"/>
          </w:tcPr>
          <w:p>
            <w:r>
              <w:t xml:space="preserve">Optimum fixed tilt differs from latitude by up to 15° seasonally (less in summer, more in winter)</w:t>
            </w:r>
          </w:p>
        </w:tc>
        <w:tc>
          <w:tcPr>
            <w:tcW w:type="dxa" w:w="1125"/>
          </w:tcPr>
          <w:p>
            <w:r>
              <w:t xml:space="preserve">Lave, M. &amp; Kleissl, J. (2011), </w:t>
            </w:r>
            <w:r>
              <w:rPr>
                <w:i/>
                <w:iCs/>
              </w:rPr>
              <w:t xml:space="preserve">"Optimum fixed orientations and benefits of tracking for capturing solar radiation in the continental United States,"</w:t>
            </w:r>
            <w:r>
              <w:t xml:space="preserve"> Solar Energy, hosted at </w:t>
            </w:r>
            <w:hyperlink w:history="1" r:id="rIdpgnst5twexxjh6ygosv3g">
              <w:r>
                <w:rPr>
                  <w:rStyle w:val="Hyperlink"/>
                </w:rPr>
                <w:t xml:space="preserve">UC San Diego</w:t>
              </w:r>
            </w:hyperlink>
          </w:p>
        </w:tc>
        <w:tc>
          <w:tcPr>
            <w:tcW w:type="dxa" w:w="1125"/>
          </w:tcPr>
          <w:p>
            <w:r>
              <w:t xml:space="preserve">2011</w:t>
            </w:r>
          </w:p>
        </w:tc>
        <w:tc>
          <w:tcPr>
            <w:tcW w:type="dxa" w:w="1125"/>
          </w:tcPr>
          <w:p>
            <w:r>
              <w:t xml:space="preserve">MEDIUM — a general nationwide rule of thumb from a peer-reviewed academic study, not a Sacramento-specific design table.</w:t>
            </w:r>
          </w:p>
        </w:tc>
        <w:tc>
          <w:tcPr>
            <w:tcW w:type="dxa" w:w="1125"/>
          </w:tcPr>
          <w:p>
            <w:r>
              <w:t xml:space="preserve"/>
            </w:r>
          </w:p>
        </w:tc>
        <w:tc>
          <w:tcPr>
            <w:tcW w:type="dxa" w:w="1125"/>
          </w:tcPr>
          <w:p>
            <w:r>
              <w:t xml:space="preserve"/>
            </w:r>
          </w:p>
        </w:tc>
      </w:tr>
      <w:tr>
        <w:tc>
          <w:tcPr>
            <w:tcW w:type="dxa" w:w="1125"/>
          </w:tcPr>
          <w:p>
            <w:r>
              <w:t xml:space="preserve">S5</w:t>
            </w:r>
          </w:p>
        </w:tc>
        <w:tc>
          <w:tcPr>
            <w:tcW w:type="dxa" w:w="1125"/>
          </w:tcPr>
          <w:p>
            <w:r>
              <w:t xml:space="preserve">Modeled monthly and annual AC output per panel (0.4 kW, i.e. one 400 W panel), Option A tilt (39°) and Option B tilt (24°), fixed rooftop array, azimuth 180° (true south), standard module type, 14% system losses</w:t>
            </w:r>
          </w:p>
        </w:tc>
        <w:tc>
          <w:tcPr>
            <w:tcW w:type="dxa" w:w="1125"/>
          </w:tcPr>
          <w:p>
            <w:r>
              <w:t xml:space="preserve">See Appendix B monthly table</w:t>
            </w:r>
          </w:p>
        </w:tc>
        <w:tc>
          <w:tcPr>
            <w:tcW w:type="dxa" w:w="1125"/>
          </w:tcPr>
          <w:p>
            <w:r>
              <w:t xml:space="preserve">NREL — </w:t>
            </w:r>
            <w:hyperlink w:history="1" r:id="rIdekoy4ewdtlszarotwuxxg">
              <w:r>
                <w:rPr>
                  <w:rStyle w:val="Hyperlink"/>
                </w:rPr>
                <w:t xml:space="preserve">PVWatts Calculator, v8 API</w:t>
              </w:r>
            </w:hyperlink>
            <w:r>
              <w:t xml:space="preserve">, queried at lat 38.5816, lon −121.4944</w:t>
            </w:r>
          </w:p>
        </w:tc>
        <w:tc>
          <w:tcPr>
            <w:tcW w:type="dxa" w:w="1125"/>
          </w:tcPr>
          <w:p>
            <w:r>
              <w:t xml:space="preserve">Accessed 2026-08-30 (weather file: NSRDB PSM V3 GOES TMY, station 131636, Sacramento-area)</w:t>
            </w:r>
          </w:p>
        </w:tc>
        <w:tc>
          <w:tcPr>
            <w:tcW w:type="dxa" w:w="1125"/>
          </w:tcPr>
          <w:p>
            <w:r>
              <w:t xml:space="preserve">HIGH</w:t>
            </w:r>
          </w:p>
        </w:tc>
        <w:tc>
          <w:tcPr>
            <w:tcW w:type="dxa" w:w="1125"/>
          </w:tcPr>
          <w:p>
            <w:r>
              <w:t xml:space="preserve"/>
            </w:r>
          </w:p>
        </w:tc>
        <w:tc>
          <w:tcPr>
            <w:tcW w:type="dxa" w:w="1125"/>
          </w:tcPr>
          <w:p>
            <w:r>
              <w:t xml:space="preserve"/>
            </w:r>
          </w:p>
        </w:tc>
      </w:tr>
      <w:tr>
        <w:tc>
          <w:tcPr>
            <w:tcW w:type="dxa" w:w="1125"/>
          </w:tcPr>
          <w:p>
            <w:r>
              <w:t xml:space="preserve">S6</w:t>
            </w:r>
          </w:p>
        </w:tc>
        <w:tc>
          <w:tcPr>
            <w:tcW w:type="dxa" w:w="1125"/>
          </w:tcPr>
          <w:p>
            <w:r>
              <w:t xml:space="preserve">SMUD's published residential Time-of-Day (5–8pm) rate schedule: summer season definition, on-peak hour window, summer on-peak rate, and non-summer off-peak rate</w:t>
            </w:r>
          </w:p>
        </w:tc>
        <w:tc>
          <w:tcPr>
            <w:tcW w:type="dxa" w:w="1125"/>
          </w:tcPr>
          <w:p>
            <w:r>
              <w:t xml:space="preserve">Summer = Jun 1–Sep 30; on-peak = 5–8 p.m. daily; summer on-peak = $0.3765/kWh; non-summer off-peak = $0.1285/kWh</w:t>
            </w:r>
          </w:p>
        </w:tc>
        <w:tc>
          <w:tcPr>
            <w:tcW w:type="dxa" w:w="1125"/>
          </w:tcPr>
          <w:p>
            <w:r>
              <w:t xml:space="preserve">Sacramento Municipal Utility District — </w:t>
            </w:r>
            <w:hyperlink w:history="1" r:id="rIdx1edyx4qqpaawwcb_caxq">
              <w:r>
                <w:rPr>
                  <w:rStyle w:val="Hyperlink"/>
                </w:rPr>
                <w:t xml:space="preserve">Time-of-Day (5-8pm) Rate — Rate details</w:t>
              </w:r>
            </w:hyperlink>
          </w:p>
        </w:tc>
        <w:tc>
          <w:tcPr>
            <w:tcW w:type="dxa" w:w="1125"/>
          </w:tcPr>
          <w:p>
            <w:r>
              <w:t xml:space="preserve">2026 rates (effective as published)</w:t>
            </w:r>
          </w:p>
        </w:tc>
        <w:tc>
          <w:tcPr>
            <w:tcW w:type="dxa" w:w="1125"/>
          </w:tcPr>
          <w:p>
            <w:r>
              <w:t xml:space="preserve">HIGH — utility's own published rate page. Note: the same non-summer season also carries its own 5–8pm on-peak rate of $0.1776/kWh; this case uses the off-peak rate ($0.1285) as "the" non-summer rate because it is what most non-summer hours are actually billed at, matching the case's simplified month-level (not hour-level) weighting. Using the non-summer on-peak rate instead gives a multiplier of 2.12 rather than 2.93 — the weighted-output ranking in Appendix B/D4 is the same either way, only the margin size changes.</w:t>
            </w:r>
          </w:p>
        </w:tc>
        <w:tc>
          <w:tcPr>
            <w:tcW w:type="dxa" w:w="1125"/>
          </w:tcPr>
          <w:p>
            <w:r>
              <w:t xml:space="preserve"/>
            </w:r>
          </w:p>
        </w:tc>
        <w:tc>
          <w:tcPr>
            <w:tcW w:type="dxa" w:w="1125"/>
          </w:tcPr>
          <w:p>
            <w:r>
              <w:t xml:space="preserve"/>
            </w:r>
          </w:p>
        </w:tc>
      </w:tr>
      <w:tr>
        <w:tc>
          <w:tcPr>
            <w:tcW w:type="dxa" w:w="1125"/>
          </w:tcPr>
          <w:p>
            <w:r>
              <w:t xml:space="preserve">S7</w:t>
            </w:r>
          </w:p>
        </w:tc>
        <w:tc>
          <w:tcPr>
            <w:tcW w:type="dxa" w:w="1125"/>
          </w:tcPr>
          <w:p>
            <w:r>
              <w:t xml:space="preserve">Solar elevation and azimuth angles at the site's latitude, four representative dates (2026 solstices/equinoxes) and twelve mid-month solar-noon samples</w:t>
            </w:r>
          </w:p>
        </w:tc>
        <w:tc>
          <w:tcPr>
            <w:tcW w:type="dxa" w:w="1125"/>
          </w:tcPr>
          <w:p>
            <w:r>
              <w:t xml:space="preserve">See Appendix D tables</w:t>
            </w:r>
          </w:p>
        </w:tc>
        <w:tc>
          <w:tcPr>
            <w:tcW w:type="dxa" w:w="1125"/>
          </w:tcPr>
          <w:p>
            <w:r>
              <w:t xml:space="preserve">NOAA Global Monitoring Laboratory — </w:t>
            </w:r>
            <w:hyperlink w:history="1" r:id="rIdfqbnktbagzwywyefu5uz9">
              <w:r>
                <w:rPr>
                  <w:rStyle w:val="Hyperlink"/>
                </w:rPr>
                <w:t xml:space="preserve">Solar Calculator solar-position equations</w:t>
              </w:r>
            </w:hyperlink>
            <w:r>
              <w:t xml:space="preserve"> (values computed programmatically from NOAA's published algorithm, since the interactive calculator itself is not a scriptable data source; cross-checked against the closed-form identity solar-noon elevation = 90° − \</w:t>
            </w:r>
          </w:p>
        </w:tc>
        <w:tc>
          <w:tcPr>
            <w:tcW w:type="dxa" w:w="1125"/>
          </w:tcPr>
          <w:p>
            <w:r>
              <w:t xml:space="preserve">latitude − declination\</w:t>
            </w:r>
          </w:p>
        </w:tc>
        <w:tc>
          <w:tcPr>
            <w:tcW w:type="dxa" w:w="1125"/>
          </w:tcPr>
          <w:p>
            <w:r>
              <w:t xml:space="preserve">, which it reproduces exactly)</w:t>
            </w:r>
          </w:p>
        </w:tc>
        <w:tc>
          <w:tcPr>
            <w:tcW w:type="dxa" w:w="1125"/>
          </w:tcPr>
          <w:p>
            <w:r>
              <w:t xml:space="preserve">Formulas as published; computed 2026-08-30 for calendar year 2026</w:t>
            </w:r>
          </w:p>
        </w:tc>
        <w:tc>
          <w:tcPr>
            <w:tcW w:type="dxa" w:w="1125"/>
          </w:tcPr>
          <w:p>
            <w:r>
              <w:t xml:space="preserve">HIGH</w:t>
            </w:r>
          </w:p>
        </w:tc>
      </w:tr>
    </w:tbl>
    <w:p/>
    <w:p>
      <w:pPr>
        <w:pStyle w:val="Heading2"/>
        <w:spacing w:after="120" w:before="240"/>
      </w:pPr>
      <w:r>
        <w:t xml:space="preserve">Appendix G — "How To…" Math Questions To Research</w:t>
      </w:r>
    </w:p>
    <w:p>
      <w:r>
        <w:rPr>
          <w:b/>
          <w:bCs/>
        </w:rPr>
        <w:t xml:space="preserve">Vocabulary terms</w:t>
      </w:r>
    </w:p>
    <w:p>
      <w:pPr>
        <w:ind w:left="360"/>
      </w:pPr>
      <w:r>
        <w:t xml:space="preserve">- Radian</w:t>
      </w:r>
    </w:p>
    <w:p>
      <w:pPr>
        <w:ind w:left="360"/>
      </w:pPr>
      <w:r>
        <w:t xml:space="preserve">- Unit Circle</w:t>
      </w:r>
    </w:p>
    <w:p>
      <w:pPr>
        <w:ind w:left="360"/>
      </w:pPr>
      <w:r>
        <w:t xml:space="preserve">- Sine Function</w:t>
      </w:r>
    </w:p>
    <w:p>
      <w:pPr>
        <w:ind w:left="360"/>
      </w:pPr>
      <w:r>
        <w:t xml:space="preserve">- Cosine Function</w:t>
      </w:r>
    </w:p>
    <w:p>
      <w:pPr>
        <w:ind w:left="360"/>
      </w:pPr>
      <w:r>
        <w:t xml:space="preserve">- Tangent Function</w:t>
      </w:r>
    </w:p>
    <w:p>
      <w:pPr>
        <w:ind w:left="360"/>
      </w:pPr>
      <w:r>
        <w:t xml:space="preserve">- Amplitude</w:t>
      </w:r>
    </w:p>
    <w:p>
      <w:pPr>
        <w:ind w:left="360"/>
      </w:pPr>
      <w:r>
        <w:t xml:space="preserve">- Period (Of A Function)</w:t>
      </w:r>
    </w:p>
    <w:p>
      <w:pPr>
        <w:ind w:left="360"/>
      </w:pPr>
      <w:r>
        <w:t xml:space="preserve">- Reference Angle</w:t>
      </w:r>
    </w:p>
    <w:p>
      <w:r>
        <w:rPr>
          <w:b/>
          <w:bCs/>
        </w:rPr>
        <w:t xml:space="preserve">"How to…" questions</w:t>
      </w:r>
    </w:p>
    <w:p>
      <w:pPr>
        <w:ind w:left="360"/>
      </w:pPr>
      <w:r>
        <w:t xml:space="preserve">- How to convert between degrees and radians</w:t>
      </w:r>
    </w:p>
    <w:p>
      <w:pPr>
        <w:ind w:left="360"/>
      </w:pPr>
      <w:r>
        <w:t xml:space="preserve">- How to find the sine, cosine, and tangent of an angle using the unit circle</w:t>
      </w:r>
    </w:p>
    <w:p>
      <w:pPr>
        <w:ind w:left="360"/>
      </w:pPr>
      <w:r>
        <w:t xml:space="preserve">- How to find the amplitude and period of a sine or cosine function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p8ibwvi0wcbi7m-valoh" Type="http://schemas.openxmlformats.org/officeDocument/2006/relationships/hyperlink" Target="https://www.findlatitudeandlongitude.com/l/Sacramento+City+Hall,+915,+I+Street,+Downtown,+Sacramento,+Sacramento+County,+California,+95814,+USA/10830118/" TargetMode="External"/><Relationship Id="rId7qdvdhktv9_qbwxtwz7pj" Type="http://schemas.openxmlformats.org/officeDocument/2006/relationships/hyperlink" Target="https://media.qcells.com/v/9FW78hNP/" TargetMode="External"/><Relationship Id="rIdymnmcptpxit74wufcmijk" Type="http://schemas.openxmlformats.org/officeDocument/2006/relationships/hyperlink" Target="https://www.clenergy.com/product/flat-roof/solarroof-adjustable-tilt/" TargetMode="External"/><Relationship Id="rIdbufq-fbyjzkxfjmajroa4" Type="http://schemas.openxmlformats.org/officeDocument/2006/relationships/hyperlink" Target="https://www.enfsolar.com/pv/mounting-system-datasheet/7503" TargetMode="External"/><Relationship Id="rIdpgnst5twexxjh6ygosv3g" Type="http://schemas.openxmlformats.org/officeDocument/2006/relationships/hyperlink" Target="http://maeresearch.ucsd.edu/kleissl/pubs/EE0002055_LaveKleisslSE2011_Optimum_fixed_orientatoins_and_benefits_of_tracking_for_capturing_solar_radiation_in_the_continental_United_States.pdf" TargetMode="External"/><Relationship Id="rIdekoy4ewdtlszarotwuxxg" Type="http://schemas.openxmlformats.org/officeDocument/2006/relationships/hyperlink" Target="https://developer.nlr.gov/docs/solar/pvwatts/v8/" TargetMode="External"/><Relationship Id="rIdx1edyx4qqpaawwcb_caxq" Type="http://schemas.openxmlformats.org/officeDocument/2006/relationships/hyperlink" Target="https://www.smud.org/Rate-Information/Residential-rates/Time-of-Day-5-8pm-Rate/Rate-details" TargetMode="External"/><Relationship Id="rIdfqbnktbagzwywyefu5uz9" Type="http://schemas.openxmlformats.org/officeDocument/2006/relationships/hyperlink" Target="https://gml.noaa.gov/grad/solcalc/solareqns.PDF"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2026-08-31T18:42:44.075Z</dcterms:created>
  <dcterms:modified xsi:type="dcterms:W3CDTF">2026-08-31T18:42:44.079Z</dcterms:modified>
</cp:coreProperties>
</file>

<file path=docProps/custom.xml><?xml version="1.0" encoding="utf-8"?>
<Properties xmlns="http://schemas.openxmlformats.org/officeDocument/2006/custom-properties" xmlns:vt="http://schemas.openxmlformats.org/officeDocument/2006/docPropsVTypes"/>
</file>