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Dice Roll</w:t>
      </w:r>
    </w:p>
    <w:p>
      <w:pPr>
        <w:spacing w:after="240"/>
        <w:jc w:val="center"/>
      </w:pPr>
      <w:r>
        <w:rPr>
          <w:i/>
          <w:iCs/>
          <w:sz w:val="22"/>
          <w:szCs w:val="22"/>
        </w:rPr>
        <w:t xml:space="preserve"/>
      </w:r>
    </w:p>
    <w:p>
      <w:r>
        <w:t xml:space="preserve">MS | Math | Case Study | 2026-27 | Adventure</w:t>
      </w:r>
    </w:p>
    <w:p>
      <w:pPr>
        <w:pStyle w:val="Heading2"/>
        <w:spacing w:after="120" w:before="240"/>
      </w:pPr>
      <w:r>
        <w:t xml:space="preserve">Overview</w:t>
      </w:r>
    </w:p>
    <w:p>
      <w:r>
        <w:t xml:space="preserve">Twenty ten-sided dice sit in a shallow tray under the meeting-room camera, and the livestream chat is already scrolling faster than Marisol Ibarra can read it. A staffer in a blazer picks up the first die, rolls it across the felt, and reads the digit into the microphone. </w:t>
      </w:r>
      <w:r>
        <w:rPr>
          <w:i/>
          <w:iCs/>
        </w:rPr>
        <w:t xml:space="preserve">Four.</w:t>
      </w:r>
      <w:r>
        <w:t xml:space="preserve"> Another staffer types it into a form on the projector screen. Nineteen more to go.</w:t>
      </w:r>
    </w:p>
    <w:p>
      <w:r>
        <w:t xml:space="preserve">Marisol watches from the second row with a legal pad on her knee, half her attention on the dice and half on the seating chart of Colorado's sixty-four counties taped to the wall behind the podium. In eleven minutes, that twenty-digit number the dice are building — random, public, impossible to have picked in advance — will seed the software that tells every county in the state exactly which ballots its bipartisan audit board has to pull and recount by hand.</w:t>
      </w:r>
    </w:p>
    <w:p>
      <w:r>
        <w:t xml:space="preserve">The audit itself isn't Marisol's call. State law already requires it, in all sixty-four counties, every time. What's on her legal pad is a narrower question, and it's the one her director wants answered before the seating chart comes down off that wall: with a travel budget that covers five site visits this cycle, which five counties does the compliance-monitoring team actually go stand inside, in person, to watch the audit boards work?</w:t>
      </w:r>
    </w:p>
    <w:p>
      <w:r>
        <w:t xml:space="preserve">The last die lands. </w:t>
      </w:r>
      <w:r>
        <w:rPr>
          <w:i/>
          <w:iCs/>
        </w:rPr>
        <w:t xml:space="preserve">Six.</w:t>
      </w:r>
      <w:r>
        <w:t xml:space="preserve"> Her director leans over. "You said you'd have the visit list by end of day."</w:t>
      </w:r>
    </w:p>
    <w:p>
      <w:r>
        <w:t xml:space="preserve">Marisol looks down at the two lists already sketched on her legal pad.</w:t>
      </w:r>
    </w:p>
    <w:p>
      <w:pPr>
        <w:pStyle w:val="Heading2"/>
        <w:spacing w:after="120" w:before="240"/>
      </w:pPr>
      <w:r>
        <w:t xml:space="preserve">Background</w:t>
      </w:r>
    </w:p>
    <w:p>
      <w:r>
        <w:rPr>
          <w:b/>
          <w:bCs/>
        </w:rPr>
        <w:t xml:space="preserve">Here is the concrete question, stripped of the ceremony:</w:t>
      </w:r>
      <w:r>
        <w:t xml:space="preserve"> Marisol's director wants a list of exactly 5 counties — out of this case's 12-county working roster standing in for Colorado's full 64 — where the Division's own compliance-monitoring team will show up in person this cycle to watch a county audit board work. The dice matter because they are where this case's Statistics-and-Probability content actually lives: they are the real mechanism Colorado's own risk-limiting audit uses to turn "random" from a promise into a number anyone can check and reproduce (SEE APPENDIX B) [S4]. Marisol's own visit-plan choice runs on that identical idea — a public, reproducible chance process — just applied one level up: not which ballots get recounted (state law already fixes that for all 64 counties, no matter what she decides), but which counties a Division observer actually walks into. Two concrete plans sit on her legal pad: </w:t>
      </w:r>
      <w:r>
        <w:rPr>
          <w:b/>
          <w:bCs/>
        </w:rPr>
        <w:t xml:space="preserve">The Statewide Draw</w:t>
      </w:r>
      <w:r>
        <w:t xml:space="preserve">, which lets a chance process pick both the counties and the sessions inside them, and </w:t>
      </w:r>
      <w:r>
        <w:rPr>
          <w:b/>
          <w:bCs/>
        </w:rPr>
        <w:t xml:space="preserve">The Front Range Loop</w:t>
      </w:r>
      <w:r>
        <w:t xml:space="preserve">, which simply sends the team to the 5 counties closest to Denver every time, no draw involved. Simple random sampling, systematic sampling, cluster sampling, and multistage sampling — the four tools this case asks a Hero to actually use — are not exotic or invented for this exercise: OpenStax's </w:t>
      </w:r>
      <w:r>
        <w:rPr>
          <w:i/>
          <w:iCs/>
        </w:rPr>
        <w:t xml:space="preserve">Introductory Statistics</w:t>
      </w:r>
      <w:r>
        <w:t xml:space="preserve"> textbook lists the stratified, cluster, and systematic sample as the standard "well-known" alternatives taught alongside simple random sampling in any first statistics course [S9], and pairing a random county draw with a random within-county subsample — exactly what The Statewide Draw does — is the textbook definition of a multistage sample. What genuinely isn't public record is whether Colorado's real Division uses one of these methods, or something else entirely, to pick which counties its own compliance-monitoring team visits in person; no such policy is published (SEE APPENDIX D), so this case models that specific choice as the open, unresolved question it actually is, not a foregone conclusion dressed up as one.</w:t>
      </w:r>
    </w:p>
    <w:p>
      <w:r>
        <w:t xml:space="preserve">Colorado has </w:t>
      </w:r>
      <w:r>
        <w:rPr>
          <w:b/>
          <w:bCs/>
        </w:rPr>
        <w:t xml:space="preserve">64 counties</w:t>
      </w:r>
      <w:r>
        <w:t xml:space="preserve"> (SEE APPENDIX A) [S1]. Since 2009, Colorado Revised Statutes </w:t>
      </w:r>
      <w:r>
        <w:rPr>
          <w:b/>
          <w:bCs/>
        </w:rPr>
        <w:t xml:space="preserve">§1-7-515</w:t>
      </w:r>
      <w:r>
        <w:t xml:space="preserve"> has required that, starting with the 2017 coordinated election and after every primary, general, coordinated, or congressional vacancy election held since, </w:t>
      </w:r>
      <w:r>
        <w:rPr>
          <w:b/>
          <w:bCs/>
        </w:rPr>
        <w:t xml:space="preserve">every county that uses ballot-counting equipment must conduct a risk-limiting audit (RLA)</w:t>
      </w:r>
      <w:r>
        <w:t xml:space="preserve"> — a statistically designed manual recount of a randomly selected set of ballots, run by a bipartisan county audit board, that continues until it either confirms the reported outcome to a fixed confidence level or triggers a full hand count [S2] [S3]. That requirement does not change based on anything in this case: all 64 counties run their own RLA, every cycle, regardless of which counties Marisol picks.</w:t>
      </w:r>
    </w:p>
    <w:p>
      <w:r>
        <w:t xml:space="preserve">Marisol Ibarra is the Compliance Audit Coordinator in the Colorado Department of State's Elections Division. Her job is not to run the county audits — it is to make sure the Department can stand behind them. Beyond the paperwork every county already files, the Division sends a small compliance-monitoring team to a limited number of counties each cycle to observe the audit board's work in person: watching chain of custody handling, confirming the audit follows the seed-driven ballot selection exactly as designed, and catching the kind of procedural slip that never shows up in a written report (SEE APPENDIX C). This cycle, the team's travel budget and staff-days cover exactly </w:t>
      </w:r>
      <w:r>
        <w:rPr>
          <w:b/>
          <w:bCs/>
        </w:rPr>
        <w:t xml:space="preserve">5 in-person site visits</w:t>
      </w:r>
      <w:r>
        <w:t xml:space="preserve"> (SEE APPENDIX C) — out of a </w:t>
      </w:r>
      <w:r>
        <w:rPr>
          <w:b/>
          <w:bCs/>
        </w:rPr>
        <w:t xml:space="preserve">12-county working roster</w:t>
      </w:r>
      <w:r>
        <w:t xml:space="preserve"> [MA4] this case uses to represent Colorado's full geographic spread, from the Front Range to the Eastern Plains, the San Luis Valley, and the Western Slope (SEE APPENDIX A).</w:t>
      </w:r>
    </w:p>
    <w:p>
      <w:r>
        <w:t xml:space="preserve">Marisol worked as a county poll worker herself for three elections before she ever crossed over to the compliance side, so she knows what a real polling place feels like from the inside — the folding tables, the long lines of forms to sign, the exact moment in the evening when a tired precinct judge starts making small procedural shortcuts nobody meant any harm by. That ground-level memory is part of why she reads a county's audit floor so well now, and part of why she doesn't rattle when a county clerk pushes back hard on a finding — she's stood on the other side of that conversation. A single six-sided die sits on the corner of her desk, worn smooth at the edges; an instructor in her very first audit-methods training years ago used a handful of ordinary dice to walk the room through what a random sample actually is, and she kept one as a reminder that the math in front of her — 5 of 12 counties, sessions picked on an interval — is the same simple idea, just scaled up.</w:t>
      </w:r>
    </w:p>
    <w:p>
      <w:r>
        <w:t xml:space="preserve">Marisol has narrowed her visit plan to two options, using the same kind of public, reproducible random-seed process the statewide RLA itself uses (SEE APPENDIX B) [S4]:</w:t>
      </w:r>
    </w:p>
    <w:p>
      <w:r>
        <w:rPr>
          <w:b/>
          <w:bCs/>
        </w:rPr>
        <w:t xml:space="preserve">The Statewide Draw</w:t>
      </w:r>
      <w:r>
        <w:t xml:space="preserve"> selects the 5 visited counties by simple random sampling from the full 12-county roster, then, inside each selected county, uses systematic sampling to pick which of that county's scheduled audit sessions the team actually sits in on (SEE APPENDIX B). Every county on the roster — Front Range, plains, valley, or Western Slope — has a real, calculable chance of a Division observer walking in the door.</w:t>
      </w:r>
    </w:p>
    <w:p>
      <w:r>
        <w:rPr>
          <w:b/>
          <w:bCs/>
        </w:rPr>
        <w:t xml:space="preserve">The Front Range Loop</w:t>
      </w:r>
      <w:r>
        <w:t xml:space="preserve"> sends the team to the 5 counties nearest the Denver office — a convenience sample (SEE APPENDIX A). It costs less to run and needs no overnight travel. It also means the Division's own eyes never once reach the Eastern Plains, the San Luis Valley, or the Western Slope, no matter how many cycles run, no matter how the travel budget is spent.</w:t>
      </w:r>
    </w:p>
    <w:p>
      <w:r>
        <w:t xml:space="preserve">Every figure in this case is either cited to a real source or disclosed as a stated Modeling Assumption (SEE APPENDICES D AND E) — never invented quietly. The vocabulary and "how to…" skills this case will ask you to research are listed in Appendix F — that is where Challenge 1 sends you.</w:t>
      </w:r>
    </w:p>
    <w:p>
      <w:pPr>
        <w:pStyle w:val="Heading2"/>
        <w:spacing w:after="120" w:before="240"/>
      </w:pPr>
      <w:r>
        <w:t xml:space="preserve">Dilemma</w:t>
      </w:r>
    </w:p>
    <w:p>
      <w:r>
        <w:t xml:space="preserve">You are Marisol Ibarra.</w:t>
      </w:r>
    </w:p>
    <w:p>
      <w:r>
        <w:t xml:space="preserve">Do you:</w:t>
      </w:r>
    </w:p>
    <w:p>
      <w:r>
        <w:t xml:space="preserve">A.) Run </w:t>
      </w:r>
      <w:r>
        <w:rPr>
          <w:b/>
          <w:bCs/>
        </w:rPr>
        <w:t xml:space="preserve">The Statewide Draw</w:t>
      </w:r>
      <w:r>
        <w:t xml:space="preserve"> — a multistage sample: 5 of the 12 counties chosen by simple random sampling, then audit sessions inside each chosen county picked by systematic sampling, so every region of the state has a real chance of an in-person Division visit OR</w:t>
      </w:r>
    </w:p>
    <w:p>
      <w:r>
        <w:t xml:space="preserve">B.) Run </w:t>
      </w:r>
      <w:r>
        <w:rPr>
          <w:b/>
          <w:bCs/>
        </w:rPr>
        <w:t xml:space="preserve">The Front Range Loop</w:t>
      </w:r>
      <w:r>
        <w:t xml:space="preserve"> — a convenience sample of the 5 counties nearest the Denver office, cheaper and simpler to run, but the Eastern Plains, the San Luis Valley, and the Western Slope are never visited, no matter how many cycles pass</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r>
        <w:t xml:space="preserve">D1. </w:t>
      </w:r>
      <w:r>
        <w:rPr>
          <w:b/>
          <w:bCs/>
        </w:rPr>
        <w:t xml:space="preserve">A population-and-sample description</w:t>
      </w:r>
      <w:r>
        <w:t xml:space="preserve">, in your own words: how many counties are on this case's working roster, how many the state actually has (SEE APPENDIX A), the size of this cycle's visit sample, and what percent of the working roster — and, separately, what percent of the full state — that sample represents, showing your arithmetic.</w:t>
      </w:r>
    </w:p>
    <w:p>
      <w:r>
        <w:t xml:space="preserve">D2. </w:t>
      </w:r>
      <w:r>
        <w:rPr>
          <w:b/>
          <w:bCs/>
        </w:rPr>
        <w:t xml:space="preserve">A Statewide Draw sampling plan</w:t>
      </w:r>
      <w:r>
        <w:t xml:space="preserve">: which 5 counties the simple-random first-stage draw selects (SEE APPENDIX B), and, for each selected county, the systematic-sampling interval and starting point you would use to choose which of that county's scheduled audit sessions to observe (SEE APPENDIX B).</w:t>
      </w:r>
    </w:p>
    <w:p>
      <w:r>
        <w:t xml:space="preserve">D3. </w:t>
      </w:r>
      <w:r>
        <w:rPr>
          <w:b/>
          <w:bCs/>
        </w:rPr>
        <w:t xml:space="preserve">A cluster-sampling cost check</w:t>
      </w:r>
      <w:r>
        <w:t xml:space="preserve">: what it would cost in review time to observe </w:t>
      </w:r>
      <w:r>
        <w:rPr>
          <w:i/>
          <w:iCs/>
        </w:rPr>
        <w:t xml:space="preserve">every single scheduled audit session</w:t>
      </w:r>
      <w:r>
        <w:t xml:space="preserve"> — not a systematic subsample — at the 5 Statewide Draw counties, showing why the plan systematically samples sessions inside each selected county instead of observing the whole cluster.</w:t>
      </w:r>
    </w:p>
    <w:p>
      <w:r>
        <w:t xml:space="preserve">D4. </w:t>
      </w:r>
      <w:r>
        <w:rPr>
          <w:b/>
          <w:bCs/>
        </w:rPr>
        <w:t xml:space="preserve">A Front Range Loop representativeness analysis</w:t>
      </w:r>
      <w:r>
        <w:t xml:space="preserve">: which counties on the roster sit inside the Front Range Loop's reach and which sit permanently outside it, plus a selection-probability comparison — the chance a specific Western Slope or San Luis Valley county is visited under each option this cycle, and the chance it is visited at least once across three consecutive election cycles under each option.</w:t>
      </w:r>
    </w:p>
    <w:p>
      <w:r>
        <w:t xml:space="preserve">D5. </w:t>
      </w:r>
      <w:r>
        <w:rPr>
          <w:b/>
          <w:bCs/>
        </w:rPr>
        <w:t xml:space="preserve">A total program cost comparison</w:t>
      </w:r>
      <w:r>
        <w:t xml:space="preserve"> (mileage, per diem, and staff time) for The Statewide Draw vs. The Front Range Loop (SEE APPENDIX C).</w:t>
      </w:r>
    </w:p>
    <w:p>
      <w:r>
        <w:t xml:space="preserve">D6. </w:t>
      </w:r>
      <w:r>
        <w:rPr>
          <w:b/>
          <w:bCs/>
        </w:rPr>
        <w:t xml:space="preserve">Two original visual displays of the data</w:t>
      </w:r>
      <w:r>
        <w:t xml:space="preserve">: a bar graph comparing each option's total program cost by category (mileage, lodging, meals and incidentals, staff time), and a pie chart showing what share of Colorado's population lives in the Front Range Loop's 5 reachable counties versus the rest of the state (SEE APPENDIX A).</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County Roster</w:t>
      </w:r>
    </w:p>
    <w:p>
      <w:r>
        <w:t xml:space="preserve">This case works with a representative 12-county subset of Colorado's 64 counties [S1], chosen to span the state's major geographic regions: the Front Range (near the Denver office), the Eastern Plains, the San Luis Valley, and the Western Slope. Distance is one-way driving miles from the Elections Division's Denver office to each county seat [S5]. 2024 population estimates are shown for Appendix D6's pie chart [S6].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County</w:t>
            </w:r>
          </w:p>
        </w:tc>
        <w:tc>
          <w:tcPr>
            <w:tcW w:type="dxa" w:w="1500"/>
            <w:shd w:fill="DDDDDD" w:val="clear"/>
          </w:tcPr>
          <w:p>
            <w:r>
              <w:t xml:space="preserve">County Seat</w:t>
            </w:r>
          </w:p>
        </w:tc>
        <w:tc>
          <w:tcPr>
            <w:tcW w:type="dxa" w:w="1500"/>
            <w:shd w:fill="DDDDDD" w:val="clear"/>
          </w:tcPr>
          <w:p>
            <w:r>
              <w:t xml:space="preserve">Region</w:t>
            </w:r>
          </w:p>
        </w:tc>
        <w:tc>
          <w:tcPr>
            <w:tcW w:type="dxa" w:w="1500"/>
            <w:shd w:fill="DDDDDD" w:val="clear"/>
          </w:tcPr>
          <w:p>
            <w:r>
              <w:t xml:space="preserve">One-way miles from Denver</w:t>
            </w:r>
          </w:p>
        </w:tc>
        <w:tc>
          <w:tcPr>
            <w:tcW w:type="dxa" w:w="1500"/>
            <w:shd w:fill="DDDDDD" w:val="clear"/>
          </w:tcPr>
          <w:p>
            <w:r>
              <w:t xml:space="preserve">2024 population</w:t>
            </w:r>
          </w:p>
        </w:tc>
      </w:tr>
      <w:tr>
        <w:tc>
          <w:tcPr>
            <w:tcW w:type="dxa" w:w="1500"/>
          </w:tcPr>
          <w:p>
            <w:r>
              <w:t xml:space="preserve">1</w:t>
            </w:r>
          </w:p>
        </w:tc>
        <w:tc>
          <w:tcPr>
            <w:tcW w:type="dxa" w:w="1500"/>
          </w:tcPr>
          <w:p>
            <w:r>
              <w:t xml:space="preserve">Alamosa</w:t>
            </w:r>
          </w:p>
        </w:tc>
        <w:tc>
          <w:tcPr>
            <w:tcW w:type="dxa" w:w="1500"/>
          </w:tcPr>
          <w:p>
            <w:r>
              <w:t xml:space="preserve">Alamosa</w:t>
            </w:r>
          </w:p>
        </w:tc>
        <w:tc>
          <w:tcPr>
            <w:tcW w:type="dxa" w:w="1500"/>
          </w:tcPr>
          <w:p>
            <w:r>
              <w:t xml:space="preserve">San Luis Valley</w:t>
            </w:r>
          </w:p>
        </w:tc>
        <w:tc>
          <w:tcPr>
            <w:tcW w:type="dxa" w:w="1500"/>
          </w:tcPr>
          <w:p>
            <w:r>
              <w:t xml:space="preserve">235 [S5]</w:t>
            </w:r>
          </w:p>
        </w:tc>
        <w:tc>
          <w:tcPr>
            <w:tcW w:type="dxa" w:w="1500"/>
          </w:tcPr>
          <w:p>
            <w:r>
              <w:t xml:space="preserve">16,300 [S6]</w:t>
            </w:r>
          </w:p>
        </w:tc>
      </w:tr>
      <w:tr>
        <w:tc>
          <w:tcPr>
            <w:tcW w:type="dxa" w:w="1500"/>
          </w:tcPr>
          <w:p>
            <w:r>
              <w:t xml:space="preserve">2</w:t>
            </w:r>
          </w:p>
        </w:tc>
        <w:tc>
          <w:tcPr>
            <w:tcW w:type="dxa" w:w="1500"/>
          </w:tcPr>
          <w:p>
            <w:r>
              <w:t xml:space="preserve">Boulder</w:t>
            </w:r>
          </w:p>
        </w:tc>
        <w:tc>
          <w:tcPr>
            <w:tcW w:type="dxa" w:w="1500"/>
          </w:tcPr>
          <w:p>
            <w:r>
              <w:t xml:space="preserve">Boulder</w:t>
            </w:r>
          </w:p>
        </w:tc>
        <w:tc>
          <w:tcPr>
            <w:tcW w:type="dxa" w:w="1500"/>
          </w:tcPr>
          <w:p>
            <w:r>
              <w:t xml:space="preserve">Front Range</w:t>
            </w:r>
          </w:p>
        </w:tc>
        <w:tc>
          <w:tcPr>
            <w:tcW w:type="dxa" w:w="1500"/>
          </w:tcPr>
          <w:p>
            <w:r>
              <w:t xml:space="preserve">66 [S5]</w:t>
            </w:r>
          </w:p>
        </w:tc>
        <w:tc>
          <w:tcPr>
            <w:tcW w:type="dxa" w:w="1500"/>
          </w:tcPr>
          <w:p>
            <w:r>
              <w:t xml:space="preserve">328,560 [S6]</w:t>
            </w:r>
          </w:p>
        </w:tc>
      </w:tr>
      <w:tr>
        <w:tc>
          <w:tcPr>
            <w:tcW w:type="dxa" w:w="1500"/>
          </w:tcPr>
          <w:p>
            <w:r>
              <w:t xml:space="preserve">3</w:t>
            </w:r>
          </w:p>
        </w:tc>
        <w:tc>
          <w:tcPr>
            <w:tcW w:type="dxa" w:w="1500"/>
          </w:tcPr>
          <w:p>
            <w:r>
              <w:t xml:space="preserve">Douglas</w:t>
            </w:r>
          </w:p>
        </w:tc>
        <w:tc>
          <w:tcPr>
            <w:tcW w:type="dxa" w:w="1500"/>
          </w:tcPr>
          <w:p>
            <w:r>
              <w:t xml:space="preserve">Castle Rock</w:t>
            </w:r>
          </w:p>
        </w:tc>
        <w:tc>
          <w:tcPr>
            <w:tcW w:type="dxa" w:w="1500"/>
          </w:tcPr>
          <w:p>
            <w:r>
              <w:t xml:space="preserve">Front Range</w:t>
            </w:r>
          </w:p>
        </w:tc>
        <w:tc>
          <w:tcPr>
            <w:tcW w:type="dxa" w:w="1500"/>
          </w:tcPr>
          <w:p>
            <w:r>
              <w:t xml:space="preserve">29 [S5]</w:t>
            </w:r>
          </w:p>
        </w:tc>
        <w:tc>
          <w:tcPr>
            <w:tcW w:type="dxa" w:w="1500"/>
          </w:tcPr>
          <w:p>
            <w:r>
              <w:t xml:space="preserve">399,396 [S6]</w:t>
            </w:r>
          </w:p>
        </w:tc>
      </w:tr>
      <w:tr>
        <w:tc>
          <w:tcPr>
            <w:tcW w:type="dxa" w:w="1500"/>
          </w:tcPr>
          <w:p>
            <w:r>
              <w:t xml:space="preserve">4</w:t>
            </w:r>
          </w:p>
        </w:tc>
        <w:tc>
          <w:tcPr>
            <w:tcW w:type="dxa" w:w="1500"/>
          </w:tcPr>
          <w:p>
            <w:r>
              <w:t xml:space="preserve">El Paso</w:t>
            </w:r>
          </w:p>
        </w:tc>
        <w:tc>
          <w:tcPr>
            <w:tcW w:type="dxa" w:w="1500"/>
          </w:tcPr>
          <w:p>
            <w:r>
              <w:t xml:space="preserve">Colorado Springs</w:t>
            </w:r>
          </w:p>
        </w:tc>
        <w:tc>
          <w:tcPr>
            <w:tcW w:type="dxa" w:w="1500"/>
          </w:tcPr>
          <w:p>
            <w:r>
              <w:t xml:space="preserve">Front Range</w:t>
            </w:r>
          </w:p>
        </w:tc>
        <w:tc>
          <w:tcPr>
            <w:tcW w:type="dxa" w:w="1500"/>
          </w:tcPr>
          <w:p>
            <w:r>
              <w:t xml:space="preserve">69 [S5]</w:t>
            </w:r>
          </w:p>
        </w:tc>
        <w:tc>
          <w:tcPr>
            <w:tcW w:type="dxa" w:w="1500"/>
          </w:tcPr>
          <w:p>
            <w:r>
              <w:t xml:space="preserve">757,040 [S6]</w:t>
            </w:r>
          </w:p>
        </w:tc>
      </w:tr>
      <w:tr>
        <w:tc>
          <w:tcPr>
            <w:tcW w:type="dxa" w:w="1500"/>
          </w:tcPr>
          <w:p>
            <w:r>
              <w:t xml:space="preserve">5</w:t>
            </w:r>
          </w:p>
        </w:tc>
        <w:tc>
          <w:tcPr>
            <w:tcW w:type="dxa" w:w="1500"/>
          </w:tcPr>
          <w:p>
            <w:r>
              <w:t xml:space="preserve">Jefferson</w:t>
            </w:r>
          </w:p>
        </w:tc>
        <w:tc>
          <w:tcPr>
            <w:tcW w:type="dxa" w:w="1500"/>
          </w:tcPr>
          <w:p>
            <w:r>
              <w:t xml:space="preserve">Golden</w:t>
            </w:r>
          </w:p>
        </w:tc>
        <w:tc>
          <w:tcPr>
            <w:tcW w:type="dxa" w:w="1500"/>
          </w:tcPr>
          <w:p>
            <w:r>
              <w:t xml:space="preserve">Front Range</w:t>
            </w:r>
          </w:p>
        </w:tc>
        <w:tc>
          <w:tcPr>
            <w:tcW w:type="dxa" w:w="1500"/>
          </w:tcPr>
          <w:p>
            <w:r>
              <w:t xml:space="preserve">15 [S5]</w:t>
            </w:r>
          </w:p>
        </w:tc>
        <w:tc>
          <w:tcPr>
            <w:tcW w:type="dxa" w:w="1500"/>
          </w:tcPr>
          <w:p>
            <w:r>
              <w:t xml:space="preserve">580,451 [S6]</w:t>
            </w:r>
          </w:p>
        </w:tc>
      </w:tr>
      <w:tr>
        <w:tc>
          <w:tcPr>
            <w:tcW w:type="dxa" w:w="1500"/>
          </w:tcPr>
          <w:p>
            <w:r>
              <w:t xml:space="preserve">6</w:t>
            </w:r>
          </w:p>
        </w:tc>
        <w:tc>
          <w:tcPr>
            <w:tcW w:type="dxa" w:w="1500"/>
          </w:tcPr>
          <w:p>
            <w:r>
              <w:t xml:space="preserve">Kit Carson</w:t>
            </w:r>
          </w:p>
        </w:tc>
        <w:tc>
          <w:tcPr>
            <w:tcW w:type="dxa" w:w="1500"/>
          </w:tcPr>
          <w:p>
            <w:r>
              <w:t xml:space="preserve">Burlington</w:t>
            </w:r>
          </w:p>
        </w:tc>
        <w:tc>
          <w:tcPr>
            <w:tcW w:type="dxa" w:w="1500"/>
          </w:tcPr>
          <w:p>
            <w:r>
              <w:t xml:space="preserve">Eastern Plains</w:t>
            </w:r>
          </w:p>
        </w:tc>
        <w:tc>
          <w:tcPr>
            <w:tcW w:type="dxa" w:w="1500"/>
          </w:tcPr>
          <w:p>
            <w:r>
              <w:t xml:space="preserve">169 [S5]</w:t>
            </w:r>
          </w:p>
        </w:tc>
        <w:tc>
          <w:tcPr>
            <w:tcW w:type="dxa" w:w="1500"/>
          </w:tcPr>
          <w:p>
            <w:r>
              <w:t xml:space="preserve">7,100 [S6]</w:t>
            </w:r>
          </w:p>
        </w:tc>
      </w:tr>
      <w:tr>
        <w:tc>
          <w:tcPr>
            <w:tcW w:type="dxa" w:w="1500"/>
          </w:tcPr>
          <w:p>
            <w:r>
              <w:t xml:space="preserve">7</w:t>
            </w:r>
          </w:p>
        </w:tc>
        <w:tc>
          <w:tcPr>
            <w:tcW w:type="dxa" w:w="1500"/>
          </w:tcPr>
          <w:p>
            <w:r>
              <w:t xml:space="preserve">La Plata</w:t>
            </w:r>
          </w:p>
        </w:tc>
        <w:tc>
          <w:tcPr>
            <w:tcW w:type="dxa" w:w="1500"/>
          </w:tcPr>
          <w:p>
            <w:r>
              <w:t xml:space="preserve">Durango</w:t>
            </w:r>
          </w:p>
        </w:tc>
        <w:tc>
          <w:tcPr>
            <w:tcW w:type="dxa" w:w="1500"/>
          </w:tcPr>
          <w:p>
            <w:r>
              <w:t xml:space="preserve">Southwest / Western Slope</w:t>
            </w:r>
          </w:p>
        </w:tc>
        <w:tc>
          <w:tcPr>
            <w:tcW w:type="dxa" w:w="1500"/>
          </w:tcPr>
          <w:p>
            <w:r>
              <w:t xml:space="preserve">336 [S5]</w:t>
            </w:r>
          </w:p>
        </w:tc>
        <w:tc>
          <w:tcPr>
            <w:tcW w:type="dxa" w:w="1500"/>
          </w:tcPr>
          <w:p>
            <w:r>
              <w:t xml:space="preserve">58,200 [S6]</w:t>
            </w:r>
          </w:p>
        </w:tc>
      </w:tr>
      <w:tr>
        <w:tc>
          <w:tcPr>
            <w:tcW w:type="dxa" w:w="1500"/>
          </w:tcPr>
          <w:p>
            <w:r>
              <w:t xml:space="preserve">8</w:t>
            </w:r>
          </w:p>
        </w:tc>
        <w:tc>
          <w:tcPr>
            <w:tcW w:type="dxa" w:w="1500"/>
          </w:tcPr>
          <w:p>
            <w:r>
              <w:t xml:space="preserve">Larimer</w:t>
            </w:r>
          </w:p>
        </w:tc>
        <w:tc>
          <w:tcPr>
            <w:tcW w:type="dxa" w:w="1500"/>
          </w:tcPr>
          <w:p>
            <w:r>
              <w:t xml:space="preserve">Fort Collins</w:t>
            </w:r>
          </w:p>
        </w:tc>
        <w:tc>
          <w:tcPr>
            <w:tcW w:type="dxa" w:w="1500"/>
          </w:tcPr>
          <w:p>
            <w:r>
              <w:t xml:space="preserve">Front Range</w:t>
            </w:r>
          </w:p>
        </w:tc>
        <w:tc>
          <w:tcPr>
            <w:tcW w:type="dxa" w:w="1500"/>
          </w:tcPr>
          <w:p>
            <w:r>
              <w:t xml:space="preserve">64 [S5]</w:t>
            </w:r>
          </w:p>
        </w:tc>
        <w:tc>
          <w:tcPr>
            <w:tcW w:type="dxa" w:w="1500"/>
          </w:tcPr>
          <w:p>
            <w:r>
              <w:t xml:space="preserve">377,292 [S6]</w:t>
            </w:r>
          </w:p>
        </w:tc>
      </w:tr>
      <w:tr>
        <w:tc>
          <w:tcPr>
            <w:tcW w:type="dxa" w:w="1500"/>
          </w:tcPr>
          <w:p>
            <w:r>
              <w:t xml:space="preserve">9</w:t>
            </w:r>
          </w:p>
        </w:tc>
        <w:tc>
          <w:tcPr>
            <w:tcW w:type="dxa" w:w="1500"/>
          </w:tcPr>
          <w:p>
            <w:r>
              <w:t xml:space="preserve">Mesa</w:t>
            </w:r>
          </w:p>
        </w:tc>
        <w:tc>
          <w:tcPr>
            <w:tcW w:type="dxa" w:w="1500"/>
          </w:tcPr>
          <w:p>
            <w:r>
              <w:t xml:space="preserve">Grand Junction</w:t>
            </w:r>
          </w:p>
        </w:tc>
        <w:tc>
          <w:tcPr>
            <w:tcW w:type="dxa" w:w="1500"/>
          </w:tcPr>
          <w:p>
            <w:r>
              <w:t xml:space="preserve">Western Slope</w:t>
            </w:r>
          </w:p>
        </w:tc>
        <w:tc>
          <w:tcPr>
            <w:tcW w:type="dxa" w:w="1500"/>
          </w:tcPr>
          <w:p>
            <w:r>
              <w:t xml:space="preserve">243 [S5]</w:t>
            </w:r>
          </w:p>
        </w:tc>
        <w:tc>
          <w:tcPr>
            <w:tcW w:type="dxa" w:w="1500"/>
          </w:tcPr>
          <w:p>
            <w:r>
              <w:t xml:space="preserve">158,300 [S6]</w:t>
            </w:r>
          </w:p>
        </w:tc>
      </w:tr>
      <w:tr>
        <w:tc>
          <w:tcPr>
            <w:tcW w:type="dxa" w:w="1500"/>
          </w:tcPr>
          <w:p>
            <w:r>
              <w:t xml:space="preserve">10</w:t>
            </w:r>
          </w:p>
        </w:tc>
        <w:tc>
          <w:tcPr>
            <w:tcW w:type="dxa" w:w="1500"/>
          </w:tcPr>
          <w:p>
            <w:r>
              <w:t xml:space="preserve">Montezuma</w:t>
            </w:r>
          </w:p>
        </w:tc>
        <w:tc>
          <w:tcPr>
            <w:tcW w:type="dxa" w:w="1500"/>
          </w:tcPr>
          <w:p>
            <w:r>
              <w:t xml:space="preserve">Cortez</w:t>
            </w:r>
          </w:p>
        </w:tc>
        <w:tc>
          <w:tcPr>
            <w:tcW w:type="dxa" w:w="1500"/>
          </w:tcPr>
          <w:p>
            <w:r>
              <w:t xml:space="preserve">Southwest / Western Slope</w:t>
            </w:r>
          </w:p>
        </w:tc>
        <w:tc>
          <w:tcPr>
            <w:tcW w:type="dxa" w:w="1500"/>
          </w:tcPr>
          <w:p>
            <w:r>
              <w:t xml:space="preserve">381 [S5]</w:t>
            </w:r>
          </w:p>
        </w:tc>
        <w:tc>
          <w:tcPr>
            <w:tcW w:type="dxa" w:w="1500"/>
          </w:tcPr>
          <w:p>
            <w:r>
              <w:t xml:space="preserve">26,000 [S6]</w:t>
            </w:r>
          </w:p>
        </w:tc>
      </w:tr>
      <w:tr>
        <w:tc>
          <w:tcPr>
            <w:tcW w:type="dxa" w:w="1500"/>
          </w:tcPr>
          <w:p>
            <w:r>
              <w:t xml:space="preserve">11</w:t>
            </w:r>
          </w:p>
        </w:tc>
        <w:tc>
          <w:tcPr>
            <w:tcW w:type="dxa" w:w="1500"/>
          </w:tcPr>
          <w:p>
            <w:r>
              <w:t xml:space="preserve">Prowers</w:t>
            </w:r>
          </w:p>
        </w:tc>
        <w:tc>
          <w:tcPr>
            <w:tcW w:type="dxa" w:w="1500"/>
          </w:tcPr>
          <w:p>
            <w:r>
              <w:t xml:space="preserve">Lamar</w:t>
            </w:r>
          </w:p>
        </w:tc>
        <w:tc>
          <w:tcPr>
            <w:tcW w:type="dxa" w:w="1500"/>
          </w:tcPr>
          <w:p>
            <w:r>
              <w:t xml:space="preserve">Eastern Plains</w:t>
            </w:r>
          </w:p>
        </w:tc>
        <w:tc>
          <w:tcPr>
            <w:tcW w:type="dxa" w:w="1500"/>
          </w:tcPr>
          <w:p>
            <w:r>
              <w:t xml:space="preserve">208 [S5]</w:t>
            </w:r>
          </w:p>
        </w:tc>
        <w:tc>
          <w:tcPr>
            <w:tcW w:type="dxa" w:w="1500"/>
          </w:tcPr>
          <w:p>
            <w:r>
              <w:t xml:space="preserve">11,700 [S6]</w:t>
            </w:r>
          </w:p>
        </w:tc>
      </w:tr>
      <w:tr>
        <w:tc>
          <w:tcPr>
            <w:tcW w:type="dxa" w:w="1500"/>
          </w:tcPr>
          <w:p>
            <w:r>
              <w:t xml:space="preserve">12</w:t>
            </w:r>
          </w:p>
        </w:tc>
        <w:tc>
          <w:tcPr>
            <w:tcW w:type="dxa" w:w="1500"/>
          </w:tcPr>
          <w:p>
            <w:r>
              <w:t xml:space="preserve">Pueblo</w:t>
            </w:r>
          </w:p>
        </w:tc>
        <w:tc>
          <w:tcPr>
            <w:tcW w:type="dxa" w:w="1500"/>
          </w:tcPr>
          <w:p>
            <w:r>
              <w:t xml:space="preserve">Pueblo</w:t>
            </w:r>
          </w:p>
        </w:tc>
        <w:tc>
          <w:tcPr>
            <w:tcW w:type="dxa" w:w="1500"/>
          </w:tcPr>
          <w:p>
            <w:r>
              <w:t xml:space="preserve">South-Central</w:t>
            </w:r>
          </w:p>
        </w:tc>
        <w:tc>
          <w:tcPr>
            <w:tcW w:type="dxa" w:w="1500"/>
          </w:tcPr>
          <w:p>
            <w:r>
              <w:t xml:space="preserve">114 [S5]</w:t>
            </w:r>
          </w:p>
        </w:tc>
        <w:tc>
          <w:tcPr>
            <w:tcW w:type="dxa" w:w="1500"/>
          </w:tcPr>
          <w:p>
            <w:r>
              <w:t xml:space="preserve">168,400 [S6]</w:t>
            </w:r>
          </w:p>
        </w:tc>
      </w:tr>
    </w:tbl>
    <w:p/>
    <w:p>
      <w:r>
        <w:rPr>
          <w:b/>
          <w:bCs/>
        </w:rPr>
        <w:t xml:space="preserve">Colorado's total 2024 population is approximately 5,960,000</w:t>
      </w:r>
      <w:r>
        <w:t xml:space="preserve"> [S6]. </w:t>
      </w:r>
      <w:r>
        <w:rPr>
          <w:b/>
          <w:bCs/>
        </w:rPr>
        <w:t xml:space="preserve">The Front Range Loop's reach</w:t>
      </w:r>
      <w:r>
        <w:t xml:space="preserve"> (Option B) is fixed to the 5 counties nearest the Denver office: Jefferson (15 mi), Douglas (29 mi), Larimer (64 mi), Boulder (66 mi), and El Paso (69 mi) — all five are same-day round trips with no overnight stay required. The Eastern Plains, San Luis Valley, and Southwest/Western Slope counties on this roster (Kit Carson, Prowers, Alamosa, Mesa, La Plata, Montezuma) are never inside the Front Range Loop's reach.</w:t>
      </w:r>
    </w:p>
    <w:p>
      <w:pPr>
        <w:pStyle w:val="Heading2"/>
        <w:spacing w:after="120" w:before="240"/>
      </w:pPr>
      <w:r>
        <w:t xml:space="preserve">Appendix B — This Cycle's Sampling Mechanics</w:t>
      </w:r>
    </w:p>
    <w:p>
      <w:r>
        <w:rPr>
          <w:b/>
          <w:bCs/>
        </w:rPr>
        <w:t xml:space="preserve">How Colorado's own RLA sets its random seed (for context — this is the state's real, statutory process, not something Marisol controls):</w:t>
      </w:r>
      <w:r>
        <w:t xml:space="preserve"> at a public meeting, staff roll 20 ten-sided dice one at a time on camera while the meeting livestreams; each roll becomes one digit of a 20-digit random seed, entered into the Department of State's open-source RLA software to select the specific ballots each county's audit board must recount [S4]. The process is designed to be public, unpredictable in advance, and exactly reproducible afterward from the recorded seed.</w:t>
      </w:r>
    </w:p>
    <w:p>
      <w:r>
        <w:rPr>
          <w:b/>
          <w:bCs/>
        </w:rPr>
        <w:t xml:space="preserve">The Statewide Draw's realized county selection, this cycle</w:t>
      </w:r>
      <w:r>
        <w:t xml:space="preserve"> (one specific simple-random draw of 5 of the 12 counties in Appendix A, using the Division's own public-seed selection procedure): </w:t>
      </w:r>
      <w:r>
        <w:rPr>
          <w:b/>
          <w:bCs/>
        </w:rPr>
        <w:t xml:space="preserve">Jefferson, Boulder, Pueblo, Kit Carson, Alamosa.</w:t>
      </w:r>
    </w:p>
    <w:p>
      <w:r>
        <w:rPr>
          <w:b/>
          <w:bCs/>
        </w:rPr>
        <w:t xml:space="preserve">Scheduled audit sessions this cycle, in each Statewide Draw county</w:t>
      </w:r>
      <w:r>
        <w:t xml:space="preserve"> (a county's bipartisan audit board may split its work across more than one scheduled session if it has many batches to recount; this is the case's own scenario data, not an external figure):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County</w:t>
            </w:r>
          </w:p>
        </w:tc>
        <w:tc>
          <w:tcPr>
            <w:tcW w:type="dxa" w:w="3000"/>
            <w:shd w:fill="DDDDDD" w:val="clear"/>
          </w:tcPr>
          <w:p>
            <w:r>
              <w:t xml:space="preserve">Scheduled audit sessions this cycle</w:t>
            </w:r>
          </w:p>
        </w:tc>
        <w:tc>
          <w:tcPr>
            <w:tcW w:type="dxa" w:w="3000"/>
            <w:shd w:fill="DDDDDD" w:val="clear"/>
          </w:tcPr>
          <w:p>
            <w:r>
              <w:t xml:space="preserve">Sessions Marisol's team will actually observe (target)</w:t>
            </w:r>
          </w:p>
        </w:tc>
      </w:tr>
      <w:tr>
        <w:tc>
          <w:tcPr>
            <w:tcW w:type="dxa" w:w="3000"/>
          </w:tcPr>
          <w:p>
            <w:r>
              <w:t xml:space="preserve">Jefferson</w:t>
            </w:r>
          </w:p>
        </w:tc>
        <w:tc>
          <w:tcPr>
            <w:tcW w:type="dxa" w:w="3000"/>
          </w:tcPr>
          <w:p>
            <w:r>
              <w:t xml:space="preserve">18</w:t>
            </w:r>
          </w:p>
        </w:tc>
        <w:tc>
          <w:tcPr>
            <w:tcW w:type="dxa" w:w="3000"/>
          </w:tcPr>
          <w:p>
            <w:r>
              <w:t xml:space="preserve">2</w:t>
            </w:r>
          </w:p>
        </w:tc>
      </w:tr>
      <w:tr>
        <w:tc>
          <w:tcPr>
            <w:tcW w:type="dxa" w:w="3000"/>
          </w:tcPr>
          <w:p>
            <w:r>
              <w:t xml:space="preserve">Boulder</w:t>
            </w:r>
          </w:p>
        </w:tc>
        <w:tc>
          <w:tcPr>
            <w:tcW w:type="dxa" w:w="3000"/>
          </w:tcPr>
          <w:p>
            <w:r>
              <w:t xml:space="preserve">14</w:t>
            </w:r>
          </w:p>
        </w:tc>
        <w:tc>
          <w:tcPr>
            <w:tcW w:type="dxa" w:w="3000"/>
          </w:tcPr>
          <w:p>
            <w:r>
              <w:t xml:space="preserve">2</w:t>
            </w:r>
          </w:p>
        </w:tc>
      </w:tr>
      <w:tr>
        <w:tc>
          <w:tcPr>
            <w:tcW w:type="dxa" w:w="3000"/>
          </w:tcPr>
          <w:p>
            <w:r>
              <w:t xml:space="preserve">Pueblo</w:t>
            </w:r>
          </w:p>
        </w:tc>
        <w:tc>
          <w:tcPr>
            <w:tcW w:type="dxa" w:w="3000"/>
          </w:tcPr>
          <w:p>
            <w:r>
              <w:t xml:space="preserve">9</w:t>
            </w:r>
          </w:p>
        </w:tc>
        <w:tc>
          <w:tcPr>
            <w:tcW w:type="dxa" w:w="3000"/>
          </w:tcPr>
          <w:p>
            <w:r>
              <w:t xml:space="preserve">2</w:t>
            </w:r>
          </w:p>
        </w:tc>
      </w:tr>
      <w:tr>
        <w:tc>
          <w:tcPr>
            <w:tcW w:type="dxa" w:w="3000"/>
          </w:tcPr>
          <w:p>
            <w:r>
              <w:t xml:space="preserve">Kit Carson</w:t>
            </w:r>
          </w:p>
        </w:tc>
        <w:tc>
          <w:tcPr>
            <w:tcW w:type="dxa" w:w="3000"/>
          </w:tcPr>
          <w:p>
            <w:r>
              <w:t xml:space="preserve">3</w:t>
            </w:r>
          </w:p>
        </w:tc>
        <w:tc>
          <w:tcPr>
            <w:tcW w:type="dxa" w:w="3000"/>
          </w:tcPr>
          <w:p>
            <w:r>
              <w:t xml:space="preserve">2</w:t>
            </w:r>
          </w:p>
        </w:tc>
      </w:tr>
      <w:tr>
        <w:tc>
          <w:tcPr>
            <w:tcW w:type="dxa" w:w="3000"/>
          </w:tcPr>
          <w:p>
            <w:r>
              <w:t xml:space="preserve">Alamosa</w:t>
            </w:r>
          </w:p>
        </w:tc>
        <w:tc>
          <w:tcPr>
            <w:tcW w:type="dxa" w:w="3000"/>
          </w:tcPr>
          <w:p>
            <w:r>
              <w:t xml:space="preserve">4</w:t>
            </w:r>
          </w:p>
        </w:tc>
        <w:tc>
          <w:tcPr>
            <w:tcW w:type="dxa" w:w="3000"/>
          </w:tcPr>
          <w:p>
            <w:r>
              <w:t xml:space="preserve">2</w:t>
            </w:r>
          </w:p>
        </w:tc>
      </w:tr>
    </w:tbl>
    <w:p/>
    <w:p>
      <w:r>
        <w:t xml:space="preserve">For each county above, the systematic-sampling interval </w:t>
      </w:r>
      <w:r>
        <w:rPr>
          <w:i/>
          <w:iCs/>
        </w:rPr>
        <w:t xml:space="preserve">k</w:t>
      </w:r>
      <w:r>
        <w:t xml:space="preserve"> is the number of scheduled sessions divided by the target number of sessions observed (rounded down to a whole number), with a starting session chosen at random between session 1 and session </w:t>
      </w:r>
      <w:r>
        <w:rPr>
          <w:i/>
          <w:iCs/>
        </w:rPr>
        <w:t xml:space="preserve">k</w:t>
      </w:r>
      <w:r>
        <w:t xml:space="preserve">.</w:t>
      </w:r>
    </w:p>
    <w:p>
      <w:pPr>
        <w:pStyle w:val="Heading2"/>
        <w:spacing w:after="120" w:before="240"/>
      </w:pPr>
      <w:r>
        <w:t xml:space="preserve">Appendix C — Program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Line item</w:t>
            </w:r>
          </w:p>
        </w:tc>
        <w:tc>
          <w:tcPr>
            <w:tcW w:type="dxa" w:w="4500"/>
            <w:shd w:fill="DDDDDD" w:val="clear"/>
          </w:tcPr>
          <w:p>
            <w:r>
              <w:t xml:space="preserve">Value</w:t>
            </w:r>
          </w:p>
        </w:tc>
      </w:tr>
      <w:tr>
        <w:tc>
          <w:tcPr>
            <w:tcW w:type="dxa" w:w="4500"/>
          </w:tcPr>
          <w:p>
            <w:r>
              <w:t xml:space="preserve">State mileage reimbursement rate</w:t>
            </w:r>
          </w:p>
        </w:tc>
        <w:tc>
          <w:tcPr>
            <w:tcW w:type="dxa" w:w="4500"/>
          </w:tcPr>
          <w:p>
            <w:r>
              <w:t xml:space="preserve">$0.68/mile [S7]</w:t>
            </w:r>
          </w:p>
        </w:tc>
      </w:tr>
      <w:tr>
        <w:tc>
          <w:tcPr>
            <w:tcW w:type="dxa" w:w="4500"/>
          </w:tcPr>
          <w:p>
            <w:r>
              <w:t xml:space="preserve">Meals &amp; incidental expenses (M&amp;IE), per travel day, per person</w:t>
            </w:r>
          </w:p>
        </w:tc>
        <w:tc>
          <w:tcPr>
            <w:tcW w:type="dxa" w:w="4500"/>
          </w:tcPr>
          <w:p>
            <w:r>
              <w:t xml:space="preserve">$68.00/day [S8]</w:t>
            </w:r>
          </w:p>
        </w:tc>
      </w:tr>
      <w:tr>
        <w:tc>
          <w:tcPr>
            <w:tcW w:type="dxa" w:w="4500"/>
          </w:tcPr>
          <w:p>
            <w:r>
              <w:t xml:space="preserve">Overnight lodging, per night, per person</w:t>
            </w:r>
          </w:p>
        </w:tc>
        <w:tc>
          <w:tcPr>
            <w:tcW w:type="dxa" w:w="4500"/>
          </w:tcPr>
          <w:p>
            <w:r>
              <w:t xml:space="preserve">$110.00/night [S8]</w:t>
            </w:r>
          </w:p>
        </w:tc>
      </w:tr>
      <w:tr>
        <w:tc>
          <w:tcPr>
            <w:tcW w:type="dxa" w:w="4500"/>
          </w:tcPr>
          <w:p>
            <w:r>
              <w:t xml:space="preserve">One-way distance beyond which an overnight stay is required</w:t>
            </w:r>
          </w:p>
        </w:tc>
        <w:tc>
          <w:tcPr>
            <w:tcW w:type="dxa" w:w="4500"/>
          </w:tcPr>
          <w:p>
            <w:r>
              <w:t xml:space="preserve">150 miles [MA1]</w:t>
            </w:r>
          </w:p>
        </w:tc>
      </w:tr>
      <w:tr>
        <w:tc>
          <w:tcPr>
            <w:tcW w:type="dxa" w:w="4500"/>
          </w:tcPr>
          <w:p>
            <w:r>
              <w:t xml:space="preserve">Loaded daily cost of a Division compliance monitor's travel day (salary, benefits, and report-writing time)</w:t>
            </w:r>
          </w:p>
        </w:tc>
        <w:tc>
          <w:tcPr>
            <w:tcW w:type="dxa" w:w="4500"/>
          </w:tcPr>
          <w:p>
            <w:r>
              <w:t xml:space="preserve">$450.00/day [MA2]</w:t>
            </w:r>
          </w:p>
        </w:tc>
      </w:tr>
      <w:tr>
        <w:tc>
          <w:tcPr>
            <w:tcW w:type="dxa" w:w="4500"/>
          </w:tcPr>
          <w:p>
            <w:r>
              <w:t xml:space="preserve">Site visits this cycle (both options)</w:t>
            </w:r>
          </w:p>
        </w:tc>
        <w:tc>
          <w:tcPr>
            <w:tcW w:type="dxa" w:w="4500"/>
          </w:tcPr>
          <w:p>
            <w:r>
              <w:t xml:space="preserve">5 [MA3]</w:t>
            </w:r>
          </w:p>
        </w:tc>
      </w:tr>
      <w:tr>
        <w:tc>
          <w:tcPr>
            <w:tcW w:type="dxa" w:w="4500"/>
          </w:tcPr>
          <w:p>
            <w:r>
              <w:t xml:space="preserve">Per-session review and documentation cost, if a session is observed</w:t>
            </w:r>
          </w:p>
        </w:tc>
        <w:tc>
          <w:tcPr>
            <w:tcW w:type="dxa" w:w="4500"/>
          </w:tcPr>
          <w:p>
            <w:r>
              <w:t xml:space="preserve">$25.00/session [MA5]</w:t>
            </w:r>
          </w:p>
        </w:tc>
      </w:tr>
    </w:tbl>
    <w:p/>
    <w:p>
      <w:r>
        <w:t xml:space="preserve">A visit's mileage cost is the round-trip distance (2 × one-way miles, from Appendix A) times the mileage rate. A visit needs one overnight stay only when its one-way distance exceeds 150 miles. M&amp;IE and the compliance monitor's daily cost apply to every visit regardless of distance. The per-session review cost (Challenge D3 only) is separate from the travel/lodging/staff figures used in the primary program-cost comparison (Challenge D5): it applies only to whichever scheduled sessions actually get observed, in either a systematic subsample or a full cluster census.</w:t>
      </w:r>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One-way distance beyond which an overnight stay is required</w:t>
            </w:r>
          </w:p>
        </w:tc>
        <w:tc>
          <w:tcPr>
            <w:tcW w:type="dxa" w:w="1800"/>
          </w:tcPr>
          <w:p>
            <w:r>
              <w:t xml:space="preserve">150 miles</w:t>
            </w:r>
          </w:p>
        </w:tc>
        <w:tc>
          <w:tcPr>
            <w:tcW w:type="dxa" w:w="1800"/>
          </w:tcPr>
          <w:p>
            <w:r>
              <w:t xml:space="preserve">No public Division policy fixes an exact same-day-versus-overnight cutoff for this specific monitoring program. 150 miles one-way is roughly a 2.5-hour drive each way — beyond that, a round trip plus a real working stretch of time inside the audit session no longer fits a single business day.</w:t>
            </w:r>
          </w:p>
        </w:tc>
        <w:tc>
          <w:tcPr>
            <w:tcW w:type="dxa" w:w="1800"/>
          </w:tcPr>
          <w:p>
            <w:r>
              <w:t xml:space="preserve">The answer is sensitive to this value.</w:t>
            </w:r>
          </w:p>
        </w:tc>
      </w:tr>
      <w:tr>
        <w:tc>
          <w:tcPr>
            <w:tcW w:type="dxa" w:w="1800"/>
          </w:tcPr>
          <w:p>
            <w:r>
              <w:t xml:space="preserve">MA2</w:t>
            </w:r>
          </w:p>
        </w:tc>
        <w:tc>
          <w:tcPr>
            <w:tcW w:type="dxa" w:w="1800"/>
          </w:tcPr>
          <w:p>
            <w:r>
              <w:t xml:space="preserve">Loaded daily cost of a compliance monitor's travel day</w:t>
            </w:r>
          </w:p>
        </w:tc>
        <w:tc>
          <w:tcPr>
            <w:tcW w:type="dxa" w:w="1800"/>
          </w:tcPr>
          <w:p>
            <w:r>
              <w:t xml:space="preserve">$450.00/day</w:t>
            </w:r>
          </w:p>
        </w:tc>
        <w:tc>
          <w:tcPr>
            <w:tcW w:type="dxa" w:w="1800"/>
          </w:tcPr>
          <w:p>
            <w:r>
              <w:t xml:space="preserve">No public figure exists for the Division's specific internal cost-accounting rate for a monitoring day. The value is set consistent with a Colorado state classified analyst's salary band loaded with standard public-sector benefits and overhead, prorated to a single workday. Applied identically to every visit under both options.</w:t>
            </w:r>
          </w:p>
        </w:tc>
        <w:tc>
          <w:tcPr>
            <w:tcW w:type="dxa" w:w="1800"/>
          </w:tcPr>
          <w:p>
            <w:r>
              <w:t xml:space="preserve">The answer is sensitive to this value.</w:t>
            </w:r>
          </w:p>
        </w:tc>
      </w:tr>
      <w:tr>
        <w:tc>
          <w:tcPr>
            <w:tcW w:type="dxa" w:w="1800"/>
          </w:tcPr>
          <w:p>
            <w:r>
              <w:t xml:space="preserve">MA3</w:t>
            </w:r>
          </w:p>
        </w:tc>
        <w:tc>
          <w:tcPr>
            <w:tcW w:type="dxa" w:w="1800"/>
          </w:tcPr>
          <w:p>
            <w:r>
              <w:t xml:space="preserve">Number of site visits this cycle</w:t>
            </w:r>
          </w:p>
        </w:tc>
        <w:tc>
          <w:tcPr>
            <w:tcW w:type="dxa" w:w="1800"/>
          </w:tcPr>
          <w:p>
            <w:r>
              <w:t xml:space="preserve">5</w:t>
            </w:r>
          </w:p>
        </w:tc>
        <w:tc>
          <w:tcPr>
            <w:tcW w:type="dxa" w:w="1800"/>
          </w:tcPr>
          <w:p>
            <w:r>
              <w:t xml:space="preserve">No public figure exists for the Division's exact travel/staff-day budget for in-person compliance monitoring in a given cycle; the case fixes a small number consistent with a compact state elections-oversight staff. Applied identically to both options, so it does not by itself favor either one.</w:t>
            </w:r>
          </w:p>
        </w:tc>
        <w:tc>
          <w:tcPr>
            <w:tcW w:type="dxa" w:w="1800"/>
          </w:tcPr>
          <w:p>
            <w:r>
              <w:t xml:space="preserve">Low — applies equally to A and B.</w:t>
            </w:r>
          </w:p>
        </w:tc>
      </w:tr>
      <w:tr>
        <w:tc>
          <w:tcPr>
            <w:tcW w:type="dxa" w:w="1800"/>
          </w:tcPr>
          <w:p>
            <w:r>
              <w:t xml:space="preserve">MA4</w:t>
            </w:r>
          </w:p>
        </w:tc>
        <w:tc>
          <w:tcPr>
            <w:tcW w:type="dxa" w:w="1800"/>
          </w:tcPr>
          <w:p>
            <w:r>
              <w:t xml:space="preserve">This case's 12-county working roster stands in for Colorado's full 64-county population</w:t>
            </w:r>
          </w:p>
        </w:tc>
        <w:tc>
          <w:tcPr>
            <w:tcW w:type="dxa" w:w="1800"/>
          </w:tcPr>
          <w:p>
            <w:r>
              <w:t xml:space="preserve">12 of 64</w:t>
            </w:r>
          </w:p>
        </w:tc>
        <w:tc>
          <w:tcPr>
            <w:tcW w:type="dxa" w:w="1800"/>
          </w:tcPr>
          <w:p>
            <w:r>
              <w:t xml:space="preserve">Modeling every one of the state's 64 counties would make the dataset unworkable for a classroom exercise; the 12-county roster is chosen to span all of the state's recognized geographic regions (SEE APPENDIX A), preserving the real geographic spread that drives this case's tradeoff.</w:t>
            </w:r>
          </w:p>
        </w:tc>
        <w:tc>
          <w:tcPr>
            <w:tcW w:type="dxa" w:w="1800"/>
          </w:tcPr>
          <w:p>
            <w:r>
              <w:t xml:space="preserve">Does not affect the cost margin; affects only the scale of the population-and-sample arithmetic in D1.</w:t>
            </w:r>
          </w:p>
        </w:tc>
      </w:tr>
      <w:tr>
        <w:tc>
          <w:tcPr>
            <w:tcW w:type="dxa" w:w="1800"/>
          </w:tcPr>
          <w:p>
            <w:r>
              <w:t xml:space="preserve">MA5</w:t>
            </w:r>
          </w:p>
        </w:tc>
        <w:tc>
          <w:tcPr>
            <w:tcW w:type="dxa" w:w="1800"/>
          </w:tcPr>
          <w:p>
            <w:r>
              <w:t xml:space="preserve">Per-session review and documentation cost, if a session is observed</w:t>
            </w:r>
          </w:p>
        </w:tc>
        <w:tc>
          <w:tcPr>
            <w:tcW w:type="dxa" w:w="1800"/>
          </w:tcPr>
          <w:p>
            <w:r>
              <w:t xml:space="preserve">$25.00/session</w:t>
            </w:r>
          </w:p>
        </w:tc>
        <w:tc>
          <w:tcPr>
            <w:tcW w:type="dxa" w:w="1800"/>
          </w:tcPr>
          <w:p>
            <w:r>
              <w:t xml:space="preserve">No public figure exists for the Division's internal cost of writing up and filing a single observed-session report. Set at a modest, round figure consistent with a short compliance write-up. Used only in Challenge D3's illustrative full-cluster-census cost check.</w:t>
            </w:r>
          </w:p>
        </w:tc>
        <w:tc>
          <w:tcPr>
            <w:tcW w:type="dxa" w:w="1800"/>
          </w:tcPr>
          <w:p>
            <w:r>
              <w:t xml:space="preserve">Does not affect the primary A-vs-B cost margin (Challenge D5), which never includes this figure; only affects D3's own separate comparison.</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Colorado has 64 counties</w:t>
            </w:r>
          </w:p>
        </w:tc>
        <w:tc>
          <w:tcPr>
            <w:tcW w:type="dxa" w:w="1500"/>
          </w:tcPr>
          <w:p>
            <w:r>
              <w:t xml:space="preserve">64</w:t>
            </w:r>
          </w:p>
        </w:tc>
        <w:tc>
          <w:tcPr>
            <w:tcW w:type="dxa" w:w="1500"/>
          </w:tcPr>
          <w:p>
            <w:r>
              <w:t xml:space="preserve">Colorado Department of State / Verified Voting — </w:t>
            </w:r>
            <w:hyperlink w:history="1" r:id="rId0ywufzvg4ljzzf9xvsxmq">
              <w:r>
                <w:rPr>
                  <w:rStyle w:val="Hyperlink"/>
                </w:rPr>
                <w:t xml:space="preserve">Audit Law Database: Colorado</w:t>
              </w:r>
            </w:hyperlink>
          </w:p>
        </w:tc>
        <w:tc>
          <w:tcPr>
            <w:tcW w:type="dxa" w:w="1500"/>
          </w:tcPr>
          <w:p>
            <w:r>
              <w:t xml:space="preserve">accessed 2026-09-09</w:t>
            </w:r>
          </w:p>
        </w:tc>
        <w:tc>
          <w:tcPr>
            <w:tcW w:type="dxa" w:w="1500"/>
          </w:tcPr>
          <w:p>
            <w:r>
              <w:t xml:space="preserve">HIGH</w:t>
            </w:r>
          </w:p>
        </w:tc>
      </w:tr>
      <w:tr>
        <w:tc>
          <w:tcPr>
            <w:tcW w:type="dxa" w:w="1500"/>
          </w:tcPr>
          <w:p>
            <w:r>
              <w:t xml:space="preserve">S2</w:t>
            </w:r>
          </w:p>
        </w:tc>
        <w:tc>
          <w:tcPr>
            <w:tcW w:type="dxa" w:w="1500"/>
          </w:tcPr>
          <w:p>
            <w:r>
              <w:t xml:space="preserve">Colorado's risk-limiting audit statute, requirements, and 2017 start date</w:t>
            </w:r>
          </w:p>
        </w:tc>
        <w:tc>
          <w:tcPr>
            <w:tcW w:type="dxa" w:w="1500"/>
          </w:tcPr>
          <w:p>
            <w:r>
              <w:t xml:space="preserve">C.R.S. §1-7-515</w:t>
            </w:r>
          </w:p>
        </w:tc>
        <w:tc>
          <w:tcPr>
            <w:tcW w:type="dxa" w:w="1500"/>
          </w:tcPr>
          <w:p>
            <w:r>
              <w:t xml:space="preserve">Justia — </w:t>
            </w:r>
            <w:hyperlink w:history="1" r:id="rIdotlcyfhvqseg9gf2q-pyj">
              <w:r>
                <w:rPr>
                  <w:rStyle w:val="Hyperlink"/>
                </w:rPr>
                <w:t xml:space="preserve">Colorado Revised Statutes §1-7-515 (2024)</w:t>
              </w:r>
            </w:hyperlink>
          </w:p>
        </w:tc>
        <w:tc>
          <w:tcPr>
            <w:tcW w:type="dxa" w:w="1500"/>
          </w:tcPr>
          <w:p>
            <w:r>
              <w:t xml:space="preserve">accessed 2026-09-09</w:t>
            </w:r>
          </w:p>
        </w:tc>
        <w:tc>
          <w:tcPr>
            <w:tcW w:type="dxa" w:w="1500"/>
          </w:tcPr>
          <w:p>
            <w:r>
              <w:t xml:space="preserve">HIGH</w:t>
            </w:r>
          </w:p>
        </w:tc>
      </w:tr>
      <w:tr>
        <w:tc>
          <w:tcPr>
            <w:tcW w:type="dxa" w:w="1500"/>
          </w:tcPr>
          <w:p>
            <w:r>
              <w:t xml:space="preserve">S3</w:t>
            </w:r>
          </w:p>
        </w:tc>
        <w:tc>
          <w:tcPr>
            <w:tcW w:type="dxa" w:w="1500"/>
          </w:tcPr>
          <w:p>
            <w:r>
              <w:t xml:space="preserve">Every Colorado county using ballot-counting equipment conducts its own bipartisan RLA after every statewide election</w:t>
            </w:r>
          </w:p>
        </w:tc>
        <w:tc>
          <w:tcPr>
            <w:tcW w:type="dxa" w:w="1500"/>
          </w:tcPr>
          <w:p>
            <w:r>
              <w:t xml:space="preserve">—</w:t>
            </w:r>
          </w:p>
        </w:tc>
        <w:tc>
          <w:tcPr>
            <w:tcW w:type="dxa" w:w="1500"/>
          </w:tcPr>
          <w:p>
            <w:r>
              <w:t xml:space="preserve">Colorado Secretary of State — </w:t>
            </w:r>
            <w:hyperlink w:history="1" r:id="rIdi1ttxgyvuf1f2rkqmurq-">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S4</w:t>
            </w:r>
          </w:p>
        </w:tc>
        <w:tc>
          <w:tcPr>
            <w:tcW w:type="dxa" w:w="1500"/>
          </w:tcPr>
          <w:p>
            <w:r>
              <w:t xml:space="preserve">The RLA random seed is set by publicly rolling 20 ten-sided dice, one digit per roll</w:t>
            </w:r>
          </w:p>
        </w:tc>
        <w:tc>
          <w:tcPr>
            <w:tcW w:type="dxa" w:w="1500"/>
          </w:tcPr>
          <w:p>
            <w:r>
              <w:t xml:space="preserve">20-digit seed (e.g. 49006417086137856424, 2026 Primary)</w:t>
            </w:r>
          </w:p>
        </w:tc>
        <w:tc>
          <w:tcPr>
            <w:tcW w:type="dxa" w:w="1500"/>
          </w:tcPr>
          <w:p>
            <w:r>
              <w:t xml:space="preserve">Colorado Secretary of State — </w:t>
            </w:r>
            <w:hyperlink w:history="1" r:id="rIduopaim6l65mseegpbrcpc">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S5</w:t>
            </w:r>
          </w:p>
        </w:tc>
        <w:tc>
          <w:tcPr>
            <w:tcW w:type="dxa" w:w="1500"/>
          </w:tcPr>
          <w:p>
            <w:r>
              <w:t xml:space="preserve">One-way driving distance, Denver to each county seat in Appendix A</w:t>
            </w:r>
          </w:p>
        </w:tc>
        <w:tc>
          <w:tcPr>
            <w:tcW w:type="dxa" w:w="1500"/>
          </w:tcPr>
          <w:p>
            <w:r>
              <w:t xml:space="preserve">see Appendix A</w:t>
            </w:r>
          </w:p>
        </w:tc>
        <w:tc>
          <w:tcPr>
            <w:tcW w:type="dxa" w:w="1500"/>
          </w:tcPr>
          <w:p>
            <w:r>
              <w:t xml:space="preserve">TravelMath / Trippy driving-distance lookups (aggregated mapping-service distances; not a single primary source)</w:t>
            </w:r>
          </w:p>
        </w:tc>
        <w:tc>
          <w:tcPr>
            <w:tcW w:type="dxa" w:w="1500"/>
          </w:tcPr>
          <w:p>
            <w:r>
              <w:t xml:space="preserve">accessed 2026-09-09</w:t>
            </w:r>
          </w:p>
        </w:tc>
        <w:tc>
          <w:tcPr>
            <w:tcW w:type="dxa" w:w="1500"/>
          </w:tcPr>
          <w:p>
            <w:r>
              <w:t xml:space="preserve">MEDIUM</w:t>
            </w:r>
          </w:p>
        </w:tc>
      </w:tr>
      <w:tr>
        <w:tc>
          <w:tcPr>
            <w:tcW w:type="dxa" w:w="1500"/>
          </w:tcPr>
          <w:p>
            <w:r>
              <w:t xml:space="preserve">S6</w:t>
            </w:r>
          </w:p>
        </w:tc>
        <w:tc>
          <w:tcPr>
            <w:tcW w:type="dxa" w:w="1500"/>
          </w:tcPr>
          <w:p>
            <w:r>
              <w:t xml:space="preserve">2024 county and statewide population estimates</w:t>
            </w:r>
          </w:p>
        </w:tc>
        <w:tc>
          <w:tcPr>
            <w:tcW w:type="dxa" w:w="1500"/>
          </w:tcPr>
          <w:p>
            <w:r>
              <w:t xml:space="preserve">see Appendix A</w:t>
            </w:r>
          </w:p>
        </w:tc>
        <w:tc>
          <w:tcPr>
            <w:tcW w:type="dxa" w:w="1500"/>
          </w:tcPr>
          <w:p>
            <w:r>
              <w:t xml:space="preserve">World Population Review / Colorado Demographics, citing U.S. Census Bureau Vintage 2024 population estimates</w:t>
            </w:r>
          </w:p>
        </w:tc>
        <w:tc>
          <w:tcPr>
            <w:tcW w:type="dxa" w:w="1500"/>
          </w:tcPr>
          <w:p>
            <w:r>
              <w:t xml:space="preserve">accessed 2026-09-09</w:t>
            </w:r>
          </w:p>
        </w:tc>
        <w:tc>
          <w:tcPr>
            <w:tcW w:type="dxa" w:w="1500"/>
          </w:tcPr>
          <w:p>
            <w:r>
              <w:t xml:space="preserve">MEDIUM</w:t>
            </w:r>
          </w:p>
        </w:tc>
      </w:tr>
      <w:tr>
        <w:tc>
          <w:tcPr>
            <w:tcW w:type="dxa" w:w="1500"/>
          </w:tcPr>
          <w:p>
            <w:r>
              <w:t xml:space="preserve">S7</w:t>
            </w:r>
          </w:p>
        </w:tc>
        <w:tc>
          <w:tcPr>
            <w:tcW w:type="dxa" w:w="1500"/>
          </w:tcPr>
          <w:p>
            <w:r>
              <w:t xml:space="preserve">Colorado state mileage reimbursement rate (90% of the prevailing IRS rate, 2-wheel-drive vehicle), effective July 1, 2026</w:t>
            </w:r>
          </w:p>
        </w:tc>
        <w:tc>
          <w:tcPr>
            <w:tcW w:type="dxa" w:w="1500"/>
          </w:tcPr>
          <w:p>
            <w:r>
              <w:t xml:space="preserve">$0.68/mile</w:t>
            </w:r>
          </w:p>
        </w:tc>
        <w:tc>
          <w:tcPr>
            <w:tcW w:type="dxa" w:w="1500"/>
          </w:tcPr>
          <w:p>
            <w:r>
              <w:t xml:space="preserve">University of Colorado, Payroll &amp; Benefit Services — </w:t>
            </w:r>
            <w:hyperlink w:history="1" r:id="rIdotukitne60fujwh4fks2z">
              <w:r>
                <w:rPr>
                  <w:rStyle w:val="Hyperlink"/>
                </w:rPr>
                <w:t xml:space="preserve">Mid-Year Increase to Mileage Reimbursement Rates for 2026</w:t>
              </w:r>
            </w:hyperlink>
            <w:r>
              <w:t xml:space="preserve">, citing the State of Colorado's fiscal rules (Office of the State Controller, CRS 24-9-104)</w:t>
            </w:r>
          </w:p>
        </w:tc>
        <w:tc>
          <w:tcPr>
            <w:tcW w:type="dxa" w:w="1500"/>
          </w:tcPr>
          <w:p>
            <w:r>
              <w:t xml:space="preserve">accessed 2026-09-09</w:t>
            </w:r>
          </w:p>
        </w:tc>
        <w:tc>
          <w:tcPr>
            <w:tcW w:type="dxa" w:w="1500"/>
          </w:tcPr>
          <w:p>
            <w:r>
              <w:t xml:space="preserve">HIGH</w:t>
            </w:r>
          </w:p>
        </w:tc>
      </w:tr>
      <w:tr>
        <w:tc>
          <w:tcPr>
            <w:tcW w:type="dxa" w:w="1500"/>
          </w:tcPr>
          <w:p>
            <w:r>
              <w:t xml:space="preserve">S8</w:t>
            </w:r>
          </w:p>
        </w:tc>
        <w:tc>
          <w:tcPr>
            <w:tcW w:type="dxa" w:w="1500"/>
          </w:tcPr>
          <w:p>
            <w:r>
              <w:t xml:space="preserve">FY2026 standard CONUS federal per diem: lodging and meals &amp; incidental expenses (M&amp;IE)</w:t>
            </w:r>
          </w:p>
        </w:tc>
        <w:tc>
          <w:tcPr>
            <w:tcW w:type="dxa" w:w="1500"/>
          </w:tcPr>
          <w:p>
            <w:r>
              <w:t xml:space="preserve">$110/night lodging; $68/day M&amp;IE</w:t>
            </w:r>
          </w:p>
        </w:tc>
        <w:tc>
          <w:tcPr>
            <w:tcW w:type="dxa" w:w="1500"/>
          </w:tcPr>
          <w:p>
            <w:r>
              <w:t xml:space="preserve">U.S. General Services Administration — </w:t>
            </w:r>
            <w:hyperlink w:history="1" r:id="rId_pqppnb9g-b0tg6eiypce">
              <w:r>
                <w:rPr>
                  <w:rStyle w:val="Hyperlink"/>
                </w:rPr>
                <w:t xml:space="preserve">GSA Releases FY 2026 CONUS Per Diem Rates for Federal Travelers</w:t>
              </w:r>
            </w:hyperlink>
            <w:r>
              <w:t xml:space="preserve"> (rates unchanged from FY2025; exact $110/$68 split confirmed via GSA-sourced per diem aggregator, PerDiemWorld — </w:t>
            </w:r>
            <w:hyperlink w:history="1" r:id="rIdxf_eteqowmjtormjhdvby">
              <w:r>
                <w:rPr>
                  <w:rStyle w:val="Hyperlink"/>
                </w:rPr>
                <w:t xml:space="preserve">Standard CONUS Per Diem Rate FY2026</w:t>
              </w:r>
            </w:hyperlink>
            <w:r>
              <w:t xml:space="preserve">)</w:t>
            </w:r>
          </w:p>
        </w:tc>
        <w:tc>
          <w:tcPr>
            <w:tcW w:type="dxa" w:w="1500"/>
          </w:tcPr>
          <w:p>
            <w:r>
              <w:t xml:space="preserve">effective 2025-10-01 to 2026-09-30; accessed 2026-09-09</w:t>
            </w:r>
          </w:p>
        </w:tc>
        <w:tc>
          <w:tcPr>
            <w:tcW w:type="dxa" w:w="1500"/>
          </w:tcPr>
          <w:p>
            <w:r>
              <w:t xml:space="preserve">S8 rate-unchanged claim: HIGH (GSA primary); $110/$68 split: MEDIUM (aggregator republication)</w:t>
            </w:r>
          </w:p>
        </w:tc>
      </w:tr>
      <w:tr>
        <w:tc>
          <w:tcPr>
            <w:tcW w:type="dxa" w:w="1500"/>
          </w:tcPr>
          <w:p>
            <w:r>
              <w:t xml:space="preserve">S9</w:t>
            </w:r>
          </w:p>
        </w:tc>
        <w:tc>
          <w:tcPr>
            <w:tcW w:type="dxa" w:w="1500"/>
          </w:tcPr>
          <w:p>
            <w:r>
              <w:t xml:space="preserve">Simple random, systematic, cluster, and (by combination) multistage sampling are the standard, textbook-taught set of random sampling methods — not something unusual or invented for this case</w:t>
            </w:r>
          </w:p>
        </w:tc>
        <w:tc>
          <w:tcPr>
            <w:tcW w:type="dxa" w:w="1500"/>
          </w:tcPr>
          <w:p>
            <w:r>
              <w:t xml:space="preserve">"Other well-known random sampling methods are the stratified sample, the cluster sample, and the systematic sample" (alongside simple random sampling)</w:t>
            </w:r>
          </w:p>
        </w:tc>
        <w:tc>
          <w:tcPr>
            <w:tcW w:type="dxa" w:w="1500"/>
          </w:tcPr>
          <w:p>
            <w:r>
              <w:t xml:space="preserve">OpenStax — </w:t>
            </w:r>
            <w:hyperlink w:history="1" r:id="rIdvjnk2l7qd1kft7cezqxmj">
              <w:r>
                <w:rPr>
                  <w:rStyle w:val="Hyperlink"/>
                </w:rPr>
                <w:t xml:space="preserve">Introductory Statistics 2e, §1.2 Data, Sampling, and Variation in Data and Sampling</w:t>
              </w:r>
            </w:hyperlink>
          </w:p>
        </w:tc>
        <w:tc>
          <w:tcPr>
            <w:tcW w:type="dxa" w:w="1500"/>
          </w:tcPr>
          <w:p>
            <w:r>
              <w:t xml:space="preserve">accessed 2026-09-10</w:t>
            </w:r>
          </w:p>
        </w:tc>
        <w:tc>
          <w:tcPr>
            <w:tcW w:type="dxa" w:w="1500"/>
          </w:tcPr>
          <w:p>
            <w:r>
              <w:t xml:space="preserve">HIGH</w:t>
            </w:r>
          </w:p>
        </w:tc>
      </w:tr>
    </w:tbl>
    <w:p/>
    <w:p>
      <w:pPr>
        <w:pStyle w:val="Heading2"/>
        <w:spacing w:after="120" w:before="240"/>
      </w:pPr>
      <w:r>
        <w:t xml:space="preserve">Appendix F — "How To…" Math Questions To Research</w:t>
      </w:r>
    </w:p>
    <w:p>
      <w:r>
        <w:rPr>
          <w:b/>
          <w:bCs/>
        </w:rPr>
        <w:t xml:space="preserve">Vocabulary terms</w:t>
      </w:r>
    </w:p>
    <w:p>
      <w:pPr>
        <w:ind w:left="360"/>
      </w:pPr>
      <w:r>
        <w:t xml:space="preserve">- Population</w:t>
      </w:r>
    </w:p>
    <w:p>
      <w:pPr>
        <w:ind w:left="360"/>
      </w:pPr>
      <w:r>
        <w:t xml:space="preserve">- Sample</w:t>
      </w:r>
    </w:p>
    <w:p>
      <w:pPr>
        <w:ind w:left="360"/>
      </w:pPr>
      <w:r>
        <w:t xml:space="preserve">- Sample Size</w:t>
      </w:r>
    </w:p>
    <w:p>
      <w:pPr>
        <w:ind w:left="360"/>
      </w:pPr>
      <w:r>
        <w:t xml:space="preserve">- Random</w:t>
      </w:r>
    </w:p>
    <w:p>
      <w:pPr>
        <w:ind w:left="360"/>
      </w:pPr>
      <w:r>
        <w:t xml:space="preserve">- Simple Random Sampling</w:t>
      </w:r>
    </w:p>
    <w:p>
      <w:pPr>
        <w:ind w:left="360"/>
      </w:pPr>
      <w:r>
        <w:t xml:space="preserve">- Systematic Sampling</w:t>
      </w:r>
    </w:p>
    <w:p>
      <w:pPr>
        <w:ind w:left="360"/>
      </w:pPr>
      <w:r>
        <w:t xml:space="preserve">- Cluster Sampling</w:t>
      </w:r>
    </w:p>
    <w:p>
      <w:pPr>
        <w:ind w:left="360"/>
      </w:pPr>
      <w:r>
        <w:t xml:space="preserve">- Multistage Sampling</w:t>
      </w:r>
    </w:p>
    <w:p>
      <w:pPr>
        <w:ind w:left="360"/>
      </w:pPr>
      <w:r>
        <w:t xml:space="preserve">- Convenience Sampling</w:t>
      </w:r>
    </w:p>
    <w:p>
      <w:pPr>
        <w:ind w:left="360"/>
      </w:pPr>
      <w:r>
        <w:t xml:space="preserve">- Probability</w:t>
      </w:r>
    </w:p>
    <w:p>
      <w:pPr>
        <w:ind w:left="360"/>
      </w:pPr>
      <w:r>
        <w:t xml:space="preserve">- Bar Graph</w:t>
      </w:r>
    </w:p>
    <w:p>
      <w:pPr>
        <w:ind w:left="360"/>
      </w:pPr>
      <w:r>
        <w:t xml:space="preserve">- Pie Chart</w:t>
      </w:r>
    </w:p>
    <w:p>
      <w:pPr>
        <w:ind w:left="360"/>
      </w:pPr>
      <w:r>
        <w:t xml:space="preserve">- Addition</w:t>
      </w:r>
    </w:p>
    <w:p>
      <w:pPr>
        <w:ind w:left="360"/>
      </w:pPr>
      <w:r>
        <w:t xml:space="preserve">- Multiplication</w:t>
      </w:r>
    </w:p>
    <w:p>
      <w:pPr>
        <w:ind w:left="360"/>
      </w:pPr>
      <w:r>
        <w:t xml:space="preserve">- Percent</w:t>
      </w:r>
    </w:p>
    <w:p>
      <w:pPr>
        <w:ind w:left="360"/>
      </w:pPr>
      <w:r>
        <w:t xml:space="preserve">- Proportion</w:t>
      </w:r>
    </w:p>
    <w:p>
      <w:pPr>
        <w:ind w:left="360"/>
      </w:pPr>
      <w:r>
        <w:t xml:space="preserve">- Rounding</w:t>
      </w:r>
    </w:p>
    <w:p>
      <w:r>
        <w:rPr>
          <w:b/>
          <w:bCs/>
        </w:rPr>
        <w:t xml:space="preserve">"How to…" questions</w:t>
      </w:r>
    </w:p>
    <w:p>
      <w:pPr>
        <w:ind w:left="360"/>
      </w:pPr>
      <w:r>
        <w:t xml:space="preserve">- How to find the percent of a number</w:t>
      </w:r>
    </w:p>
    <w:p>
      <w:pPr>
        <w:ind w:left="360"/>
      </w:pPr>
      <w:r>
        <w:t xml:space="preserve">- How to convert numbers to percents</w:t>
      </w:r>
    </w:p>
    <w:p>
      <w:pPr>
        <w:ind w:left="360"/>
      </w:pPr>
      <w:r>
        <w:t xml:space="preserve">- How to find a missing amount in a proportion</w:t>
      </w:r>
    </w:p>
    <w:p>
      <w:pPr>
        <w:ind w:left="360"/>
      </w:pPr>
      <w:r>
        <w:t xml:space="preserve">- How to round a number to a specified place value</w:t>
      </w:r>
    </w:p>
    <w:p>
      <w:pPr>
        <w:ind w:left="360"/>
      </w:pPr>
      <w:r>
        <w:t xml:space="preserve">- How to determine the probability of a single event</w:t>
      </w:r>
    </w:p>
    <w:p>
      <w:pPr>
        <w:ind w:left="360"/>
      </w:pPr>
      <w:r>
        <w:t xml:space="preserve">- How to add multi-digit numbers</w:t>
      </w:r>
    </w:p>
    <w:p>
      <w:pPr>
        <w:ind w:left="360"/>
      </w:pPr>
      <w:r>
        <w:t xml:space="preserve">- How to multiply any two numbers</w:t>
      </w:r>
    </w:p>
    <w:p>
      <w:pPr>
        <w:ind w:left="360"/>
      </w:pPr>
      <w:r>
        <w:t xml:space="preserve">- How to create a pie chart given a set of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ywufzvg4ljzzf9xvsxmq" Type="http://schemas.openxmlformats.org/officeDocument/2006/relationships/hyperlink" Target="https://verifiedvoting.org/auditlaw/colorado/" TargetMode="External"/><Relationship Id="rIdotlcyfhvqseg9gf2q-pyj" Type="http://schemas.openxmlformats.org/officeDocument/2006/relationships/hyperlink" Target="https://law.justia.com/codes/colorado/title-1/general-primary-recall-and-congressional-vacancy-elections/article-7/part-5/section-1-7-515/" TargetMode="External"/><Relationship Id="rIdi1ttxgyvuf1f2rkqmurq-" Type="http://schemas.openxmlformats.org/officeDocument/2006/relationships/hyperlink" Target="https://www.sos.state.co.us/pubs/newsRoom/pressReleases/2026/PR20260713RLA.html" TargetMode="External"/><Relationship Id="rIduopaim6l65mseegpbrcpc" Type="http://schemas.openxmlformats.org/officeDocument/2006/relationships/hyperlink" Target="https://www.sos.state.co.us/pubs/newsRoom/pressReleases/2026/PR20260713RLA.html" TargetMode="External"/><Relationship Id="rIdotukitne60fujwh4fks2z" Type="http://schemas.openxmlformats.org/officeDocument/2006/relationships/hyperlink" Target="https://www.cu.edu/blog/psc-communicator/mid-year-increase-mileage-reimbursement-rates-2026" TargetMode="External"/><Relationship Id="rId_pqppnb9g-b0tg6eiypce" Type="http://schemas.openxmlformats.org/officeDocument/2006/relationships/hyperlink" Target="https://www.gsa.gov/about-gsa/newsroom/news-releases/gsa-releases-fy-2026-conus-per-diem-rates-for-federal-travelers-08152025" TargetMode="External"/><Relationship Id="rIdxf_eteqowmjtormjhdvby" Type="http://schemas.openxmlformats.org/officeDocument/2006/relationships/hyperlink" Target="https://perdiemworld.com/us/standard-conus/" TargetMode="External"/><Relationship Id="rIdvjnk2l7qd1kft7cezqxmj" Type="http://schemas.openxmlformats.org/officeDocument/2006/relationships/hyperlink" Target="https://openstax.org/books/introductory-statistics-2e/pages/1-2-data-sampling-and-variation-in-data-and-sampl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2026-09-10T16:56:59.667Z</dcterms:created>
  <dcterms:modified xsi:type="dcterms:W3CDTF">2026-09-10T16:56:59.667Z</dcterms:modified>
</cp:coreProperties>
</file>

<file path=docProps/custom.xml><?xml version="1.0" encoding="utf-8"?>
<Properties xmlns="http://schemas.openxmlformats.org/officeDocument/2006/custom-properties" xmlns:vt="http://schemas.openxmlformats.org/officeDocument/2006/docPropsVTypes"/>
</file>