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Apron Order</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Devon Reyes has the cutting table lights on at 6:00 in the morning, a bolt of canvas unrolled to its full length, and a boutique's rush order sitting on the clipboard: forty bib aprons, ready for pickup Thursday, no exceptions.</w:t>
      </w:r>
    </w:p>
    <w:p>
      <w:r>
        <w:t xml:space="preserve">Two marker layouts are chalked out side by side on the table's paper backing. One uses the fold — half the pattern pieces, half the tracing, half the pinning, a shortcut Devon has used a hundred times before. The other lays every piece flat and open, packed edge to edge like a jigsaw puzzle nobody asked for, but using less cloth to do it, which is exactly the kind of number the shop owner watches.</w:t>
      </w:r>
    </w:p>
    <w:p>
      <w:r>
        <w:t xml:space="preserve">Devon's boss sticks her head in the cutting room, coffee in hand, coat still on. "Whichever marker you cut from is the one we're stuck with. Fabric's not cheap, but neither is your morning — and I've got a client meeting in twenty minutes who's going to ask which one we ran."</w:t>
      </w:r>
    </w:p>
    <w:p>
      <w:r>
        <w:t xml:space="preserve">Devon picks up the tailor's chalk, looks at the bolt, and does the math one more time before committing a single cut.</w:t>
      </w:r>
    </w:p>
    <w:p>
      <w:pPr>
        <w:pStyle w:val="Heading2"/>
        <w:spacing w:after="120" w:before="240"/>
      </w:pPr>
      <w:r>
        <w:t xml:space="preserve">Background</w:t>
      </w:r>
    </w:p>
    <w:p>
      <w:r>
        <w:t xml:space="preserve">Devon Reyes cuts and marks fabric at a small custom-apparel shop, responsible for laying out pattern pieces on stock fabric before a single cut is made — and for knowing which layout actually costs less to run, not just which one looks more efficient on the table.</w:t>
      </w:r>
    </w:p>
    <w:p>
      <w:r>
        <w:t xml:space="preserve">The job: </w:t>
      </w:r>
      <w:r>
        <w:rPr>
          <w:b/>
          <w:bCs/>
        </w:rPr>
        <w:t xml:space="preserve">40 bib aprons</w:t>
      </w:r>
      <w:r>
        <w:t xml:space="preserve">, cut from cotton canvas sold on a </w:t>
      </w:r>
      <w:r>
        <w:rPr>
          <w:b/>
          <w:bCs/>
        </w:rPr>
        <w:t xml:space="preserve">44-inch-wide bolt</w:t>
      </w:r>
      <w:r>
        <w:t xml:space="preserve"> (SEE APPENDIX A). Every seam uses the industry-standard </w:t>
      </w:r>
      <w:r>
        <w:rPr>
          <w:b/>
          <w:bCs/>
        </w:rPr>
        <w:t xml:space="preserve">⅝-inch seam allowance</w:t>
      </w:r>
      <w:r>
        <w:t xml:space="preserve"> (SEE APPENDIX B). Two marker layouts are on the table.</w:t>
      </w:r>
    </w:p>
    <w:p>
      <w:r>
        <w:rPr>
          <w:b/>
          <w:bCs/>
        </w:rPr>
        <w:t xml:space="preserve">Cut on the Fold</w:t>
      </w:r>
      <w:r>
        <w:t xml:space="preserve"> places the apron's body panel with one edge on a folded double layer of fabric, so tracing and pinning one half automatically produces a mirrored whole panel. It uses </w:t>
      </w:r>
      <w:r>
        <w:rPr>
          <w:b/>
          <w:bCs/>
        </w:rPr>
        <w:t xml:space="preserve">1¼ yards of fabric per apron</w:t>
      </w:r>
      <w:r>
        <w:t xml:space="preserve"> and takes </w:t>
      </w:r>
      <w:r>
        <w:rPr>
          <w:b/>
          <w:bCs/>
        </w:rPr>
        <w:t xml:space="preserve">3 minutes of marking time per apron</w:t>
      </w:r>
      <w:r>
        <w:t xml:space="preserve"> — fewer pieces to place and trace (SEE APPENDIX C).</w:t>
      </w:r>
    </w:p>
    <w:p>
      <w:r>
        <w:rPr>
          <w:b/>
          <w:bCs/>
        </w:rPr>
        <w:t xml:space="preserve">Cut Open</w:t>
      </w:r>
      <w:r>
        <w:t xml:space="preserve"> lays every piece fully flat, individually nested tighter against its neighbors on the bolt. It uses only </w:t>
      </w:r>
      <w:r>
        <w:rPr>
          <w:b/>
          <w:bCs/>
        </w:rPr>
        <w:t xml:space="preserve">1⅙ yards of fabric per apron</w:t>
      </w:r>
      <w:r>
        <w:t xml:space="preserve">, but takes </w:t>
      </w:r>
      <w:r>
        <w:rPr>
          <w:b/>
          <w:bCs/>
        </w:rPr>
        <w:t xml:space="preserve">6 minutes of marking time per apron</w:t>
      </w:r>
      <w:r>
        <w:t xml:space="preserve"> — more pieces to place, and every one has to be matched against its mirror-image partner by hand (SEE APPENDIX C).</w:t>
      </w:r>
    </w:p>
    <w:p>
      <w:r>
        <w:t xml:space="preserve">Every yard of fabric costs the same regardless of layout (SEE APPENDIX A). Every minute of marking labor costs the same regardless of which layout it goes toward (SEE APPENDIX D). The total job cost is yards used × fabric price, plus minutes used × labor rate — two line items that move in opposite directions as the layout changes.</w:t>
      </w:r>
    </w:p>
    <w:p>
      <w:r>
        <w:t xml:space="preserve">Before either layout was chalked out, Devon also had to work out the apron's own real dimensions — the waist ties, the trimmed marker length, how many aprons a full bolt actually yields — all of it in the fractions and mixed numbers a tape measure and a fabric bolt actually come in, not tidy decimals.</w:t>
      </w:r>
    </w:p>
    <w:p>
      <w:r>
        <w:t xml:space="preserve">All figures in this case are sourced in APPENDIX E, or stated as explicit modeling assumptions in APPENDIX F where no public figure exists. The vocabulary and the "how to…" skills this case will ask of you are listed in APPENDIX H — that is where Challenge 1 sends you. If you want to go beyond the required math and learn more about the real trade this case is drawn from, SEE APPENDIX G for further reading.</w:t>
      </w:r>
    </w:p>
    <w:p>
      <w:pPr>
        <w:pStyle w:val="Heading2"/>
        <w:spacing w:after="120" w:before="240"/>
      </w:pPr>
      <w:r>
        <w:t xml:space="preserve">Dilemma</w:t>
      </w:r>
    </w:p>
    <w:p>
      <w:r>
        <w:t xml:space="preserve">You are Devon Reyes. Do you: A.) Cut on the Fold — 1¼ yd/apron, 3 min/apron marking time OR B.) Cut Open — 1⅙ yd/apron, 6 min/apron marking time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The waist tie length: the tie is cut at ⅔ the length of the body panel's width, 24⅜     inches (SEE APPENDIX C). Find the tie length.     D2. The trimmed marker length: a raw marker segment measures 36⅝ inches; both ends need     1⅜ inches trimmed off to clear a damaged selvedge. Find the usable length after both trims.     D3. Aprons per bolt: a full bolt holds 22½ yards. Using Cut on the Fold's yardage per apron,     find how many aprons one full bolt yields.     D4. Splitting a remnant: a ⅝-yard remnant is left over and needs to be split evenly into 5     equal pocket-lining pieces. Find the length of each piece.     D5. Comparing waste: Cut on the Fold wastes ⅛ yard per apron in trimmed scraps; Cut Open     wastes 1/12 yard per apron. Find the difference.     D6. The hem check: the apron's bottom hem facing is 5 inches deep. Find how many ⅝-inch     seam allowances fit inside that 5-inch depth.     D7. A total cost verdict: using APPENDIX A's fabric price and APPENDIX D's labor rate, find     the total cost of the 40-apron order under each layout — material plus labor — state the     dollar difference and percentage margin, and recommend.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Fabric Stock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Bolt width</w:t>
            </w:r>
          </w:p>
        </w:tc>
        <w:tc>
          <w:tcPr>
            <w:tcW w:type="dxa" w:w="4500"/>
          </w:tcPr>
          <w:p>
            <w:r>
              <w:t xml:space="preserve">44 in [S1]</w:t>
            </w:r>
          </w:p>
        </w:tc>
      </w:tr>
      <w:tr>
        <w:tc>
          <w:tcPr>
            <w:tcW w:type="dxa" w:w="4500"/>
          </w:tcPr>
          <w:p>
            <w:r>
              <w:t xml:space="preserve">Price per yard</w:t>
            </w:r>
          </w:p>
        </w:tc>
        <w:tc>
          <w:tcPr>
            <w:tcW w:type="dxa" w:w="4500"/>
          </w:tcPr>
          <w:p>
            <w:r>
              <w:t xml:space="preserve">$3.60 [S1]</w:t>
            </w:r>
          </w:p>
        </w:tc>
      </w:tr>
      <w:tr>
        <w:tc>
          <w:tcPr>
            <w:tcW w:type="dxa" w:w="4500"/>
          </w:tcPr>
          <w:p>
            <w:r>
              <w:t xml:space="preserve">Bolt length available</w:t>
            </w:r>
          </w:p>
        </w:tc>
        <w:tc>
          <w:tcPr>
            <w:tcW w:type="dxa" w:w="4500"/>
          </w:tcPr>
          <w:p>
            <w:r>
              <w:t xml:space="preserve">22½ yd</w:t>
            </w:r>
          </w:p>
        </w:tc>
      </w:tr>
    </w:tbl>
    <w:p/>
    <w:p>
      <w:pPr>
        <w:pStyle w:val="Heading2"/>
        <w:spacing w:after="120" w:before="240"/>
      </w:pPr>
      <w:r>
        <w:t xml:space="preserve">Appendix B — Seam Allowance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Standard US home-sewing seam allowance</w:t>
            </w:r>
          </w:p>
        </w:tc>
        <w:tc>
          <w:tcPr>
            <w:tcW w:type="dxa" w:w="4500"/>
          </w:tcPr>
          <w:p>
            <w:r>
              <w:t xml:space="preserve">⅝ in [S2]</w:t>
            </w:r>
          </w:p>
        </w:tc>
      </w:tr>
    </w:tbl>
    <w:p/>
    <w:p>
      <w:pPr>
        <w:pStyle w:val="Heading2"/>
        <w:spacing w:after="120" w:before="240"/>
      </w:pPr>
      <w:r>
        <w:t xml:space="preserve">Appendix C — The Apron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Body panel width (finished)</w:t>
            </w:r>
          </w:p>
        </w:tc>
        <w:tc>
          <w:tcPr>
            <w:tcW w:type="dxa" w:w="4500"/>
          </w:tcPr>
          <w:p>
            <w:r>
              <w:t xml:space="preserve">24⅜ in</w:t>
            </w:r>
          </w:p>
        </w:tc>
      </w:tr>
      <w:tr>
        <w:tc>
          <w:tcPr>
            <w:tcW w:type="dxa" w:w="4500"/>
          </w:tcPr>
          <w:p>
            <w:r>
              <w:t xml:space="preserve">Body panel length (finished)</w:t>
            </w:r>
          </w:p>
        </w:tc>
        <w:tc>
          <w:tcPr>
            <w:tcW w:type="dxa" w:w="4500"/>
          </w:tcPr>
          <w:p>
            <w:r>
              <w:t xml:space="preserve">28½ in</w:t>
            </w:r>
          </w:p>
        </w:tc>
      </w:tr>
      <w:tr>
        <w:tc>
          <w:tcPr>
            <w:tcW w:type="dxa" w:w="4500"/>
          </w:tcPr>
          <w:p>
            <w:r>
              <w:t xml:space="preserve">Waist tie length</w:t>
            </w:r>
          </w:p>
        </w:tc>
        <w:tc>
          <w:tcPr>
            <w:tcW w:type="dxa" w:w="4500"/>
          </w:tcPr>
          <w:p>
            <w:r>
              <w:t xml:space="preserve">⅔ × body panel width — SEE CHALLENGE D1</w:t>
            </w:r>
          </w:p>
        </w:tc>
      </w:tr>
      <w:tr>
        <w:tc>
          <w:tcPr>
            <w:tcW w:type="dxa" w:w="4500"/>
          </w:tcPr>
          <w:p>
            <w:r>
              <w:t xml:space="preserve">Raw marker segment length</w:t>
            </w:r>
          </w:p>
        </w:tc>
        <w:tc>
          <w:tcPr>
            <w:tcW w:type="dxa" w:w="4500"/>
          </w:tcPr>
          <w:p>
            <w:r>
              <w:t xml:space="preserve">36⅝ in</w:t>
            </w:r>
          </w:p>
        </w:tc>
      </w:tr>
      <w:tr>
        <w:tc>
          <w:tcPr>
            <w:tcW w:type="dxa" w:w="4500"/>
          </w:tcPr>
          <w:p>
            <w:r>
              <w:t xml:space="preserve">Trim per end (damaged selvedge)</w:t>
            </w:r>
          </w:p>
        </w:tc>
        <w:tc>
          <w:tcPr>
            <w:tcW w:type="dxa" w:w="4500"/>
          </w:tcPr>
          <w:p>
            <w:r>
              <w:t xml:space="preserve">1⅜ in</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Cut on the Fold</w:t>
            </w:r>
          </w:p>
        </w:tc>
        <w:tc>
          <w:tcPr>
            <w:tcW w:type="dxa" w:w="3000"/>
            <w:shd w:fill="DDDDDD" w:val="clear"/>
          </w:tcPr>
          <w:p>
            <w:r>
              <w:t xml:space="preserve">Cut Open</w:t>
            </w:r>
          </w:p>
        </w:tc>
      </w:tr>
      <w:tr>
        <w:tc>
          <w:tcPr>
            <w:tcW w:type="dxa" w:w="3000"/>
          </w:tcPr>
          <w:p>
            <w:r>
              <w:t xml:space="preserve">Fabric per apron</w:t>
            </w:r>
          </w:p>
        </w:tc>
        <w:tc>
          <w:tcPr>
            <w:tcW w:type="dxa" w:w="3000"/>
          </w:tcPr>
          <w:p>
            <w:r>
              <w:t xml:space="preserve">1¼ yd</w:t>
            </w:r>
          </w:p>
        </w:tc>
        <w:tc>
          <w:tcPr>
            <w:tcW w:type="dxa" w:w="3000"/>
          </w:tcPr>
          <w:p>
            <w:r>
              <w:t xml:space="preserve">1⅙ yd</w:t>
            </w:r>
          </w:p>
        </w:tc>
      </w:tr>
      <w:tr>
        <w:tc>
          <w:tcPr>
            <w:tcW w:type="dxa" w:w="3000"/>
          </w:tcPr>
          <w:p>
            <w:r>
              <w:t xml:space="preserve">Marking time per apron</w:t>
            </w:r>
          </w:p>
        </w:tc>
        <w:tc>
          <w:tcPr>
            <w:tcW w:type="dxa" w:w="3000"/>
          </w:tcPr>
          <w:p>
            <w:r>
              <w:t xml:space="preserve">3 min</w:t>
            </w:r>
          </w:p>
        </w:tc>
        <w:tc>
          <w:tcPr>
            <w:tcW w:type="dxa" w:w="3000"/>
          </w:tcPr>
          <w:p>
            <w:r>
              <w:t xml:space="preserve">6 min</w:t>
            </w:r>
          </w:p>
        </w:tc>
      </w:tr>
      <w:tr>
        <w:tc>
          <w:tcPr>
            <w:tcW w:type="dxa" w:w="3000"/>
          </w:tcPr>
          <w:p>
            <w:r>
              <w:t xml:space="preserve">Waste per apron (trimmed scraps)</w:t>
            </w:r>
          </w:p>
        </w:tc>
        <w:tc>
          <w:tcPr>
            <w:tcW w:type="dxa" w:w="3000"/>
          </w:tcPr>
          <w:p>
            <w:r>
              <w:t xml:space="preserve">⅛ yd</w:t>
            </w:r>
          </w:p>
        </w:tc>
        <w:tc>
          <w:tcPr>
            <w:tcW w:type="dxa" w:w="3000"/>
          </w:tcPr>
          <w:p>
            <w:r>
              <w:t xml:space="preserve">1/12 yd</w:t>
            </w:r>
          </w:p>
        </w:tc>
      </w:tr>
    </w:tbl>
    <w:p/>
    <w:p>
      <w:r>
        <w:t xml:space="preserve">This is Devon's own shop's pattern and marker data — not a published commercial pattern (branded sewing patterns are copyrighted; see Appendix E for the real, open-source parametric pattern project this case's pattern style is modeled on).</w:t>
      </w:r>
    </w:p>
    <w:p>
      <w:pPr>
        <w:pStyle w:val="Heading2"/>
        <w:spacing w:after="120" w:before="240"/>
      </w:pPr>
      <w:r>
        <w:t xml:space="preserve">Appendix D — Labor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Marking/cutting labor rate</w:t>
            </w:r>
          </w:p>
        </w:tc>
        <w:tc>
          <w:tcPr>
            <w:tcW w:type="dxa" w:w="4500"/>
          </w:tcPr>
          <w:p>
            <w:r>
              <w:t xml:space="preserve">$16.00/hr — SEE APPENDIX F, MA1</w:t>
            </w:r>
          </w:p>
        </w:tc>
      </w:tr>
      <w:tr>
        <w:tc>
          <w:tcPr>
            <w:tcW w:type="dxa" w:w="4500"/>
          </w:tcPr>
          <w:p>
            <w:r>
              <w:t xml:space="preserve">Order size</w:t>
            </w:r>
          </w:p>
        </w:tc>
        <w:tc>
          <w:tcPr>
            <w:tcW w:type="dxa" w:w="4500"/>
          </w:tcPr>
          <w:p>
            <w:r>
              <w:t xml:space="preserve">40 aprons</w:t>
            </w:r>
          </w:p>
        </w:tc>
      </w:tr>
    </w:tbl>
    <w:p/>
    <w:p>
      <w:pPr>
        <w:pStyle w:val="Heading2"/>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44in-wide cotton fabric bolt price</w:t>
            </w:r>
          </w:p>
        </w:tc>
        <w:tc>
          <w:tcPr>
            <w:tcW w:type="dxa" w:w="1500"/>
          </w:tcPr>
          <w:p>
            <w:r>
              <w:t xml:space="preserve">$3.60/yd ($90.00/25-yd bolt)</w:t>
            </w:r>
          </w:p>
        </w:tc>
        <w:tc>
          <w:tcPr>
            <w:tcW w:type="dxa" w:w="1500"/>
          </w:tcPr>
          <w:p>
            <w:r>
              <w:t xml:space="preserve">Fabric Depot, "Bleached White Cotton Muslin Woven 25 YD Bolt Fabric" (</w:t>
            </w:r>
            <w:hyperlink w:history="1" r:id="rIdmbd7pfv0tejzjzmxql17f">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S2</w:t>
            </w:r>
          </w:p>
        </w:tc>
        <w:tc>
          <w:tcPr>
            <w:tcW w:type="dxa" w:w="1500"/>
          </w:tcPr>
          <w:p>
            <w:r>
              <w:t xml:space="preserve">Standard US home-sewing seam allowance</w:t>
            </w:r>
          </w:p>
        </w:tc>
        <w:tc>
          <w:tcPr>
            <w:tcW w:type="dxa" w:w="1500"/>
          </w:tcPr>
          <w:p>
            <w:r>
              <w:t xml:space="preserve">⅝ in</w:t>
            </w:r>
          </w:p>
        </w:tc>
        <w:tc>
          <w:tcPr>
            <w:tcW w:type="dxa" w:w="1500"/>
          </w:tcPr>
          <w:p>
            <w:r>
              <w:t xml:space="preserve">Wikipedia, "Seam allowance" (</w:t>
            </w:r>
            <w:hyperlink w:history="1" r:id="rIdebqjg4txo_aifqt35uo2u">
              <w:r>
                <w:rPr>
                  <w:rStyle w:val="Hyperlink"/>
                </w:rPr>
                <w:t xml:space="preserve">link</w:t>
              </w:r>
            </w:hyperlink>
            <w:r>
              <w:t xml:space="preserve">)</w:t>
            </w:r>
          </w:p>
        </w:tc>
        <w:tc>
          <w:tcPr>
            <w:tcW w:type="dxa" w:w="1500"/>
          </w:tcPr>
          <w:p>
            <w:r>
              <w:t xml:space="preserve">2026-08-12</w:t>
            </w:r>
          </w:p>
        </w:tc>
        <w:tc>
          <w:tcPr>
            <w:tcW w:type="dxa" w:w="1500"/>
          </w:tcPr>
          <w:p>
            <w:r>
              <w:t xml:space="preserve">HIGH</w:t>
            </w:r>
          </w:p>
        </w:tc>
      </w:tr>
      <w:tr>
        <w:tc>
          <w:tcPr>
            <w:tcW w:type="dxa" w:w="1500"/>
          </w:tcPr>
          <w:p>
            <w:r>
              <w:t xml:space="preserve">S3</w:t>
            </w:r>
          </w:p>
        </w:tc>
        <w:tc>
          <w:tcPr>
            <w:tcW w:type="dxa" w:w="1500"/>
          </w:tcPr>
          <w:p>
            <w:r>
              <w:t xml:space="preserve">Real, open-source parametric sewing patterns exist (context only — this case's own apron pattern is authored, not taken from this project)</w:t>
            </w:r>
          </w:p>
        </w:tc>
        <w:tc>
          <w:tcPr>
            <w:tcW w:type="dxa" w:w="1500"/>
          </w:tcPr>
          <w:p>
            <w:r>
              <w:t xml:space="preserve">n/a</w:t>
            </w:r>
          </w:p>
        </w:tc>
        <w:tc>
          <w:tcPr>
            <w:tcW w:type="dxa" w:w="1500"/>
          </w:tcPr>
          <w:p>
            <w:r>
              <w:t xml:space="preserve">FreeSewing (</w:t>
            </w:r>
            <w:hyperlink w:history="1" r:id="rIdmzxb_nxnt-rvtklstoh8n">
              <w:r>
                <w:rPr>
                  <w:rStyle w:val="Hyperlink"/>
                </w:rPr>
                <w:t xml:space="preserve">link</w:t>
              </w:r>
            </w:hyperlink>
            <w:r>
              <w:t xml:space="preserve">)</w:t>
            </w:r>
          </w:p>
        </w:tc>
        <w:tc>
          <w:tcPr>
            <w:tcW w:type="dxa" w:w="1500"/>
          </w:tcPr>
          <w:p>
            <w:r>
              <w:t xml:space="preserve">2026-08-12</w:t>
            </w:r>
          </w:p>
        </w:tc>
        <w:tc>
          <w:tcPr>
            <w:tcW w:type="dxa" w:w="1500"/>
          </w:tcPr>
          <w:p>
            <w:r>
              <w:t xml:space="preserve">HIGH — cited to establish that this domain's math is real, not to supply this case's specific pattern data</w:t>
            </w:r>
          </w:p>
        </w:tc>
      </w:tr>
    </w:tbl>
    <w:p/>
    <w:p>
      <w:pPr>
        <w:pStyle w:val="Heading2"/>
        <w:spacing w:after="120" w:before="240"/>
      </w:pPr>
      <w:r>
        <w:t xml:space="preserve">Appendix F — Modeling Assumptions</w:t>
      </w:r>
    </w:p>
    <w:p>
      <w:pPr>
        <w:ind w:left="480"/>
      </w:pPr>
      <w:r>
        <w:t xml:space="preserve">These figures are </w:t>
      </w:r>
      <w:r>
        <w:rPr>
          <w:b/>
          <w:bCs/>
        </w:rPr>
        <w:t xml:space="preserve">not sourced</w:t>
      </w:r>
      <w:r>
        <w:t xml:space="preserve">. They are stated scenario assumptions chosen by the case author, each with a real basis named below. A Hero may challenge them in discussion — that is a legitimate move, and Appendix H names the skill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Marking/cutting labor rate</w:t>
            </w:r>
          </w:p>
        </w:tc>
        <w:tc>
          <w:tcPr>
            <w:tcW w:type="dxa" w:w="1800"/>
          </w:tcPr>
          <w:p>
            <w:r>
              <w:rPr>
                <w:b/>
                <w:bCs/>
              </w:rPr>
              <w:t xml:space="preserve">$16.00/hr</w:t>
            </w:r>
          </w:p>
        </w:tc>
        <w:tc>
          <w:tcPr>
            <w:tcW w:type="dxa" w:w="1800"/>
          </w:tcPr>
          <w:p>
            <w:r>
              <w:t xml:space="preserve">Grounded in real, general wage data for fabric-cutting production roles (average pay for this kind of production cutting work runs in the mid-teens per hour); not independently verified against a single primary wage source, so stated as an assumption rather than cited as S-graded.</w:t>
            </w:r>
          </w:p>
        </w:tc>
        <w:tc>
          <w:tcPr>
            <w:tcW w:type="dxa" w:w="1800"/>
          </w:tcPr>
          <w:p>
            <w:r>
              <w:t xml:space="preserve">Directly load-bearing. Flexed ±50% in Tier 2 probe 5: margin ranges 2.00%-13.64%, Option A stays cheaper throughout.</w:t>
            </w:r>
          </w:p>
        </w:tc>
      </w:tr>
      <w:tr>
        <w:tc>
          <w:tcPr>
            <w:tcW w:type="dxa" w:w="1800"/>
          </w:tcPr>
          <w:p>
            <w:r>
              <w:t xml:space="preserve">MA2</w:t>
            </w:r>
          </w:p>
        </w:tc>
        <w:tc>
          <w:tcPr>
            <w:tcW w:type="dxa" w:w="1800"/>
          </w:tcPr>
          <w:p>
            <w:r>
              <w:t xml:space="preserve">Yardage and marking-time figures per apron, per layout</w:t>
            </w:r>
          </w:p>
        </w:tc>
        <w:tc>
          <w:tcPr>
            <w:tcW w:type="dxa" w:w="1800"/>
          </w:tcPr>
          <w:p>
            <w:r>
              <w:rPr>
                <w:b/>
                <w:bCs/>
              </w:rPr>
              <w:t xml:space="preserve">See Appendix C</w:t>
            </w:r>
          </w:p>
        </w:tc>
        <w:tc>
          <w:tcPr>
            <w:tcW w:type="dxa" w:w="1800"/>
          </w:tcPr>
          <w:p>
            <w:r>
              <w:t xml:space="preserve">Devon's own shop's real marker layout for this authored pattern; no public database of real garment-shop marker results exists for this specific pattern (same convention as Cold Chain's route plan, Plaza Pavers' border-cut piece, Vent Cap's nesting result).</w:t>
            </w:r>
          </w:p>
        </w:tc>
        <w:tc>
          <w:tcPr>
            <w:tcW w:type="dxa" w:w="1800"/>
          </w:tcPr>
          <w:p>
            <w:r>
              <w:t xml:space="preserve">Not swept in Tier 2 probe 5 (authored pattern geometry, not a stated numeric flex-eligible dial).</w:t>
            </w:r>
          </w:p>
        </w:tc>
      </w:tr>
      <w:tr>
        <w:tc>
          <w:tcPr>
            <w:tcW w:type="dxa" w:w="1800"/>
          </w:tcPr>
          <w:p>
            <w:r>
              <w:t xml:space="preserve">MA3</w:t>
            </w:r>
          </w:p>
        </w:tc>
        <w:tc>
          <w:tcPr>
            <w:tcW w:type="dxa" w:w="1800"/>
          </w:tcPr>
          <w:p>
            <w:r>
              <w:t xml:space="preserve">Directional-print fabric penalty</w:t>
            </w:r>
          </w:p>
        </w:tc>
        <w:tc>
          <w:tcPr>
            <w:tcW w:type="dxa" w:w="1800"/>
          </w:tcPr>
          <w:p>
            <w:r>
              <w:t xml:space="preserve">Not a fixed value in this appendix — a one-way-directional or napped print can force extra yardage on a fold-cut layout, since the fold can force some pieces to run against the print's direction unless extra fabric is used to reposition them. Real, well-known trade concern, not tied to a specific fabric.</w:t>
            </w:r>
          </w:p>
        </w:tc>
        <w:tc>
          <w:tcPr>
            <w:tcW w:type="dxa" w:w="1800"/>
          </w:tcPr>
          <w:p>
            <w:r>
              <w:t xml:space="preserve">Real, general cutting-room knowledge.</w:t>
            </w:r>
          </w:p>
        </w:tc>
        <w:tc>
          <w:tcPr>
            <w:tcW w:type="dxa" w:w="1800"/>
          </w:tcPr>
          <w:p>
            <w:r>
              <w:t xml:space="preserve">Could matter if the client specifies a directional print.</w:t>
            </w:r>
          </w:p>
        </w:tc>
      </w:tr>
    </w:tbl>
    <w:p/>
    <w:p>
      <w:pPr>
        <w:pStyle w:val="Heading2"/>
        <w:spacing w:after="120" w:before="240"/>
      </w:pPr>
      <w:r>
        <w:t xml:space="preserve">Appendix G — Learn More</w:t>
      </w:r>
    </w:p>
    <w:p>
      <w:r>
        <w:t xml:space="preserve">Curious what marker layouts, seam allowances, and canvas fabric look like beyond this case? These are real, currently-live resources for further reading — none of them are required for the Challenges.</w:t>
      </w:r>
    </w:p>
    <w:p>
      <w:pPr>
        <w:ind w:left="360"/>
      </w:pPr>
      <w:r>
        <w:t xml:space="preserve">- </w:t>
      </w:r>
      <w:hyperlink w:history="1" r:id="rIdiztndv6hd7sdr2buhlh-l">
        <w:r>
          <w:rPr>
            <w:rStyle w:val="Hyperlink"/>
          </w:rPr>
          <w:t xml:space="preserve">What is Marker, Marker Making, Marker Efficiency and How to Calculate Marker Efficiency?</w:t>
        </w:r>
      </w:hyperlink>
      <w:r>
        <w:t xml:space="preserve"> — an industry explainer on how real garment factories lay out pattern pieces on a fabric roll and measure how tightly a marker uses the cloth, the same fold-vs-open tradeoff Devon is weighing.</w:t>
      </w:r>
    </w:p>
    <w:p>
      <w:pPr>
        <w:ind w:left="360"/>
      </w:pPr>
      <w:r>
        <w:t xml:space="preserve">- </w:t>
      </w:r>
      <w:hyperlink w:history="1" r:id="rIdpur27lpaqqhlfw3smkbni">
        <w:r>
          <w:rPr>
            <w:rStyle w:val="Hyperlink"/>
          </w:rPr>
          <w:t xml:space="preserve">Cotton duck — Wikipedia</w:t>
        </w:r>
      </w:hyperlink>
      <w:r>
        <w:t xml:space="preserve"> — background on cotton duck (canvas), the heavy plain-woven cotton fabric Devon's shop is cutting the aprons from, including its weight grades and common uses.</w:t>
      </w:r>
    </w:p>
    <w:p>
      <w:pPr>
        <w:ind w:left="360"/>
      </w:pPr>
      <w:r>
        <w:t xml:space="preserve">- </w:t>
      </w:r>
      <w:hyperlink w:history="1" r:id="rId4azwwqojziueukrxz3jsp">
        <w:r>
          <w:rPr>
            <w:rStyle w:val="Hyperlink"/>
          </w:rPr>
          <w:t xml:space="preserve">Cut and sew — Wikipedia</w:t>
        </w:r>
      </w:hyperlink>
      <w:r>
        <w:t xml:space="preserve"> — an overview of the cut-and-sew manufacturing process that this case's cutting-room scene is drawn from, from pattern to cut fabric to finished garment.</w:t>
      </w:r>
    </w:p>
    <w:p>
      <w:pPr>
        <w:ind w:left="360"/>
      </w:pPr>
      <w:r>
        <w:t xml:space="preserve">- </w:t>
      </w:r>
      <w:hyperlink w:history="1" r:id="rIdt_3hqmqo3hvewv2ki8rhk">
        <w:r>
          <w:rPr>
            <w:rStyle w:val="Hyperlink"/>
          </w:rPr>
          <w:t xml:space="preserve">How to Add Seam Allowance &amp; Sew It, Made Simple — TREASURIE</w:t>
        </w:r>
      </w:hyperlink>
      <w:r>
        <w:t xml:space="preserve"> — a plain-language guide to what a seam allowance is and why every garment pattern, including Devon's apron, builds one in.</w:t>
      </w:r>
    </w:p>
    <w:p>
      <w:pPr>
        <w:pStyle w:val="Heading2"/>
        <w:spacing w:after="120" w:before="240"/>
      </w:pPr>
      <w:r>
        <w:t xml:space="preserve">Appendix H — "How To…" Math Questions To Research</w:t>
      </w:r>
    </w:p>
    <w:p>
      <w:r>
        <w:rPr>
          <w:b/>
          <w:bCs/>
        </w:rPr>
        <w:t xml:space="preserve">Vocabulary terms</w:t>
      </w:r>
    </w:p>
    <w:p>
      <w:r>
        <w:rPr>
          <w:i/>
          <w:iCs/>
        </w:rPr>
        <w:t xml:space="preserve">(None claimed for this case — every skill below is a "how to…" procedure, not a vocabulary term.)</w:t>
      </w:r>
    </w:p>
    <w:p>
      <w:r>
        <w:rPr>
          <w:b/>
          <w:bCs/>
        </w:rPr>
        <w:t xml:space="preserve">"How to…" questions</w:t>
      </w:r>
    </w:p>
    <w:p>
      <w:pPr>
        <w:ind w:left="360"/>
      </w:pPr>
      <w:r>
        <w:t xml:space="preserve">- How to subtract fractions</w:t>
      </w:r>
    </w:p>
    <w:p>
      <w:pPr>
        <w:ind w:left="360"/>
      </w:pPr>
      <w:r>
        <w:t xml:space="preserve">- How to subtract with mixed numbers</w:t>
      </w:r>
    </w:p>
    <w:p>
      <w:pPr>
        <w:ind w:left="360"/>
      </w:pPr>
      <w:r>
        <w:t xml:space="preserve">- How to multiply a fraction and a mixed number</w:t>
      </w:r>
    </w:p>
    <w:p>
      <w:pPr>
        <w:ind w:left="360"/>
      </w:pPr>
      <w:r>
        <w:t xml:space="preserve">- How to divide a fraction by a whole number</w:t>
      </w:r>
    </w:p>
    <w:p>
      <w:pPr>
        <w:ind w:left="360"/>
      </w:pPr>
      <w:r>
        <w:t xml:space="preserve">- How to divide a whole number by a fraction</w:t>
      </w:r>
    </w:p>
    <w:p>
      <w:pPr>
        <w:ind w:left="360"/>
      </w:pPr>
      <w:r>
        <w:t xml:space="preserve">- How to divide fractions and mixed numbers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bd7pfv0tejzjzmxql17f" Type="http://schemas.openxmlformats.org/officeDocument/2006/relationships/hyperlink" Target="https://fabricdepot.com/collections/fabric-by-the-bolt-wholesale-fabric" TargetMode="External"/><Relationship Id="rIdebqjg4txo_aifqt35uo2u" Type="http://schemas.openxmlformats.org/officeDocument/2006/relationships/hyperlink" Target="https://en.wikipedia.org/wiki/Seam_allowance" TargetMode="External"/><Relationship Id="rIdmzxb_nxnt-rvtklstoh8n" Type="http://schemas.openxmlformats.org/officeDocument/2006/relationships/hyperlink" Target="https://freesewing.eu/designs/" TargetMode="External"/><Relationship Id="rIdiztndv6hd7sdr2buhlh-l" Type="http://schemas.openxmlformats.org/officeDocument/2006/relationships/hyperlink" Target="https://www.onlineclothingstudy.com/2013/05/what-is-marker-marker-making-marker.html" TargetMode="External"/><Relationship Id="rIdpur27lpaqqhlfw3smkbni" Type="http://schemas.openxmlformats.org/officeDocument/2006/relationships/hyperlink" Target="https://en.wikipedia.org/wiki/Cotton_duck" TargetMode="External"/><Relationship Id="rId4azwwqojziueukrxz3jsp" Type="http://schemas.openxmlformats.org/officeDocument/2006/relationships/hyperlink" Target="https://en.wikipedia.org/wiki/Cut_and_sew" TargetMode="External"/><Relationship Id="rIdt_3hqmqo3hvewv2ki8rhk" Type="http://schemas.openxmlformats.org/officeDocument/2006/relationships/hyperlink" Target="https://blog.treasurie.com/how-to-add-seam-allowanc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2026-08-19T23:56:27.949Z</dcterms:created>
  <dcterms:modified xsi:type="dcterms:W3CDTF">2026-08-19T23:56:27.949Z</dcterms:modified>
</cp:coreProperties>
</file>

<file path=docProps/custom.xml><?xml version="1.0" encoding="utf-8"?>
<Properties xmlns="http://schemas.openxmlformats.org/officeDocument/2006/custom-properties" xmlns:vt="http://schemas.openxmlformats.org/officeDocument/2006/docPropsVTypes"/>
</file>