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Peg Line</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Peg Line · </w:t>
      </w:r>
      <w:r>
        <w:rPr>
          <w:b/>
          <w:bCs/>
        </w:rPr>
        <w:t xml:space="preserve">Tier:</w:t>
      </w:r>
      <w:r>
        <w:t xml:space="preserve"> T2 (MS-core) · </w:t>
      </w:r>
      <w:r>
        <w:rPr>
          <w:b/>
          <w:bCs/>
        </w:rPr>
        <w:t xml:space="preserve">Studio:</w:t>
      </w:r>
      <w:r>
        <w:t xml:space="preserve"> MS Adventure </w:t>
      </w:r>
      <w:r>
        <w:rPr>
          <w:b/>
          <w:bCs/>
        </w:rPr>
        <w:t xml:space="preserve">Standards:</w:t>
      </w:r>
      <w:r>
        <w:t xml:space="preserve"> Scientific Notation, Factorial, Absolute Value group — Scientific Notation, Absolute Value, How to write a number in scientific notation given its standard notation, How to evaluate an absolute value expression (see `case.json.standards[]` for exact ids).</w:t>
      </w:r>
    </w:p>
    <w:p>
      <w:pPr>
        <w:spacing w:after="150"/>
      </w:pPr>
      <w:r>
        <w:rPr>
          <w:b/>
          <w:bCs/>
        </w:rPr>
        <w:t xml:space="preserve">Status:</w:t>
      </w:r>
      <w:r>
        <w:t xml:space="preserve"> `case-research` complete (2026-09-01); </w:t>
      </w:r>
      <w:r>
        <w:rPr>
          <w:b/>
          <w:bCs/>
        </w:rPr>
        <w:t xml:space="preserve">balance-retune redesign pass complete (2026-09-01)</w:t>
      </w:r>
      <w:r>
        <w:t xml:space="preserve"> — the original dilemma/metric produced `margin_pct = 97.47`, well past SPEC §2's ~20% cap (mixing a normal-drift reference for Option A against an unrelated historical-crisis reference for Option B). The dilemma and metric were redesigned per explicit project-owner instruction (retune, not waive): Option B changed from 13-week to 6-week Treasury bills, and the risk metric changed to a duration-scaled version of Option A's own real reference figure (the square-root-of-time rule). New `margin_pct = 17.04`, under the ~20% cap. Full retune history in `RESEARCH_LOG.md`. `case.json.status` is still `"researched"` — not yet run through `case-qa`.</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The GENIUS Act (P.L. 119-27, 2025)</w:t>
      </w:r>
      <w:r>
        <w:t xml:space="preserve"> is a real, current U.S. federal law. It caps the Treasury</w:t>
      </w:r>
    </w:p>
    <w:p>
      <w:pPr>
        <w:spacing w:after="150"/>
      </w:pPr>
      <w:r>
        <w:t xml:space="preserve">  securities a payment-stablecoin issuer may hold as reserves at 93 days' remaining maturity —   written into the statute itself, not left to a regulator's discretion. Both of this case's live   options (4-week and 6-week bills) sit well inside that cap; the 93-day ceiling now functions as   background context and as the reason a 13-week third draft was ruled out early, not as the   live tension.</w:t>
      </w:r>
    </w:p>
    <w:p>
      <w:pPr>
        <w:pStyle w:val="ListParagraph"/>
        <w:numPr>
          <w:ilvl w:val="0"/>
          <w:numId w:val="1"/>
        </w:numPr>
      </w:pPr>
      <w:r>
        <w:rPr>
          <w:b/>
          <w:bCs/>
        </w:rPr>
        <w:t xml:space="preserve">Circle's USDC and the Circle Reserve Fund (USDXX, managed by BlackRock)</w:t>
      </w:r>
      <w:r>
        <w:t xml:space="preserve"> are the real</w:t>
      </w:r>
    </w:p>
    <w:p>
      <w:pPr>
        <w:spacing w:after="150"/>
      </w:pPr>
      <w:r>
        <w:t xml:space="preserve">  dollar-stablecoin and real money-market fund this case's Option A posture is modeled on: a 5-day   weighted average maturity, 89.6% of assets inside a week of maturity (S2).</w:t>
      </w:r>
    </w:p>
    <w:p>
      <w:pPr>
        <w:pStyle w:val="ListParagraph"/>
        <w:numPr>
          <w:ilvl w:val="0"/>
          <w:numId w:val="1"/>
        </w:numPr>
      </w:pPr>
      <w:r>
        <w:rPr>
          <w:b/>
          <w:bCs/>
        </w:rPr>
        <w:t xml:space="preserve">The square-root-of-time rule</w:t>
      </w:r>
      <w:r>
        <w:t xml:space="preserve"> (S9, Daníelsson &amp; Zigrand, LSE, 2003) is a real, standard</w:t>
      </w:r>
    </w:p>
    <w:p>
      <w:pPr>
        <w:spacing w:after="150"/>
      </w:pPr>
      <w:r>
        <w:t xml:space="preserve">  quantitative-finance method — regulators (the Basel Committee) recommend scaling a risk/   volatility estimate from a short holding period to a longer one by multiplying by the square   root of the ratio of the two periods. This case uses it to derive Option B's peg-deviation risk   figure from Option A's real, sourced 30-bps reference, rather than comparing two unrelated real   figures (a normal-conditions number for one option, a crisis number for the other) the way the   original draft did. </w:t>
      </w:r>
      <w:r>
        <w:rPr>
          <w:b/>
          <w:bCs/>
        </w:rPr>
        <w:t xml:space="preserve">Important for facilitation:</w:t>
      </w:r>
      <w:r>
        <w:t xml:space="preserve"> this is a real, defensible, but not the   </w:t>
      </w:r>
      <w:r>
        <w:rPr>
          <w:i/>
          <w:iCs/>
        </w:rPr>
        <w:t xml:space="preserve">only</w:t>
      </w:r>
      <w:r>
        <w:t xml:space="preserve"> defensible way to scale risk by duration — S9's own paper discusses a linear alternative,   and notes the square-root rule tends to </w:t>
      </w:r>
      <w:r>
        <w:rPr>
          <w:i/>
          <w:iCs/>
        </w:rPr>
        <w:t xml:space="preserve">underestimate</w:t>
      </w:r>
      <w:r>
        <w:t xml:space="preserve"> risk for longer/fatter-tailed   distributions. The case is honest that this is a modeling choice (MA3), not an unchallengeable   fact — a sharp Hero pushing on it is engaging with the case exactly as designed, not finding a   flaw to paper over.</w:t>
      </w:r>
    </w:p>
    <w:p>
      <w:pPr>
        <w:pStyle w:val="ListParagraph"/>
        <w:numPr>
          <w:ilvl w:val="0"/>
          <w:numId w:val="1"/>
        </w:numPr>
      </w:pPr>
      <w:r>
        <w:rPr>
          <w:b/>
          <w:bCs/>
        </w:rPr>
        <w:t xml:space="preserve">March 2023 — Silicon Valley Bank's failure and USDC's real depeg</w:t>
      </w:r>
      <w:r>
        <w:t xml:space="preserve"> is retained as real</w:t>
      </w:r>
    </w:p>
    <w:p>
      <w:pPr>
        <w:spacing w:after="150"/>
      </w:pPr>
      <w:r>
        <w:t xml:space="preserve">  historical background (Appendix D snapshot 5, Appendix C's rejected-13-week aside) but is   </w:t>
      </w:r>
      <w:r>
        <w:rPr>
          <w:b/>
          <w:bCs/>
        </w:rPr>
        <w:t xml:space="preserve">no longer a direct input to the balance metric</w:t>
      </w:r>
      <w:r>
        <w:t xml:space="preserve"> — see below for why the original design mixing   it with a normal-drift figure was unbalanced.</w:t>
      </w:r>
    </w:p>
    <w:p>
      <w:pPr>
        <w:pStyle w:val="Heading1"/>
        <w:spacing w:after="150" w:before="300"/>
      </w:pPr>
      <w:r>
        <w:t xml:space="preserve">Intro</w:t>
      </w:r>
    </w:p>
    <w:p>
      <w:pPr>
        <w:spacing w:after="150"/>
      </w:pPr>
      <w:r>
        <w:t xml:space="preserve">Frame the format: this is a real treasury-allocation decision a reserves analyst has to sign her name to, not an abstract word problem. Name the opener — "You control tens of billions of real dollars backing a token that has to always be worth exactly one dollar. You've found a way to earn a little more interest on it. The only question is how much of a chance you're willing to take that the token stops being worth exactly one dollar, even for a few days." Mention, once, that this is a real, current regulatory environment — the GENIUS Act is real law, signed in 2025 — this is not invented compliance framing.</w:t>
      </w:r>
    </w:p>
    <w:p>
      <w:pPr>
        <w:pStyle w:val="Heading1"/>
        <w:spacing w:after="150" w:before="300"/>
      </w:pPr>
      <w:r>
        <w:t xml:space="preserve">Launch</w:t>
      </w:r>
    </w:p>
    <w:p>
      <w:pPr>
        <w:spacing w:after="150"/>
      </w:pPr>
      <w:r>
        <w:t xml:space="preserve">Show Appendix B and Appendix C side by side — two Treasury-bill maturities, two yields, no peg data yet. Ask: "Just from the yield numbers, which one would you pick?" Most rooms will say Option B, since more yield with no visible downside looks free, though the gap is smaller than it might expect (six cents on a hundred dollars). Do not correct this yet — Anchor 2 exists to slow the room down before it discovers what it's not seeing.</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Short Ladder — the </w:t>
      </w:r>
      <w:r>
        <w:rPr>
          <w:i/>
          <w:iCs/>
        </w:rPr>
        <w:t xml:space="preserve">lower</w:t>
      </w:r>
      <w:r>
        <w:t xml:space="preserve">-yield option?" Show of hands, both options, no discussion yet. Record the count; expect it tilted toward the Extended Ladder before Appendix D/E are seen, though probably less lopsided than a case where the yield gap looked bigger.</w:t>
      </w:r>
    </w:p>
    <w:p>
      <w:pPr>
        <w:pStyle w:val="Heading1"/>
        <w:spacing w:after="150" w:before="300"/>
      </w:pPr>
      <w:r>
        <w:t xml:space="preserve">Anchor 2 — What is the problem we're solving?</w:t>
      </w:r>
    </w:p>
    <w:p>
      <w:pPr>
        <w:spacing w:after="150"/>
      </w:pPr>
      <w:r>
        <w:rPr>
          <w:b/>
          <w:bCs/>
        </w:rPr>
        <w:t xml:space="preserve">"Is this the right question?" · "What do you mean by 'safe'?"</w:t>
      </w:r>
    </w:p>
    <w:p>
      <w:pPr>
        <w:spacing w:after="150"/>
      </w:pPr>
      <w:r>
        <w:t xml:space="preserve">Let confusion grow here on purpose. Push: "Both options are already legal — Appendix A tells you that up front, and neither is even close to the legal ceiling. So if 'is it legal' isn't the question, what actually is?" Steer the room toward naming that the real question is a </w:t>
      </w:r>
      <w:r>
        <w:rPr>
          <w:i/>
          <w:iCs/>
        </w:rPr>
        <w:t xml:space="preserve">trade</w:t>
      </w:r>
      <w:r>
        <w:t xml:space="preserve">: how much extra yield is worth how much extra risk of the price moving off $1.00. If the room lands on "we can't answer that until we know both how big the extra yield is </w:t>
      </w:r>
      <w:r>
        <w:rPr>
          <w:i/>
          <w:iCs/>
        </w:rPr>
        <w:t xml:space="preserve">and</w:t>
      </w:r>
      <w:r>
        <w:t xml:space="preserve"> how the two options' actual risk compares," the case is working as designed.</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Name the actual steps before touching the appendices: convert the reserve total and each option's annual yield into scientific notation (D1); work the absolute-value peg-deviation worksheet on five real price snapshots (D2); build the dollars-per-basis-point efficiency table using Appendix E's duration-scaled risk figures (D3); check whether that table's conclusion survives under two different real, defensible scaling assumptions (D4); and recommend, using all of that plus Appendix A's legal-ceiling fact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honest gap: Northlight itself is fictional, so its own reserve total, its own past peg behavior, and its own attestation cadence are all stated choices, not independently verifiable facts about a real company (Appendix A's note; MA1–MA4). What </w:t>
      </w:r>
      <w:r>
        <w:rPr>
          <w:i/>
          <w:iCs/>
        </w:rPr>
        <w:t xml:space="preserve">is</w:t>
      </w:r>
      <w:r>
        <w:t xml:space="preserve"> real and independently verified is the shape of the trade: real Treasury yields (S6), a real legal ceiling (S7), a real reference peg-drift figure (S5), and a real, citable method for scaling that figure to a longer duration (S9). Ask which of the open figures is actually load-bearing. The honest answer, per `case.json`'s `sensitivity_note`: it is MA3 — which real scaling method is used to derive Option B's risk figure from Option A's real base number. Unlike the original draft (where the load-bearing assumption barely moved the conclusion across its three readings), </w:t>
      </w:r>
      <w:r>
        <w:rPr>
          <w:b/>
          <w:bCs/>
        </w:rPr>
        <w:t xml:space="preserve">this time it genuinely matters</w:t>
      </w:r>
      <w:r>
        <w:t xml:space="preserve">: one real, defensible reading keeps Option A ahead by under 20%, another widens that lead, and a third flips the recommendation outright. That itself is worth surfacing before Data Deep Dive.</w:t>
      </w:r>
    </w:p>
    <w:p>
      <w:pPr>
        <w:pStyle w:val="Heading1"/>
        <w:spacing w:after="150" w:before="300"/>
      </w:pPr>
      <w:r>
        <w:t xml:space="preserve">Data Deep Dive</w:t>
      </w:r>
    </w:p>
    <w:p>
      <w:pPr>
        <w:spacing w:after="150"/>
      </w:pPr>
      <w:r>
        <w:t xml:space="preserve">Now, and only now, the numbers. Walk D1's scientific-notation conversions, D2's absolute-value worksheet, and D3's efficiency table together as a room, cold-calling for D3 specifically — this is where a Hero who computed D1 and D2 correctly but never divides one by the other to actually compare the options will visibly struggle to answer "so which one wins, and by how much?"</w:t>
      </w:r>
    </w:p>
    <w:p>
      <w:pPr>
        <w:pStyle w:val="Heading1"/>
        <w:spacing w:after="150" w:before="300"/>
      </w:pPr>
      <w:r>
        <w:t xml:space="preserve">Twist — drop this at ~15 minutes into the discussion</w:t>
      </w:r>
    </w:p>
    <w:p>
      <w:pPr>
        <w:spacing w:after="150"/>
      </w:pPr>
      <w:r>
        <w:t xml:space="preserve">Deliver slowly, with pauses: "Here's something Appendix E didn't spell out for you directly. Option B's risk figure in Appendix E wasn't measured — it was </w:t>
      </w:r>
      <w:r>
        <w:rPr>
          <w:i/>
          <w:iCs/>
        </w:rPr>
        <w:t xml:space="preserve">derived</w:t>
      </w:r>
      <w:r>
        <w:t xml:space="preserve">, by scaling Option A's real number using one particular method. There's another real, defensible method for doing that same scaling — and a third, more conservative reading that assumes no extra risk at all from the longer duration. </w:t>
      </w:r>
      <w:r>
        <w:rPr>
          <w:b/>
          <w:bCs/>
        </w:rPr>
        <w:t xml:space="preserve">Rerun D3's efficiency numbers using each of Appendix E's alternate readings — does your recommendation change?</w:t>
      </w:r>
      <w:r>
        <w:t xml:space="preserve">"</w:t>
      </w:r>
    </w:p>
    <w:p>
      <w:pPr>
        <w:spacing w:after="150"/>
      </w:pPr>
      <w:r>
        <w:rPr>
          <w:b/>
          <w:bCs/>
        </w:rPr>
        <w:t xml:space="preserve">Facilitator-only: what this does and doesn't change.</w:t>
      </w:r>
      <w:r>
        <w:t xml:space="preserve"> Unlike the original version of this case (where all three real historical readings barely moved the number), this twist has real teeth: the square-root-of-time reading (primary) keeps Option A ahead, 17.04%; the linear-scaling reading widens that to 32.27%; the "no extra risk" floor case actually flips the recommendation to Option B, 1.57% in its favor. A Hero who reruns all three honestly should come away saying "it depends which real assumption you trust" — that is the intended discovery, not a flaw in the case.</w:t>
      </w:r>
    </w:p>
    <w:p>
      <w:pPr>
        <w:pStyle w:val="Heading1"/>
        <w:spacing w:after="150" w:before="300"/>
      </w:pPr>
      <w:r>
        <w:t xml:space="preserve">Deep conflict — threads (20–30 min)</w:t>
      </w:r>
    </w:p>
    <w:p>
      <w:pPr>
        <w:ind w:left="0"/>
      </w:pPr>
      <w:r>
        <w:t xml:space="preserve">1. </w:t>
      </w:r>
      <w:r>
        <w:rPr>
          <w:b/>
          <w:bCs/>
        </w:rPr>
        <w:t xml:space="preserve">A legal ceiling is not a safety ceiling — but this time, neither option is anywhere near it.</w:t>
      </w:r>
    </w:p>
    <w:p>
      <w:pPr>
        <w:spacing w:after="150"/>
      </w:pPr>
      <w:r>
        <w:t xml:space="preserve">   Push: "Appendix A's 93-day cap isn't really in play here — both options sit far inside it. Does    that make this an easier decision than the original 4-week-vs-13-week draft would have been, or    a harder one, now that the risk gap itself is small enough to argue about?"</w:t>
      </w:r>
    </w:p>
    <w:p>
      <w:pPr>
        <w:ind w:left="0"/>
      </w:pPr>
      <w:r>
        <w:t xml:space="preserve">2. </w:t>
      </w:r>
      <w:r>
        <w:rPr>
          <w:b/>
          <w:bCs/>
        </w:rPr>
        <w:t xml:space="preserve">A derived risk figure is not the same as a measured one.</w:t>
      </w:r>
      <w:r>
        <w:t xml:space="preserve"> Push: "Nobody has ever actually</w:t>
      </w:r>
    </w:p>
    <w:p>
      <w:pPr>
        <w:spacing w:after="150"/>
      </w:pPr>
      <w:r>
        <w:t xml:space="preserve">   run Northlight's exact 6-week ladder through a real crisis — Option B's risk number in Appendix    E is calculated from a formula, not observed. Does that make it less trustworthy than Option    A's real, directly-sourced 30 bps figure? What would it take to actually measure it instead of    deriving it?"</w:t>
      </w:r>
    </w:p>
    <w:p>
      <w:pPr>
        <w:ind w:left="0"/>
      </w:pPr>
      <w:r>
        <w:t xml:space="preserve">3. **The metric doesn't decisively favor either option — does that settle the argument, or open</w:t>
      </w:r>
    </w:p>
    <w:p>
      <w:pPr>
        <w:spacing w:after="150"/>
      </w:pPr>
      <w:r>
        <w:t xml:space="preserve">   it up?** Push: "In the original draft of this decision, the math was so lopsided there wasn't    much left to argue about. Here, the answer flips depending on which real, defensible risk-    scaling assumption you pick. Is that a weakness in the case's numbers, or is that actually a    more honest picture of what a real decision like this looks like?"</w:t>
      </w:r>
    </w:p>
    <w:p>
      <w:pPr>
        <w:pStyle w:val="Heading1"/>
        <w:spacing w:after="150" w:before="300"/>
      </w:pPr>
      <w:r>
        <w:t xml:space="preserve">The trap</w:t>
      </w:r>
    </w:p>
    <w:p>
      <w:pPr>
        <w:spacing w:after="150"/>
      </w:pPr>
      <w:r>
        <w:t xml:space="preserve">Heroes will treat Anchor 1's instinct ("more yield, basically no visible downside") as durable even after seeing Appendix E, without ever actually computing D3's ratio for the primary reading — missing that the two options are, in fact, fairly close (17.04%), not lopsided. A second, related trap: computing only the primary (square-root-of-time) reading for D4 and assuming that settles it, without noticing that the case's own alternate readings actually move the needle enough to flip the winner — several Socratic questions below exist to catch a Hero who treats D4 as a formality rather than a real check.</w:t>
      </w:r>
    </w:p>
    <w:p>
      <w:pPr>
        <w:pStyle w:val="Heading1"/>
        <w:spacing w:after="150" w:before="30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on the Short Ladder — no explanation yet</w:t>
            </w:r>
          </w:p>
        </w:tc>
      </w:tr>
      <w:tr>
        <w:tc>
          <w:tcPr>
            <w:tcW w:type="dxa" w:w="4500"/>
          </w:tcPr>
          <w:p>
            <w:r>
              <w:t xml:space="preserve">3:00–10:00</w:t>
            </w:r>
          </w:p>
        </w:tc>
        <w:tc>
          <w:tcPr>
            <w:tcW w:type="dxa" w:w="4500"/>
          </w:tcPr>
          <w:p>
            <w:r>
              <w:t xml:space="preserve">Position defense: "Convince us why it's better, not just legal"</w:t>
            </w:r>
          </w:p>
        </w:tc>
      </w:tr>
      <w:tr>
        <w:tc>
          <w:tcPr>
            <w:tcW w:type="dxa" w:w="4500"/>
          </w:tcPr>
          <w:p>
            <w:r>
              <w:t xml:space="preserve">10:00–15:00</w:t>
            </w:r>
          </w:p>
        </w:tc>
        <w:tc>
          <w:tcPr>
            <w:tcW w:type="dxa" w:w="4500"/>
          </w:tcPr>
          <w:p>
            <w:r>
              <w:t xml:space="preserve">Pressure-test the models: "Whose ladder is most fragile if the numbers move?"</w:t>
            </w:r>
          </w:p>
        </w:tc>
      </w:tr>
      <w:tr>
        <w:tc>
          <w:tcPr>
            <w:tcW w:type="dxa" w:w="4500"/>
          </w:tcPr>
          <w:p>
            <w:r>
              <w:rPr>
                <w:b/>
                <w:bCs/>
              </w:rPr>
              <w:t xml:space="preserve">15:00</w:t>
            </w:r>
          </w:p>
        </w:tc>
        <w:tc>
          <w:tcPr>
            <w:tcW w:type="dxa" w:w="4500"/>
          </w:tcPr>
          <w:p>
            <w:r>
              <w:rPr>
                <w:b/>
                <w:bCs/>
              </w:rPr>
              <w:t xml:space="preserve">DROP THE TWIST</w:t>
            </w:r>
            <w:r>
              <w:t xml:space="preserve"> — delivered slowly, with pauses (see Twist section)</w:t>
            </w:r>
          </w:p>
        </w:tc>
      </w:tr>
      <w:tr>
        <w:tc>
          <w:tcPr>
            <w:tcW w:type="dxa" w:w="4500"/>
          </w:tcPr>
          <w:p>
            <w:r>
              <w:t xml:space="preserve">15:00–20:00</w:t>
            </w:r>
          </w:p>
        </w:tc>
        <w:tc>
          <w:tcPr>
            <w:tcW w:type="dxa" w:w="4500"/>
          </w:tcPr>
          <w:p>
            <w:r>
              <w:t xml:space="preserve">Immediate recommit: who reruns D3 under the alternate readings and reverses? "What just broke?"</w:t>
            </w:r>
          </w:p>
        </w:tc>
      </w:tr>
      <w:tr>
        <w:tc>
          <w:tcPr>
            <w:tcW w:type="dxa" w:w="4500"/>
          </w:tcPr>
          <w:p>
            <w:r>
              <w:t xml:space="preserve">20:00–30:00</w:t>
            </w:r>
          </w:p>
        </w:tc>
        <w:tc>
          <w:tcPr>
            <w:tcW w:type="dxa" w:w="4500"/>
          </w:tcPr>
          <w:p>
            <w:r>
              <w:t xml:space="preserve">Threaded deep conflict — the three named threads above (legal ceiling vs. real tension; derived vs. measured risk; does an unstable metric settle or open the argument)</w:t>
            </w:r>
          </w:p>
        </w:tc>
      </w:tr>
      <w:tr>
        <w:tc>
          <w:tcPr>
            <w:tcW w:type="dxa" w:w="4500"/>
          </w:tcPr>
          <w:p>
            <w:r>
              <w:t xml:space="preserve">30:00–45:00</w:t>
            </w:r>
          </w:p>
        </w:tc>
        <w:tc>
          <w:tcPr>
            <w:tcW w:type="dxa" w:w="4500"/>
          </w:tcPr>
          <w:p>
            <w:r>
              <w:t xml:space="preserve">Close, re-vote, reflection, Lessons Learned</w:t>
            </w:r>
          </w:p>
        </w:tc>
      </w:tr>
    </w:tbl>
    <w:p/>
    <w:p>
      <w:pPr>
        <w:pStyle w:val="Heading1"/>
        <w:spacing w:after="150" w:before="300"/>
      </w:pPr>
      <w:r>
        <w:t xml:space="preserve">Socratic questions</w:t>
      </w:r>
    </w:p>
    <w:p>
      <w:pPr>
        <w:ind w:left="0"/>
      </w:pPr>
      <w:r>
        <w:t xml:space="preserve">1. Your D3 table says Option A earns about $91.8 million per basis point of peg-deviation risk, and Option B earns about $76.1 million per basis point. That's a real gap, but not a huge one. What would you need to believe about </w:t>
      </w:r>
      <w:r>
        <w:rPr>
          <w:i/>
          <w:iCs/>
        </w:rPr>
        <w:t xml:space="preserve">how risk should scale with duration</w:t>
      </w:r>
      <w:r>
        <w:t xml:space="preserve"> for that gap to look different — bigger, smaller, or reversed?</w:t>
      </w:r>
    </w:p>
    <w:p>
      <w:pPr>
        <w:ind w:left="0"/>
      </w:pPr>
      <w:r>
        <w:t xml:space="preserve">2. Appendix A tells you both options are already legal under a real 2025 federal law, and neither is close to the ceiling. Why does the case still bother giving you that fact, if it isn't doing much work in this particular decision?</w:t>
      </w:r>
    </w:p>
    <w:p>
      <w:pPr>
        <w:ind w:left="0"/>
      </w:pPr>
      <w:r>
        <w:t xml:space="preserve">3. You reran D3 under D4's alternate scaling assumptions, and the recommendation actually changed under one of them. What does that tell you about how confident you should be in a "winner," when the number depends on which real, defensible modeling choice you made?</w:t>
      </w:r>
    </w:p>
    <w:p>
      <w:pPr>
        <w:ind w:left="0"/>
      </w:pPr>
      <w:r>
        <w:t xml:space="preserve">4. Appendix D's snapshot 5 — the real 2023 crisis low — isn't used anywhere in your D3 or D4 calculations. Why do you think the case still includes it? What is it useful for, if not the efficiency ratio?</w:t>
      </w:r>
    </w:p>
    <w:p>
      <w:pPr>
        <w:ind w:left="0"/>
      </w:pPr>
      <w:r>
        <w:t xml:space="preserve">5. If Priya's manager told her "the board doesn't care about basis points, they care about millions of dollars" — does that change which option your D1/D3 numbers support, or does it just change how you'd explain the same recommendation?</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expect the room to be genuinely split on the recommendation even after the numbers are on the table, since D4's sensitivity check gives a real, defensible route to either answer; press Heroes to defend which reading they trust and why, not just which option they picked.</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Scientific Notation · Absolute Value · How to write a number in scientific notation given its standard notation · How to evaluate an absolute value expression</w:t>
      </w:r>
    </w:p>
    <w:p>
      <w:pPr>
        <w:pStyle w:val="Heading1"/>
        <w:spacing w:after="150" w:before="300"/>
      </w:pPr>
      <w:r>
        <w:t xml:space="preserve">Balance argument (SPEC §2)</w:t>
      </w:r>
    </w:p>
    <w:p>
      <w:pPr>
        <w:spacing w:after="150"/>
      </w:pPr>
      <w:r>
        <w:rPr>
          <w:b/>
          <w:bCs/>
        </w:rPr>
        <w:t xml:space="preserve">Argument for A (the Short Ladder).</w:t>
      </w:r>
      <w:r>
        <w:t xml:space="preserve"> Keeps essentially the entire reserve within about two weeks of maturity on average — close to the real, disclosed posture of the actual money-market fund backing a real major dollar stablecoin (Appendix B, S2). Its peg-deviation reference is a real, directly-sourced figure (30 bps, S5), and D3's efficiency figure (~$91.8 million of annual yield per basis point of duration-scaled risk) is meaningfully larger than the Extended Ladder's under the primary, industry-standard square-root-of-time reading — by 17.04%.</w:t>
      </w:r>
    </w:p>
    <w:p>
      <w:pPr>
        <w:spacing w:after="150"/>
      </w:pPr>
      <w:r>
        <w:rPr>
          <w:b/>
          <w:bCs/>
        </w:rPr>
        <w:t xml:space="preserve">Argument for B (the Extended Ladder).</w:t>
      </w:r>
      <w:r>
        <w:t xml:space="preserve"> Still entirely legal and nowhere near the ceiling (Appendix A, S7), and earns a real, recurring $44.1 million more per year (D1) on a reserve this size, for only 1.5× the average time-to-maturity of the Short Ladder. Option B's risk figure is </w:t>
      </w:r>
      <w:r>
        <w:rPr>
          <w:i/>
          <w:iCs/>
        </w:rPr>
        <w:t xml:space="preserve">derived</w:t>
      </w:r>
      <w:r>
        <w:t xml:space="preserve">, not measured — and under a different, also-real, also-defensible scaling assumption (the "no incremental duration risk" floor case in Appendix E/D4), the recommendation flips to Option B outright. A Hero can argue the case's own sensitivity range shows this decision genuinely could go either way on the numbers alone.</w:t>
      </w:r>
    </w:p>
    <w:p>
      <w:pPr>
        <w:spacing w:after="150"/>
      </w:pPr>
      <w:r>
        <w:rPr>
          <w:b/>
          <w:bCs/>
        </w:rPr>
        <w:t xml:space="preserve">Margin — COMPUTED 2026-09-01 (balance-retune redesign pass).</w:t>
      </w:r>
      <w:r>
        <w:t xml:space="preserve"> `margin_pct: 17.04`. </w:t>
      </w:r>
      <w:r>
        <w:rPr>
          <w:b/>
          <w:bCs/>
        </w:rPr>
        <w:t xml:space="preserve">Winner (primary reading): Option A, The Short Ladder, by 17.04% — under SPEC §2's ~20% cap.</w:t>
      </w:r>
      <w:r>
        <w:t xml:space="preserve"> Full arithmetic trail: `case.json.balance.margin_note` and `RESEARCH_LOG.md`'s redesign section. This supersedes the original design's `margin_pct = 97.47`, which mixed a normal-drift reference for Option A against an unrelated historical-crisis reference for Option B (the FEDS Notes/CoinGecko 2023 event) — an apples-to-oranges comparison that produced a structural, non-retunable imbalance regardless of which real reading of the crisis event was used (see `RESEARCH_LOG.md`'s original retune-attempt writeup, retained for the full history). The redesign changed two things at once, per the retune brief: (1) Option B's maturity moved from 13-week to 6-week bills — a closer, still-meaningfully-different pair; and (2) both options' risk figures are now measured on the SAME kind of risk (interest-rate/duration exposure), with Option B's figure derived from Option A's own real reference number via a real, citable scaling method (S9) rather than an unrelated crisis event.</w:t>
      </w:r>
    </w:p>
    <w:p>
      <w:pPr>
        <w:spacing w:after="150"/>
      </w:pPr>
      <w:r>
        <w:rPr>
          <w:b/>
          <w:bCs/>
        </w:rPr>
        <w:t xml:space="preserve">What this means for facilitation.</w:t>
      </w:r>
      <w:r>
        <w:t xml:space="preserve"> Unlike `prove-it-scales`-style qualitative-balance framing, this case's real numeric race is now genuinely close (17.04%, under the cap), and D4's own sensitivity check gives a real route to a different winner. The room's work is not just weighing a values question against a lopsided ratio — it is genuinely deciding which real, defensible modeling assumption about risk-scaling to trust, and living with the consequences of that choice on the actual numeric recommendation.</w:t>
      </w:r>
    </w:p>
    <w:p>
      <w:pPr>
        <w:pStyle w:val="Heading1"/>
        <w:spacing w:after="150" w:before="300"/>
      </w:pPr>
      <w:r>
        <w:t xml:space="preserve">Facilitator note — sensitivity (SPEC §6)</w:t>
      </w:r>
    </w:p>
    <w:p>
      <w:pPr>
        <w:spacing w:after="150"/>
      </w:pPr>
      <w:r>
        <w:rPr>
          <w:b/>
          <w:bCs/>
        </w:rPr>
        <w:t xml:space="preserve">Routine treasury-management register — not a crisis narrative.</w:t>
      </w:r>
      <w:r>
        <w:t xml:space="preserve"> This case cites a real, well-known stablecoin depeg event (March 2023, USDC/SVB) for historical color only (Appendix D snapshot 5; Appendix C's rejected-13-week aside) — it is no longer a direct input to the balance metric. Facilitators should keep the discussion framed on Northlight's forward-looking treasury- allocation decision — never on the real event's harm to real holders, and never by name-checking the real companies involved as though they were the ones under discussion. Northlight, NLD, and Priya Nathan are entirely fictional; the real event and the real square-root-of-time methodology are cited as documented data points and a documented technique, the same way a real published benchmark or formula would be cited in an engineering case.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2026-09-02T00:38:00.460Z</dcterms:created>
  <dcterms:modified xsi:type="dcterms:W3CDTF">2026-09-02T00:38:00.461Z</dcterms:modified>
</cp:coreProperties>
</file>

<file path=docProps/custom.xml><?xml version="1.0" encoding="utf-8"?>
<Properties xmlns="http://schemas.openxmlformats.org/officeDocument/2006/custom-properties" xmlns:vt="http://schemas.openxmlformats.org/officeDocument/2006/docPropsVTypes"/>
</file>